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89E0B">
      <w:pPr>
        <w:jc w:val="center"/>
        <w:rPr>
          <w:rFonts w:ascii="方正小标宋简体" w:eastAsia="方正小标宋简体"/>
          <w:b/>
          <w:sz w:val="44"/>
        </w:rPr>
      </w:pPr>
      <w:r>
        <w:rPr>
          <w:rFonts w:hint="eastAsia" w:ascii="方正小标宋简体" w:eastAsia="方正小标宋简体"/>
          <w:b/>
          <w:sz w:val="44"/>
        </w:rPr>
        <w:t>2026 年教职工春游活动项目比选文件</w:t>
      </w:r>
    </w:p>
    <w:p w14:paraId="5550E7C9">
      <w:pPr>
        <w:pStyle w:val="2"/>
        <w:numPr>
          <w:ilvl w:val="0"/>
          <w:numId w:val="0"/>
        </w:numPr>
      </w:pPr>
      <w:r>
        <w:t>一、项目名称</w:t>
      </w:r>
    </w:p>
    <w:p w14:paraId="4DF6C216">
      <w:pPr>
        <w:spacing w:line="600" w:lineRule="exact"/>
        <w:ind w:firstLine="640" w:firstLineChars="200"/>
        <w:rPr>
          <w:color w:val="000000"/>
          <w:sz w:val="24"/>
          <w:szCs w:val="24"/>
        </w:rPr>
      </w:pPr>
      <w:r>
        <w:rPr>
          <w:rFonts w:ascii="仿宋" w:hAnsi="仿宋" w:eastAsia="仿宋"/>
          <w:sz w:val="32"/>
        </w:rPr>
        <w:t>2026 年教职工春游活动</w:t>
      </w:r>
    </w:p>
    <w:p w14:paraId="27F874C9">
      <w:pPr>
        <w:pStyle w:val="2"/>
        <w:numPr>
          <w:ilvl w:val="0"/>
          <w:numId w:val="0"/>
        </w:numPr>
      </w:pPr>
      <w:r>
        <w:t>二、项目预算</w:t>
      </w:r>
    </w:p>
    <w:p w14:paraId="038639B0">
      <w:pPr>
        <w:widowControl/>
        <w:adjustRightInd w:val="0"/>
        <w:snapToGrid w:val="0"/>
        <w:spacing w:line="500" w:lineRule="atLeast"/>
        <w:ind w:firstLine="640" w:firstLineChars="200"/>
        <w:jc w:val="left"/>
        <w:rPr>
          <w:color w:val="000000"/>
          <w:sz w:val="24"/>
          <w:szCs w:val="24"/>
        </w:rPr>
      </w:pPr>
      <w:r>
        <w:rPr>
          <w:rFonts w:hint="eastAsia" w:ascii="仿宋" w:hAnsi="仿宋" w:eastAsia="仿宋"/>
          <w:sz w:val="32"/>
        </w:rPr>
        <w:t>本项目总预算不超过人民币 98100 元（学院教职工人数不超过327人，300*327=98100元，大写：玖万捌仟壹佰元整），人均费用标准不超过 300元/人，最终费用按实际参加活动人数据实结算。所有线路方案的人均报价均不得超过 300元/人，任一线路报价超出此标准的，其应选文件按无效处理。</w:t>
      </w:r>
    </w:p>
    <w:p w14:paraId="07C6754B">
      <w:pPr>
        <w:pStyle w:val="2"/>
        <w:numPr>
          <w:ilvl w:val="0"/>
          <w:numId w:val="0"/>
        </w:numPr>
      </w:pPr>
      <w:r>
        <w:t>三、项目采购需求</w:t>
      </w:r>
    </w:p>
    <w:p w14:paraId="07181F1D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为丰富教职工文化生活，增强团队凝聚力，根据《上海建设管理职业技术学院工会经费收支管理办法》及有关规定，现就本项目采购需求明确如下：</w:t>
      </w:r>
    </w:p>
    <w:p w14:paraId="5012C07E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（一）活动基本情况</w:t>
      </w:r>
    </w:p>
    <w:p w14:paraId="02249DE3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1.活动时间：2026年4月至5月期间（具体日期由双方协商确定，如遇恶劣天气可顺延），所有批次活动需在此期限内完成。</w:t>
      </w:r>
    </w:p>
    <w:p w14:paraId="4BADD5F9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2.活动地点：上海市范围内，需满足当日往返要求。</w:t>
      </w:r>
    </w:p>
    <w:p w14:paraId="03FEC07D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3.参与人数：学院参与职工人数不超过 327 人，最终按实际参加人数结算费用。</w:t>
      </w:r>
    </w:p>
    <w:p w14:paraId="26583B73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4.用餐要求：需提供正规酒店餐厅午餐，餐费不得超过总费用的 50%（即不超过150元/人），应选方案中需明确用餐酒店名称、菜单及具体标准。</w:t>
      </w:r>
    </w:p>
    <w:p w14:paraId="393D32C0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5.保险要求：必须为每位参加活动的人员购买人身意外伤害保险（活动险），应选文件中需提供完整保险方案及承保承诺。</w:t>
      </w:r>
    </w:p>
    <w:p w14:paraId="0F0CDDAB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6.费用包含：人均报价需包含交通、餐饮、门票、活动用品、保险、导游服务等本次活动全部费用，不得额外收取其他费用。</w:t>
      </w:r>
    </w:p>
    <w:p w14:paraId="54BC4015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（二）线路方案要求</w:t>
      </w:r>
    </w:p>
    <w:p w14:paraId="4AC56CB1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供应商需在应选文件中提供以下三种春游线路方案：</w:t>
      </w:r>
    </w:p>
    <w:p w14:paraId="6E8DB0C6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1.徐汇武康路</w:t>
      </w:r>
      <w:r>
        <w:rPr>
          <w:rFonts w:hint="eastAsia" w:ascii="微软雅黑" w:hAnsi="微软雅黑" w:eastAsia="微软雅黑" w:cs="微软雅黑"/>
          <w:sz w:val="32"/>
        </w:rPr>
        <w:t>·</w:t>
      </w:r>
      <w:r>
        <w:rPr>
          <w:rFonts w:hint="eastAsia" w:ascii="仿宋" w:hAnsi="仿宋" w:eastAsia="仿宋"/>
          <w:sz w:val="32"/>
        </w:rPr>
        <w:t>复兴西路City Walk</w:t>
      </w:r>
      <w:r>
        <w:rPr>
          <w:rFonts w:hint="eastAsia" w:ascii="微软雅黑" w:hAnsi="微软雅黑" w:eastAsia="微软雅黑" w:cs="微软雅黑"/>
          <w:sz w:val="32"/>
        </w:rPr>
        <w:t>·</w:t>
      </w:r>
      <w:r>
        <w:rPr>
          <w:rFonts w:hint="eastAsia" w:ascii="仿宋" w:hAnsi="仿宋" w:eastAsia="仿宋"/>
          <w:sz w:val="32"/>
        </w:rPr>
        <w:t>上音城堡下午茶</w:t>
      </w:r>
    </w:p>
    <w:p w14:paraId="06D1064E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2.嘉定菊园百果园</w:t>
      </w:r>
      <w:r>
        <w:rPr>
          <w:rFonts w:hint="eastAsia" w:ascii="微软雅黑" w:hAnsi="微软雅黑" w:eastAsia="微软雅黑" w:cs="微软雅黑"/>
          <w:sz w:val="32"/>
        </w:rPr>
        <w:t>·</w:t>
      </w:r>
      <w:r>
        <w:rPr>
          <w:rFonts w:hint="eastAsia" w:ascii="仿宋" w:hAnsi="仿宋" w:eastAsia="仿宋"/>
          <w:sz w:val="32"/>
        </w:rPr>
        <w:t>露营烧烤+采摘</w:t>
      </w:r>
    </w:p>
    <w:p w14:paraId="515BA1C2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3.上海博物馆（东馆）+双子山</w:t>
      </w:r>
    </w:p>
    <w:p w14:paraId="2D2E831A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每个方案需包含详细的行程安排</w:t>
      </w:r>
      <w:r>
        <w:rPr>
          <w:rFonts w:hint="eastAsia" w:ascii="仿宋" w:hAnsi="仿宋" w:eastAsia="仿宋"/>
          <w:sz w:val="32"/>
          <w:lang w:eastAsia="zh-CN"/>
        </w:rPr>
        <w:t>（</w:t>
      </w:r>
      <w:r>
        <w:rPr>
          <w:rFonts w:hint="eastAsia" w:ascii="仿宋" w:hAnsi="仿宋" w:eastAsia="仿宋"/>
          <w:sz w:val="32"/>
          <w:lang w:val="en-US" w:eastAsia="zh-CN"/>
        </w:rPr>
        <w:t>包括但不限于上述线路已包含的景点和内容</w:t>
      </w:r>
      <w:r>
        <w:rPr>
          <w:rFonts w:hint="eastAsia" w:ascii="仿宋" w:hAnsi="仿宋" w:eastAsia="仿宋"/>
          <w:sz w:val="32"/>
          <w:lang w:eastAsia="zh-CN"/>
        </w:rPr>
        <w:t>）</w:t>
      </w:r>
      <w:r>
        <w:rPr>
          <w:rFonts w:hint="eastAsia" w:ascii="仿宋" w:hAnsi="仿宋" w:eastAsia="仿宋"/>
          <w:sz w:val="32"/>
        </w:rPr>
        <w:t>、交通方式、餐饮地点、活动内容、预计耗时等完整信息。</w:t>
      </w:r>
    </w:p>
    <w:p w14:paraId="4BE28199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（三）中选后服务要求</w:t>
      </w:r>
    </w:p>
    <w:p w14:paraId="5A263BEC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中选单位须严格履行以下服务承诺：</w:t>
      </w:r>
    </w:p>
    <w:p w14:paraId="11893007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根据职工报名情况分批次安排出行，每批次需配备足够的导游及保障人员，全程保障服务质量与出行安全；</w:t>
      </w:r>
    </w:p>
    <w:p w14:paraId="7DAE9096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严格按照双方协商确定的日期完成所有批次活动，不得擅自变更行程、降低服务标准。</w:t>
      </w:r>
    </w:p>
    <w:p w14:paraId="3F2C2985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（四）供应商资格要求</w:t>
      </w:r>
    </w:p>
    <w:p w14:paraId="1AFFAB20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符合《中华人民共和国政府采购法》相关规定；</w:t>
      </w:r>
    </w:p>
    <w:p w14:paraId="4D04E509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具有独立法人资格，持有有效的营业执照；</w:t>
      </w:r>
    </w:p>
    <w:p w14:paraId="24770266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具有有效的旅行社业务经营许可证，服务范围包含国内旅游业务；</w:t>
      </w:r>
    </w:p>
    <w:p w14:paraId="6B692C23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近三年内无重大违法记录，信用状况良好，需提供 “信用中国” 网站查询截图；</w:t>
      </w:r>
    </w:p>
    <w:p w14:paraId="701688A9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本项目不接受联合体投标，中选后不得转包、分包本项目。</w:t>
      </w:r>
    </w:p>
    <w:p w14:paraId="35C6AEA1">
      <w:pPr>
        <w:pStyle w:val="2"/>
        <w:numPr>
          <w:ilvl w:val="0"/>
          <w:numId w:val="0"/>
        </w:numPr>
        <w:ind w:firstLine="640" w:firstLineChars="200"/>
      </w:pPr>
      <w:r>
        <w:rPr>
          <w:rFonts w:hint="eastAsia"/>
        </w:rPr>
        <w:t>四、应选文件要求（所有材料均需加盖单位公章）</w:t>
      </w:r>
    </w:p>
    <w:p w14:paraId="5C63E5F7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1.营业执照副本复印件；</w:t>
      </w:r>
    </w:p>
    <w:p w14:paraId="2FCFF6E6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2.旅行社业务经营许可证复印件；</w:t>
      </w:r>
    </w:p>
    <w:p w14:paraId="0A1603E3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3.法定代表人授权委托书及被授权人身份证复印件；</w:t>
      </w:r>
    </w:p>
    <w:p w14:paraId="0D388EBC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4.项目实施方案：需三条线路的详细方案和具体组织安排；</w:t>
      </w:r>
    </w:p>
    <w:p w14:paraId="638F1B68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5.费用明细报价：按人均费用分项列出交通、餐饮、门票、保险、导游服务费等全部费用；</w:t>
      </w:r>
    </w:p>
    <w:p w14:paraId="0140B89B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6.保险方案：包含承保公司、保额、保障范围、承保承诺等完整内容；</w:t>
      </w:r>
    </w:p>
    <w:p w14:paraId="20D0EB64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hint="eastAsia" w:ascii="仿宋" w:hAnsi="仿宋" w:eastAsia="仿宋"/>
          <w:sz w:val="32"/>
          <w:lang w:eastAsia="zh-CN"/>
        </w:rPr>
      </w:pPr>
      <w:r>
        <w:rPr>
          <w:rFonts w:hint="eastAsia" w:ascii="仿宋" w:hAnsi="仿宋" w:eastAsia="仿宋"/>
          <w:sz w:val="32"/>
        </w:rPr>
        <w:t>7.类似项目业绩证明材料：近三年同类项目合同关键页或业主评价证明材料</w:t>
      </w:r>
      <w:r>
        <w:rPr>
          <w:rFonts w:hint="eastAsia" w:ascii="仿宋" w:hAnsi="仿宋" w:eastAsia="仿宋"/>
          <w:sz w:val="32"/>
          <w:lang w:eastAsia="zh-CN"/>
        </w:rPr>
        <w:t>。</w:t>
      </w:r>
    </w:p>
    <w:p w14:paraId="35271F2B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</w:p>
    <w:p w14:paraId="1AF5FEE7">
      <w:pPr>
        <w:pStyle w:val="2"/>
        <w:numPr>
          <w:ilvl w:val="0"/>
          <w:numId w:val="0"/>
        </w:numPr>
        <w:ind w:firstLine="640" w:firstLineChars="200"/>
      </w:pPr>
      <w:r>
        <w:rPr>
          <w:rFonts w:hint="eastAsia"/>
        </w:rPr>
        <w:t>五、比选评审办法与评分标准</w:t>
      </w:r>
    </w:p>
    <w:p w14:paraId="3107E74B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本次比选评审采用综合评分法，评审工作由学院工会按采购</w:t>
      </w:r>
    </w:p>
    <w:p w14:paraId="22658B46">
      <w:pPr>
        <w:widowControl/>
        <w:adjustRightInd w:val="0"/>
        <w:snapToGrid w:val="0"/>
        <w:spacing w:line="500" w:lineRule="exact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实施细则相关要求组建的评审小组完成，评审小组成员人数为三人以上单数。</w:t>
      </w:r>
    </w:p>
    <w:p w14:paraId="0766CBC6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（一）评审流程</w:t>
      </w:r>
    </w:p>
    <w:p w14:paraId="196D4D4C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1.资格初审：评审小组先对供应商资格进行审查，不符合本文件资格要求的应选文件，不予进入后续评审环节。</w:t>
      </w:r>
    </w:p>
    <w:p w14:paraId="14601BD4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2.报价有效性审查：通过资格初审的应选文件，需满足所有线路方案人均报价不超过300元/人的要求，任一线路报价超标的，按无效应选文件处理。</w:t>
      </w:r>
    </w:p>
    <w:p w14:paraId="5F3E8A70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3.综合评审：对通过初审的有效应选文件，评审小组按照以下评分标准进行综合打分，满分 100 分。</w:t>
      </w:r>
    </w:p>
    <w:p w14:paraId="379CDDB1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color w:val="000000"/>
          <w:sz w:val="24"/>
          <w:szCs w:val="24"/>
        </w:rPr>
      </w:pPr>
      <w:r>
        <w:rPr>
          <w:rFonts w:hint="eastAsia" w:ascii="仿宋" w:hAnsi="仿宋" w:eastAsia="仿宋"/>
          <w:b/>
          <w:bCs/>
          <w:sz w:val="32"/>
        </w:rPr>
        <w:t>（二）综合评分标准</w:t>
      </w:r>
    </w:p>
    <w:tbl>
      <w:tblPr>
        <w:tblStyle w:val="11"/>
        <w:tblW w:w="0" w:type="auto"/>
        <w:tblCellSpacing w:w="15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26"/>
        <w:gridCol w:w="915"/>
        <w:gridCol w:w="6463"/>
      </w:tblGrid>
      <w:tr w14:paraId="6DFBF0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1481" w:type="dxa"/>
            <w:tcBorders>
              <w:top w:val="single" w:color="auto" w:sz="4" w:space="0"/>
              <w:left w:val="single" w:color="auto" w:sz="0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576DC5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评分项目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CA3B8B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分值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16D61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kern w:val="0"/>
                <w:sz w:val="28"/>
                <w:szCs w:val="28"/>
                <w:lang w:bidi="ar"/>
              </w:rPr>
              <w:t>评分细则</w:t>
            </w:r>
          </w:p>
        </w:tc>
      </w:tr>
      <w:tr w14:paraId="04A82A7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C3D3EE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方案多样性及行程设计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6D0188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30分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87A8C">
            <w:pPr>
              <w:widowControl/>
              <w:numPr>
                <w:ilvl w:val="0"/>
                <w:numId w:val="2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提供至少三种差异化明显的春游线路方案，满足不同出行需求，最高得 10 分；</w:t>
            </w:r>
          </w:p>
          <w:p w14:paraId="5E2C9C5F">
            <w:pPr>
              <w:widowControl/>
              <w:numPr>
                <w:ilvl w:val="0"/>
                <w:numId w:val="2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单条线路行程设计合理、内容有吸引力，行程安排、交通、餐饮、活动内容、耗时等要素完整清晰，每条线路最高得 6 分，三条线路最高得 18 分；</w:t>
            </w:r>
          </w:p>
          <w:p w14:paraId="011CE3C1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3. 方案符合上海市内当日往返、合规安全的要求，最高得 2 分。</w:t>
            </w:r>
          </w:p>
        </w:tc>
      </w:tr>
      <w:tr w14:paraId="36A686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B64DEB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分批组织能力及服务保障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37B6D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25分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2D4AF">
            <w:pPr>
              <w:widowControl/>
              <w:numPr>
                <w:ilvl w:val="0"/>
                <w:numId w:val="3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具备多条线路、多批次出行的完整组织方案，人员配置、时间规划合理，可保障服务质量，最高得 10 分；</w:t>
            </w:r>
          </w:p>
          <w:p w14:paraId="2D19D6C8">
            <w:pPr>
              <w:widowControl/>
              <w:numPr>
                <w:ilvl w:val="0"/>
                <w:numId w:val="3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安全保障措施完善到位，应急预案完整可落地，最高得 8 分；</w:t>
            </w:r>
          </w:p>
          <w:p w14:paraId="0145EE97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3. 餐饮、保险等专项服务方案完全符合采购需求，服务承诺明确，最高得 7 分。</w:t>
            </w:r>
          </w:p>
        </w:tc>
      </w:tr>
      <w:tr w14:paraId="74AA40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280CA3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报价合理性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458A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30分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C0F239">
            <w:pPr>
              <w:widowControl/>
              <w:numPr>
                <w:ilvl w:val="0"/>
                <w:numId w:val="4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报价构成清晰完整，各项费用分项明确，无隐形消费，最高得 10 分；</w:t>
            </w:r>
          </w:p>
          <w:p w14:paraId="3D386A7B">
            <w:pPr>
              <w:widowControl/>
              <w:numPr>
                <w:ilvl w:val="0"/>
                <w:numId w:val="4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报价符合人均不超过 300 元、餐费不超过人均 150 元的要求，性价比突出，最高得 15 分；</w:t>
            </w:r>
          </w:p>
          <w:p w14:paraId="6C0A3962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3. 报价说明清晰，不同线路报价差异说明合理合规，最高得 5 分。</w:t>
            </w:r>
          </w:p>
        </w:tc>
      </w:tr>
      <w:tr w14:paraId="7B8FE65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14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EA95C9">
            <w:pPr>
              <w:widowControl/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业绩与信誉</w:t>
            </w:r>
          </w:p>
        </w:tc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68A84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15分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61FAA">
            <w:pPr>
              <w:widowControl/>
              <w:numPr>
                <w:ilvl w:val="0"/>
                <w:numId w:val="5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近三年具备同类机关/企事业单位教职工春游活动服务业绩，每提供 1 份有效业绩证明得 3 分，最高得 9 分；</w:t>
            </w:r>
          </w:p>
          <w:p w14:paraId="17AC0AE0">
            <w:pPr>
              <w:widowControl/>
              <w:numPr>
                <w:ilvl w:val="0"/>
                <w:numId w:val="5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具备 300 人以上大规模或多线路分批组织的同类项目经验，最高得 4 分；</w:t>
            </w:r>
          </w:p>
          <w:p w14:paraId="7755274C">
            <w:pPr>
              <w:widowControl/>
              <w:numPr>
                <w:ilvl w:val="0"/>
                <w:numId w:val="5"/>
              </w:numPr>
              <w:adjustRightInd w:val="0"/>
              <w:snapToGrid w:val="0"/>
              <w:jc w:val="left"/>
              <w:rPr>
                <w:rFonts w:ascii="华文楷体" w:hAnsi="华文楷体" w:eastAsia="华文楷体" w:cs="华文楷体"/>
                <w:color w:val="000000"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信用状况良好，无不良信用记录，最高得 2 分。</w:t>
            </w:r>
          </w:p>
        </w:tc>
      </w:tr>
      <w:tr w14:paraId="7D2F784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 w:hRule="atLeast"/>
          <w:tblCellSpacing w:w="15" w:type="dxa"/>
        </w:trPr>
        <w:tc>
          <w:tcPr>
            <w:tcW w:w="23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D11A7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满分</w:t>
            </w:r>
          </w:p>
        </w:tc>
        <w:tc>
          <w:tcPr>
            <w:tcW w:w="6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87230">
            <w:pPr>
              <w:widowControl/>
              <w:adjustRightInd w:val="0"/>
              <w:snapToGrid w:val="0"/>
              <w:jc w:val="center"/>
              <w:rPr>
                <w:rFonts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华文楷体" w:hAnsi="华文楷体" w:eastAsia="华文楷体" w:cs="华文楷体"/>
                <w:color w:val="000000"/>
                <w:kern w:val="0"/>
                <w:sz w:val="28"/>
                <w:szCs w:val="28"/>
                <w:lang w:bidi="ar"/>
              </w:rPr>
              <w:t>100分</w:t>
            </w:r>
          </w:p>
        </w:tc>
      </w:tr>
    </w:tbl>
    <w:p w14:paraId="47FC637B">
      <w:pPr>
        <w:widowControl/>
        <w:adjustRightInd w:val="0"/>
        <w:snapToGrid w:val="0"/>
        <w:spacing w:line="500" w:lineRule="exact"/>
        <w:ind w:firstLine="643" w:firstLineChars="200"/>
        <w:jc w:val="left"/>
        <w:rPr>
          <w:rFonts w:ascii="仿宋" w:hAnsi="仿宋" w:eastAsia="仿宋"/>
          <w:b/>
          <w:bCs/>
          <w:sz w:val="32"/>
        </w:rPr>
      </w:pPr>
      <w:r>
        <w:rPr>
          <w:rFonts w:hint="eastAsia" w:ascii="仿宋" w:hAnsi="仿宋" w:eastAsia="仿宋"/>
          <w:b/>
          <w:bCs/>
          <w:sz w:val="32"/>
        </w:rPr>
        <w:t>（三）定标规则</w:t>
      </w:r>
    </w:p>
    <w:p w14:paraId="5E3E697C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评审小组按综合得分从高到低排序，得分最高的为第一中选候选人，依次类推；若得分相同，按报价由低到高排序；若报价也相同，按方案设计得分由高到低排序。</w:t>
      </w:r>
    </w:p>
    <w:p w14:paraId="35482423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</w:p>
    <w:p w14:paraId="4B892B2A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</w:p>
    <w:p w14:paraId="4CD27E90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</w:p>
    <w:p w14:paraId="6C2B7197">
      <w:pPr>
        <w:widowControl/>
        <w:adjustRightInd w:val="0"/>
        <w:snapToGrid w:val="0"/>
        <w:spacing w:line="500" w:lineRule="exact"/>
        <w:ind w:firstLine="640" w:firstLineChars="200"/>
        <w:jc w:val="left"/>
        <w:rPr>
          <w:rFonts w:ascii="仿宋" w:hAnsi="仿宋" w:eastAsia="仿宋"/>
          <w:sz w:val="32"/>
        </w:rPr>
      </w:pPr>
    </w:p>
    <w:p w14:paraId="7E6BD1E1">
      <w:pPr>
        <w:widowControl/>
        <w:adjustRightInd w:val="0"/>
        <w:snapToGrid w:val="0"/>
        <w:spacing w:line="500" w:lineRule="exact"/>
        <w:ind w:firstLine="640" w:firstLineChars="200"/>
        <w:jc w:val="right"/>
        <w:rPr>
          <w:rFonts w:hint="eastAsia" w:ascii="仿宋" w:hAnsi="仿宋" w:eastAsia="仿宋"/>
          <w:sz w:val="32"/>
          <w:lang w:val="en-US" w:eastAsia="zh-CN"/>
        </w:rPr>
      </w:pPr>
      <w:r>
        <w:rPr>
          <w:rFonts w:hint="eastAsia" w:ascii="仿宋" w:hAnsi="仿宋" w:eastAsia="仿宋"/>
          <w:sz w:val="32"/>
        </w:rPr>
        <w:t>上海建设管理职业技术学院工会</w:t>
      </w:r>
      <w:r>
        <w:rPr>
          <w:rFonts w:hint="eastAsia" w:ascii="仿宋" w:hAnsi="仿宋" w:eastAsia="仿宋"/>
          <w:sz w:val="32"/>
          <w:lang w:val="en-US" w:eastAsia="zh-CN"/>
        </w:rPr>
        <w:t>委员会</w:t>
      </w:r>
    </w:p>
    <w:p w14:paraId="431B6649">
      <w:pPr>
        <w:widowControl/>
        <w:adjustRightInd w:val="0"/>
        <w:snapToGrid w:val="0"/>
        <w:spacing w:line="500" w:lineRule="exact"/>
        <w:ind w:firstLine="640" w:firstLineChars="200"/>
        <w:jc w:val="right"/>
        <w:rPr>
          <w:rFonts w:ascii="仿宋" w:hAnsi="仿宋" w:eastAsia="仿宋"/>
          <w:sz w:val="32"/>
        </w:rPr>
      </w:pPr>
      <w:r>
        <w:rPr>
          <w:rFonts w:hint="eastAsia" w:ascii="仿宋" w:hAnsi="仿宋" w:eastAsia="仿宋"/>
          <w:sz w:val="32"/>
        </w:rPr>
        <w:t>2026年</w:t>
      </w:r>
      <w:r>
        <w:rPr>
          <w:rFonts w:hint="eastAsia" w:ascii="仿宋" w:hAnsi="仿宋" w:eastAsia="仿宋"/>
          <w:sz w:val="32"/>
          <w:lang w:val="en-US" w:eastAsia="zh-CN"/>
        </w:rPr>
        <w:t>4</w:t>
      </w:r>
      <w:r>
        <w:rPr>
          <w:rFonts w:hint="eastAsia" w:ascii="仿宋" w:hAnsi="仿宋" w:eastAsia="仿宋"/>
          <w:sz w:val="32"/>
        </w:rPr>
        <w:t>月</w:t>
      </w:r>
      <w:r>
        <w:rPr>
          <w:rFonts w:hint="eastAsia" w:ascii="仿宋" w:hAnsi="仿宋" w:eastAsia="仿宋"/>
          <w:sz w:val="32"/>
          <w:lang w:val="en-US" w:eastAsia="zh-CN"/>
        </w:rPr>
        <w:t>9</w:t>
      </w:r>
      <w:bookmarkStart w:id="0" w:name="_GoBack"/>
      <w:bookmarkEnd w:id="0"/>
      <w:r>
        <w:rPr>
          <w:rFonts w:hint="eastAsia" w:ascii="仿宋" w:hAnsi="仿宋" w:eastAsia="仿宋"/>
          <w:sz w:val="32"/>
        </w:rPr>
        <w:t>日</w:t>
      </w:r>
    </w:p>
    <w:sectPr>
      <w:footerReference r:id="rId3" w:type="default"/>
      <w:pgSz w:w="11906" w:h="16838"/>
      <w:pgMar w:top="2098" w:right="1531" w:bottom="1985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516F0172-117E-4FB3-B5E1-146202F02811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2" w:fontKey="{67BB041D-7A56-4183-B810-304D9B76C348}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  <w:embedRegular r:id="rId3" w:fontKey="{E0A7CF1C-AB1E-4D3B-8ACB-38E95CDE5384}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BB84695F-C4E8-48D2-98D1-B4C8AAE04C0F}"/>
  </w:font>
  <w:font w:name="WPSEMBED2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94424098"/>
    </w:sdtPr>
    <w:sdtContent>
      <w:p w14:paraId="514AF322">
        <w:pPr>
          <w:pStyle w:val="8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5</w:t>
        </w:r>
        <w:r>
          <w:fldChar w:fldCharType="end"/>
        </w:r>
      </w:p>
    </w:sdtContent>
  </w:sdt>
  <w:p w14:paraId="536EAD19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A5E5AF"/>
    <w:multiLevelType w:val="singleLevel"/>
    <w:tmpl w:val="A0A5E5AF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F51E9D5A"/>
    <w:multiLevelType w:val="singleLevel"/>
    <w:tmpl w:val="F51E9D5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2F92F852"/>
    <w:multiLevelType w:val="singleLevel"/>
    <w:tmpl w:val="2F92F852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3E84DD23"/>
    <w:multiLevelType w:val="singleLevel"/>
    <w:tmpl w:val="3E84DD23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422838EA"/>
    <w:multiLevelType w:val="multilevel"/>
    <w:tmpl w:val="422838EA"/>
    <w:lvl w:ilvl="0" w:tentative="0">
      <w:start w:val="1"/>
      <w:numFmt w:val="decimal"/>
      <w:pStyle w:val="2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WM0ZDBmMDE4ZGZlMzhlYzNjYmYzNDY3NjMwZTAifQ=="/>
  </w:docVars>
  <w:rsids>
    <w:rsidRoot w:val="003344A3"/>
    <w:rsid w:val="000162D0"/>
    <w:rsid w:val="00036F5D"/>
    <w:rsid w:val="00050AE4"/>
    <w:rsid w:val="001655D9"/>
    <w:rsid w:val="00190E0E"/>
    <w:rsid w:val="001B2744"/>
    <w:rsid w:val="001B72BA"/>
    <w:rsid w:val="001D2425"/>
    <w:rsid w:val="001E06D2"/>
    <w:rsid w:val="001F2EAF"/>
    <w:rsid w:val="00212615"/>
    <w:rsid w:val="00286F4C"/>
    <w:rsid w:val="002966D2"/>
    <w:rsid w:val="00306BCD"/>
    <w:rsid w:val="003344A3"/>
    <w:rsid w:val="00344B3C"/>
    <w:rsid w:val="0034626C"/>
    <w:rsid w:val="00360923"/>
    <w:rsid w:val="003665ED"/>
    <w:rsid w:val="00394008"/>
    <w:rsid w:val="003E1DC3"/>
    <w:rsid w:val="003E372F"/>
    <w:rsid w:val="003F6A24"/>
    <w:rsid w:val="004124CB"/>
    <w:rsid w:val="00430966"/>
    <w:rsid w:val="004362D4"/>
    <w:rsid w:val="00445EFD"/>
    <w:rsid w:val="00492399"/>
    <w:rsid w:val="004A0060"/>
    <w:rsid w:val="004E1ADB"/>
    <w:rsid w:val="004F2074"/>
    <w:rsid w:val="004F4BD0"/>
    <w:rsid w:val="004F72A5"/>
    <w:rsid w:val="0050336A"/>
    <w:rsid w:val="00521275"/>
    <w:rsid w:val="00551077"/>
    <w:rsid w:val="005725EA"/>
    <w:rsid w:val="00597932"/>
    <w:rsid w:val="005B5001"/>
    <w:rsid w:val="005D031E"/>
    <w:rsid w:val="005D0A33"/>
    <w:rsid w:val="005D233D"/>
    <w:rsid w:val="005F39D7"/>
    <w:rsid w:val="00606C32"/>
    <w:rsid w:val="006217C8"/>
    <w:rsid w:val="00622497"/>
    <w:rsid w:val="006943CA"/>
    <w:rsid w:val="00695A40"/>
    <w:rsid w:val="006A2944"/>
    <w:rsid w:val="006B3716"/>
    <w:rsid w:val="006E254B"/>
    <w:rsid w:val="00717F0C"/>
    <w:rsid w:val="00761BA7"/>
    <w:rsid w:val="00765720"/>
    <w:rsid w:val="007800C3"/>
    <w:rsid w:val="007B66F4"/>
    <w:rsid w:val="0082666F"/>
    <w:rsid w:val="008513C9"/>
    <w:rsid w:val="008621AA"/>
    <w:rsid w:val="00881886"/>
    <w:rsid w:val="0089168F"/>
    <w:rsid w:val="008B3B5E"/>
    <w:rsid w:val="009120B2"/>
    <w:rsid w:val="00950257"/>
    <w:rsid w:val="009509E8"/>
    <w:rsid w:val="00957FBB"/>
    <w:rsid w:val="00992773"/>
    <w:rsid w:val="009C0E01"/>
    <w:rsid w:val="009C6CDE"/>
    <w:rsid w:val="00A31717"/>
    <w:rsid w:val="00A34078"/>
    <w:rsid w:val="00A36BAE"/>
    <w:rsid w:val="00A63471"/>
    <w:rsid w:val="00A74849"/>
    <w:rsid w:val="00A866B6"/>
    <w:rsid w:val="00A94DE5"/>
    <w:rsid w:val="00AB1DF3"/>
    <w:rsid w:val="00AC13D8"/>
    <w:rsid w:val="00AD135E"/>
    <w:rsid w:val="00AE27E0"/>
    <w:rsid w:val="00AF0D9C"/>
    <w:rsid w:val="00AF2B89"/>
    <w:rsid w:val="00B07596"/>
    <w:rsid w:val="00B10AD0"/>
    <w:rsid w:val="00B74259"/>
    <w:rsid w:val="00B77636"/>
    <w:rsid w:val="00B80699"/>
    <w:rsid w:val="00BB3EFE"/>
    <w:rsid w:val="00C16B4D"/>
    <w:rsid w:val="00C23CFD"/>
    <w:rsid w:val="00C264D3"/>
    <w:rsid w:val="00C41A15"/>
    <w:rsid w:val="00C42DF6"/>
    <w:rsid w:val="00C72466"/>
    <w:rsid w:val="00CC273A"/>
    <w:rsid w:val="00CE68F3"/>
    <w:rsid w:val="00D32FD4"/>
    <w:rsid w:val="00D5610A"/>
    <w:rsid w:val="00D6447D"/>
    <w:rsid w:val="00DA1CCF"/>
    <w:rsid w:val="00DB42E7"/>
    <w:rsid w:val="00DD031A"/>
    <w:rsid w:val="00DD5D0C"/>
    <w:rsid w:val="00E10093"/>
    <w:rsid w:val="00E2197F"/>
    <w:rsid w:val="00E22C81"/>
    <w:rsid w:val="00E23CBF"/>
    <w:rsid w:val="00E43216"/>
    <w:rsid w:val="00E545B7"/>
    <w:rsid w:val="00E97F69"/>
    <w:rsid w:val="00EC3190"/>
    <w:rsid w:val="00EE1DE9"/>
    <w:rsid w:val="00F0697E"/>
    <w:rsid w:val="00F375DF"/>
    <w:rsid w:val="00F444AF"/>
    <w:rsid w:val="00F545AA"/>
    <w:rsid w:val="00F61056"/>
    <w:rsid w:val="00F71891"/>
    <w:rsid w:val="00F97DD8"/>
    <w:rsid w:val="00FC47ED"/>
    <w:rsid w:val="02C018EE"/>
    <w:rsid w:val="0CD64256"/>
    <w:rsid w:val="131B4021"/>
    <w:rsid w:val="16542476"/>
    <w:rsid w:val="17527E84"/>
    <w:rsid w:val="17597037"/>
    <w:rsid w:val="1E25674C"/>
    <w:rsid w:val="24781A0F"/>
    <w:rsid w:val="248A3369"/>
    <w:rsid w:val="27F76081"/>
    <w:rsid w:val="2DF5691E"/>
    <w:rsid w:val="3158253C"/>
    <w:rsid w:val="359758E5"/>
    <w:rsid w:val="3C7310A8"/>
    <w:rsid w:val="406D327C"/>
    <w:rsid w:val="41232FB4"/>
    <w:rsid w:val="443864E5"/>
    <w:rsid w:val="4D4F3397"/>
    <w:rsid w:val="4D5343DB"/>
    <w:rsid w:val="540D0004"/>
    <w:rsid w:val="554D131D"/>
    <w:rsid w:val="560C31A1"/>
    <w:rsid w:val="59497308"/>
    <w:rsid w:val="5A252C10"/>
    <w:rsid w:val="5C036F8E"/>
    <w:rsid w:val="60382A6D"/>
    <w:rsid w:val="65615A72"/>
    <w:rsid w:val="6A49294B"/>
    <w:rsid w:val="6B891AA1"/>
    <w:rsid w:val="712802AE"/>
    <w:rsid w:val="74DC26E0"/>
    <w:rsid w:val="75387EA3"/>
    <w:rsid w:val="76BB072D"/>
    <w:rsid w:val="79A14B4D"/>
    <w:rsid w:val="7AF64429"/>
    <w:rsid w:val="7B831A9B"/>
    <w:rsid w:val="7BA50B9A"/>
    <w:rsid w:val="7D771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numPr>
        <w:ilvl w:val="0"/>
        <w:numId w:val="1"/>
      </w:numPr>
      <w:spacing w:before="120" w:after="120"/>
      <w:outlineLvl w:val="0"/>
    </w:pPr>
    <w:rPr>
      <w:rFonts w:ascii="仿宋" w:hAnsi="仿宋" w:eastAsia="黑体"/>
      <w:bCs/>
      <w:kern w:val="44"/>
      <w:sz w:val="32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numPr>
        <w:ilvl w:val="1"/>
        <w:numId w:val="1"/>
      </w:numPr>
      <w:tabs>
        <w:tab w:val="left" w:pos="210"/>
      </w:tabs>
      <w:spacing w:before="120" w:after="120" w:line="360" w:lineRule="auto"/>
      <w:ind w:firstLine="200" w:firstLineChars="200"/>
      <w:outlineLvl w:val="1"/>
    </w:pPr>
    <w:rPr>
      <w:rFonts w:ascii="仿宋" w:eastAsia="仿宋" w:hAnsiTheme="majorHAnsi" w:cstheme="majorBidi"/>
      <w:b/>
      <w:bCs/>
      <w:sz w:val="24"/>
      <w:szCs w:val="32"/>
    </w:rPr>
  </w:style>
  <w:style w:type="paragraph" w:styleId="4">
    <w:name w:val="heading 3"/>
    <w:basedOn w:val="1"/>
    <w:next w:val="1"/>
    <w:semiHidden/>
    <w:unhideWhenUsed/>
    <w:qFormat/>
    <w:uiPriority w:val="9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numPr>
        <w:ilvl w:val="3"/>
        <w:numId w:val="1"/>
      </w:numPr>
      <w:spacing w:before="120" w:after="120" w:line="360" w:lineRule="auto"/>
      <w:ind w:firstLine="400" w:firstLineChars="400"/>
      <w:outlineLvl w:val="3"/>
    </w:pPr>
    <w:rPr>
      <w:rFonts w:ascii="仿宋" w:eastAsia="仿宋" w:hAnsiTheme="majorHAnsi" w:cstheme="majorBidi"/>
      <w:b/>
      <w:bCs/>
      <w:sz w:val="24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annotation subject"/>
    <w:basedOn w:val="6"/>
    <w:next w:val="6"/>
    <w:link w:val="20"/>
    <w:semiHidden/>
    <w:unhideWhenUsed/>
    <w:qFormat/>
    <w:uiPriority w:val="99"/>
    <w:rPr>
      <w:b/>
      <w:bCs/>
    </w:rPr>
  </w:style>
  <w:style w:type="table" w:styleId="12">
    <w:name w:val="Table Grid"/>
    <w:basedOn w:val="11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annotation reference"/>
    <w:basedOn w:val="13"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3"/>
    <w:link w:val="9"/>
    <w:qFormat/>
    <w:uiPriority w:val="99"/>
    <w:rPr>
      <w:sz w:val="18"/>
      <w:szCs w:val="18"/>
    </w:rPr>
  </w:style>
  <w:style w:type="character" w:customStyle="1" w:styleId="17">
    <w:name w:val="页脚 字符"/>
    <w:basedOn w:val="13"/>
    <w:link w:val="8"/>
    <w:qFormat/>
    <w:uiPriority w:val="99"/>
    <w:rPr>
      <w:sz w:val="18"/>
      <w:szCs w:val="18"/>
    </w:rPr>
  </w:style>
  <w:style w:type="character" w:customStyle="1" w:styleId="18">
    <w:name w:val="批注框文本 字符"/>
    <w:basedOn w:val="13"/>
    <w:link w:val="7"/>
    <w:semiHidden/>
    <w:qFormat/>
    <w:uiPriority w:val="99"/>
    <w:rPr>
      <w:sz w:val="18"/>
      <w:szCs w:val="18"/>
    </w:rPr>
  </w:style>
  <w:style w:type="character" w:customStyle="1" w:styleId="19">
    <w:name w:val="批注文字 字符"/>
    <w:basedOn w:val="13"/>
    <w:link w:val="6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0">
    <w:name w:val="批注主题 字符"/>
    <w:basedOn w:val="19"/>
    <w:link w:val="10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2075</Words>
  <Characters>2170</Characters>
  <Lines>17</Lines>
  <Paragraphs>4</Paragraphs>
  <TotalTime>153</TotalTime>
  <ScaleCrop>false</ScaleCrop>
  <LinksUpToDate>false</LinksUpToDate>
  <CharactersWithSpaces>2239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2021-06-08T00:10:00Z</dcterms:created>
  <dc:creator>SRM</dc:creator>
  <cp:lastModifiedBy>倩倩</cp:lastModifiedBy>
  <cp:lastPrinted>2021-06-10T01:01:00Z</cp:lastPrinted>
  <dcterms:modified xsi:type="dcterms:W3CDTF">2026-04-09T03:18:23Z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E8BECB8318F44CEC83B498D58B980E05_13</vt:lpwstr>
  </property>
  <property fmtid="{D5CDD505-2E9C-101B-9397-08002B2CF9AE}" pid="4" name="KSOTemplateDocerSaveRecord">
    <vt:lpwstr>eyJoZGlkIjoiNTEzMGM1MTUzYzFhMmMwMzY1MDQ0NDY1M2M5NTkyZmEiLCJ1c2VySWQiOiIyMzc2NzU5NzEifQ==</vt:lpwstr>
  </property>
</Properties>
</file>