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pacing w:val="-6"/>
          <w:sz w:val="48"/>
          <w:szCs w:val="48"/>
        </w:rPr>
      </w:pPr>
    </w:p>
    <w:p>
      <w:pPr>
        <w:rPr>
          <w:rFonts w:ascii="宋体" w:hAnsi="宋体"/>
          <w:sz w:val="28"/>
          <w:szCs w:val="28"/>
        </w:rPr>
      </w:pPr>
    </w:p>
    <w:p>
      <w:pPr>
        <w:jc w:val="center"/>
        <w:rPr>
          <w:rFonts w:ascii="宋体" w:hAnsi="宋体"/>
          <w:b/>
          <w:spacing w:val="-6"/>
          <w:sz w:val="48"/>
          <w:szCs w:val="48"/>
        </w:rPr>
      </w:pPr>
      <w:r>
        <w:rPr>
          <w:rFonts w:hint="eastAsia" w:ascii="宋体" w:hAnsi="宋体"/>
          <w:b/>
          <w:spacing w:val="-6"/>
          <w:sz w:val="48"/>
          <w:szCs w:val="48"/>
        </w:rPr>
        <w:t>浙江大学</w:t>
      </w:r>
    </w:p>
    <w:p>
      <w:pPr>
        <w:jc w:val="center"/>
        <w:rPr>
          <w:rFonts w:ascii="宋体" w:hAnsi="宋体"/>
          <w:b/>
          <w:spacing w:val="-6"/>
          <w:sz w:val="48"/>
          <w:szCs w:val="48"/>
        </w:rPr>
      </w:pPr>
      <w:r>
        <w:rPr>
          <w:rFonts w:hint="eastAsia" w:ascii="宋体" w:hAnsi="宋体"/>
          <w:b/>
          <w:spacing w:val="-6"/>
          <w:sz w:val="48"/>
          <w:szCs w:val="48"/>
        </w:rPr>
        <w:t>浙江大学-爱丁堡生物学联合研究中心设备采购项目</w:t>
      </w:r>
    </w:p>
    <w:p>
      <w:pPr>
        <w:jc w:val="center"/>
        <w:rPr>
          <w:rFonts w:ascii="宋体" w:hAnsi="宋体"/>
          <w:b/>
          <w:sz w:val="72"/>
          <w:szCs w:val="72"/>
        </w:rPr>
      </w:pPr>
    </w:p>
    <w:p>
      <w:pPr>
        <w:jc w:val="center"/>
        <w:rPr>
          <w:rFonts w:ascii="宋体" w:hAnsi="宋体"/>
        </w:rPr>
      </w:pPr>
    </w:p>
    <w:p>
      <w:pPr>
        <w:jc w:val="center"/>
        <w:rPr>
          <w:rFonts w:ascii="宋体" w:hAnsi="宋体"/>
          <w:b/>
          <w:spacing w:val="-6"/>
          <w:sz w:val="72"/>
          <w:szCs w:val="72"/>
        </w:rPr>
      </w:pPr>
      <w:r>
        <w:rPr>
          <w:rFonts w:hint="eastAsia" w:ascii="宋体" w:hAnsi="宋体"/>
          <w:b/>
          <w:spacing w:val="-6"/>
          <w:sz w:val="72"/>
          <w:szCs w:val="72"/>
        </w:rPr>
        <w:t>竞争性磋商文件</w:t>
      </w:r>
    </w:p>
    <w:p>
      <w:pPr>
        <w:jc w:val="center"/>
        <w:rPr>
          <w:rFonts w:ascii="宋体" w:hAnsi="宋体"/>
          <w:sz w:val="44"/>
          <w:szCs w:val="44"/>
        </w:rPr>
      </w:pPr>
    </w:p>
    <w:p>
      <w:pPr>
        <w:jc w:val="center"/>
        <w:rPr>
          <w:rFonts w:ascii="宋体" w:hAnsi="宋体"/>
          <w:sz w:val="44"/>
          <w:szCs w:val="44"/>
        </w:rPr>
      </w:pPr>
    </w:p>
    <w:p>
      <w:pPr>
        <w:ind w:firstLine="880" w:firstLineChars="200"/>
        <w:jc w:val="center"/>
        <w:rPr>
          <w:rFonts w:ascii="宋体" w:hAnsi="宋体"/>
          <w:sz w:val="44"/>
          <w:szCs w:val="44"/>
        </w:rPr>
      </w:pPr>
    </w:p>
    <w:p>
      <w:pPr>
        <w:ind w:firstLine="643" w:firstLineChars="200"/>
        <w:rPr>
          <w:rFonts w:ascii="宋体" w:hAnsi="宋体"/>
          <w:b/>
          <w:bCs/>
          <w:sz w:val="32"/>
          <w:szCs w:val="32"/>
        </w:rPr>
      </w:pPr>
      <w:r>
        <w:rPr>
          <w:rFonts w:hint="eastAsia" w:ascii="宋体" w:hAnsi="宋体"/>
          <w:b/>
          <w:bCs/>
          <w:sz w:val="32"/>
          <w:szCs w:val="32"/>
        </w:rPr>
        <w:t>项目名称：浙江大学-爱丁堡生物学联合研究中心设备采购项目</w:t>
      </w:r>
    </w:p>
    <w:p>
      <w:pPr>
        <w:ind w:firstLine="643" w:firstLineChars="200"/>
        <w:rPr>
          <w:rFonts w:ascii="宋体" w:hAnsi="宋体"/>
          <w:b/>
          <w:bCs/>
          <w:sz w:val="32"/>
          <w:szCs w:val="32"/>
        </w:rPr>
      </w:pPr>
      <w:r>
        <w:rPr>
          <w:rFonts w:hint="eastAsia" w:ascii="宋体" w:hAnsi="宋体"/>
          <w:b/>
          <w:bCs/>
          <w:sz w:val="32"/>
          <w:szCs w:val="32"/>
        </w:rPr>
        <w:t>项目编号：ZJWSBJ-ZJU-2020078C</w:t>
      </w:r>
    </w:p>
    <w:p>
      <w:pPr>
        <w:ind w:firstLine="643" w:firstLineChars="200"/>
        <w:rPr>
          <w:rFonts w:ascii="宋体" w:hAnsi="宋体"/>
          <w:b/>
          <w:bCs/>
          <w:sz w:val="32"/>
          <w:szCs w:val="32"/>
        </w:rPr>
      </w:pPr>
      <w:r>
        <w:rPr>
          <w:rFonts w:hint="eastAsia" w:ascii="宋体" w:hAnsi="宋体"/>
          <w:b/>
          <w:bCs/>
          <w:sz w:val="32"/>
          <w:szCs w:val="32"/>
        </w:rPr>
        <w:t>采 购 人：浙江大学</w:t>
      </w:r>
    </w:p>
    <w:p>
      <w:pPr>
        <w:ind w:firstLine="643" w:firstLineChars="200"/>
        <w:rPr>
          <w:rFonts w:ascii="宋体" w:hAnsi="宋体"/>
          <w:b/>
          <w:bCs/>
          <w:sz w:val="32"/>
          <w:szCs w:val="32"/>
        </w:rPr>
      </w:pPr>
      <w:r>
        <w:rPr>
          <w:rFonts w:hint="eastAsia" w:ascii="宋体" w:hAnsi="宋体"/>
          <w:b/>
          <w:bCs/>
          <w:sz w:val="32"/>
          <w:szCs w:val="32"/>
        </w:rPr>
        <w:t>采购代理机构：浙江五石工程咨询有限公司</w:t>
      </w:r>
    </w:p>
    <w:p>
      <w:pPr>
        <w:ind w:firstLine="643" w:firstLineChars="200"/>
        <w:rPr>
          <w:rFonts w:ascii="宋体" w:hAnsi="宋体"/>
          <w:b/>
          <w:bCs/>
          <w:sz w:val="32"/>
          <w:szCs w:val="32"/>
        </w:rPr>
        <w:sectPr>
          <w:headerReference r:id="rId7" w:type="first"/>
          <w:headerReference r:id="rId5" w:type="default"/>
          <w:headerReference r:id="rId6" w:type="even"/>
          <w:footerReference r:id="rId8" w:type="even"/>
          <w:pgSz w:w="11906" w:h="16838"/>
          <w:pgMar w:top="1440" w:right="1416" w:bottom="1440" w:left="1800" w:header="851" w:footer="992" w:gutter="0"/>
          <w:pgNumType w:start="1"/>
          <w:cols w:space="720" w:num="1"/>
          <w:docGrid w:type="lines" w:linePitch="312" w:charSpace="0"/>
        </w:sectPr>
      </w:pPr>
      <w:r>
        <w:rPr>
          <w:rFonts w:hint="eastAsia" w:ascii="宋体" w:hAnsi="宋体"/>
          <w:b/>
          <w:bCs/>
          <w:sz w:val="32"/>
          <w:szCs w:val="32"/>
        </w:rPr>
        <w:t>时    间：二〇二〇年九月</w:t>
      </w:r>
    </w:p>
    <w:p>
      <w:pPr>
        <w:jc w:val="center"/>
        <w:rPr>
          <w:rFonts w:ascii="宋体" w:hAnsi="宋体"/>
          <w:b/>
          <w:sz w:val="32"/>
          <w:szCs w:val="32"/>
        </w:rPr>
      </w:pPr>
      <w:bookmarkStart w:id="0" w:name="_Toc23867"/>
      <w:bookmarkStart w:id="1" w:name="_Toc528579033"/>
      <w:r>
        <w:rPr>
          <w:rFonts w:hint="eastAsia" w:ascii="宋体" w:hAnsi="宋体"/>
          <w:b/>
          <w:sz w:val="32"/>
          <w:szCs w:val="32"/>
        </w:rPr>
        <w:t>目    录</w:t>
      </w:r>
      <w:bookmarkEnd w:id="0"/>
      <w:bookmarkEnd w:id="1"/>
    </w:p>
    <w:p>
      <w:pPr>
        <w:pStyle w:val="2"/>
        <w:rPr>
          <w:rFonts w:ascii="宋体" w:hAnsi="宋体" w:eastAsia="宋体" w:cs="宋体"/>
          <w:color w:val="auto"/>
        </w:rPr>
      </w:pPr>
    </w:p>
    <w:p>
      <w:pPr>
        <w:pStyle w:val="20"/>
        <w:tabs>
          <w:tab w:val="right" w:leader="dot" w:pos="9412"/>
        </w:tabs>
        <w:adjustRightInd/>
        <w:snapToGrid/>
        <w:rPr>
          <w:rFonts w:ascii="宋体" w:hAnsi="宋体"/>
          <w:sz w:val="28"/>
          <w:szCs w:val="28"/>
        </w:rPr>
      </w:pPr>
      <w:r>
        <w:rPr>
          <w:rFonts w:hint="eastAsia" w:ascii="宋体" w:hAnsi="宋体"/>
          <w:sz w:val="28"/>
          <w:szCs w:val="28"/>
        </w:rPr>
        <w:fldChar w:fldCharType="begin"/>
      </w:r>
      <w:r>
        <w:rPr>
          <w:rFonts w:hint="eastAsia" w:ascii="宋体" w:hAnsi="宋体"/>
          <w:sz w:val="28"/>
          <w:szCs w:val="28"/>
        </w:rPr>
        <w:instrText xml:space="preserve"> TOC \o "1-2" \h \z \u </w:instrText>
      </w:r>
      <w:r>
        <w:rPr>
          <w:rFonts w:hint="eastAsia" w:ascii="宋体" w:hAnsi="宋体"/>
          <w:sz w:val="28"/>
          <w:szCs w:val="28"/>
        </w:rPr>
        <w:fldChar w:fldCharType="separate"/>
      </w:r>
      <w:r>
        <w:fldChar w:fldCharType="begin"/>
      </w:r>
      <w:r>
        <w:instrText xml:space="preserve"> HYPERLINK \l "_Toc10059" </w:instrText>
      </w:r>
      <w:r>
        <w:fldChar w:fldCharType="separate"/>
      </w:r>
      <w:r>
        <w:rPr>
          <w:rFonts w:hint="eastAsia" w:ascii="宋体" w:hAnsi="宋体"/>
          <w:spacing w:val="-6"/>
          <w:sz w:val="28"/>
          <w:szCs w:val="28"/>
        </w:rPr>
        <w:t>第一章  竞争性磋商公告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PAGEREF _Toc10059 </w:instrText>
      </w:r>
      <w:r>
        <w:rPr>
          <w:rFonts w:hint="eastAsia" w:ascii="宋体" w:hAnsi="宋体"/>
          <w:sz w:val="28"/>
          <w:szCs w:val="28"/>
        </w:rPr>
        <w:fldChar w:fldCharType="separate"/>
      </w:r>
      <w:r>
        <w:rPr>
          <w:rFonts w:hint="eastAsia" w:ascii="宋体" w:hAnsi="宋体"/>
          <w:sz w:val="28"/>
          <w:szCs w:val="28"/>
        </w:rPr>
        <w:t>1</w:t>
      </w:r>
      <w:r>
        <w:rPr>
          <w:rFonts w:hint="eastAsia" w:ascii="宋体" w:hAnsi="宋体"/>
          <w:sz w:val="28"/>
          <w:szCs w:val="28"/>
        </w:rPr>
        <w:fldChar w:fldCharType="end"/>
      </w:r>
      <w:r>
        <w:rPr>
          <w:rFonts w:hint="eastAsia" w:ascii="宋体" w:hAnsi="宋体"/>
          <w:sz w:val="28"/>
          <w:szCs w:val="28"/>
        </w:rPr>
        <w:fldChar w:fldCharType="end"/>
      </w:r>
    </w:p>
    <w:p>
      <w:pPr>
        <w:pStyle w:val="20"/>
        <w:tabs>
          <w:tab w:val="right" w:leader="dot" w:pos="9412"/>
        </w:tabs>
        <w:adjustRightInd/>
        <w:snapToGrid/>
        <w:rPr>
          <w:rFonts w:ascii="宋体" w:hAnsi="宋体"/>
          <w:sz w:val="28"/>
          <w:szCs w:val="28"/>
        </w:rPr>
      </w:pPr>
      <w:r>
        <w:fldChar w:fldCharType="begin"/>
      </w:r>
      <w:r>
        <w:instrText xml:space="preserve"> HYPERLINK \l "_Toc9353" </w:instrText>
      </w:r>
      <w:r>
        <w:fldChar w:fldCharType="separate"/>
      </w:r>
      <w:r>
        <w:rPr>
          <w:rFonts w:hint="eastAsia" w:ascii="宋体" w:hAnsi="宋体"/>
          <w:sz w:val="28"/>
          <w:szCs w:val="28"/>
        </w:rPr>
        <w:t xml:space="preserve">第二章  </w:t>
      </w:r>
      <w:r>
        <w:rPr>
          <w:rFonts w:hint="eastAsia" w:ascii="宋体" w:hAnsi="宋体"/>
          <w:bCs/>
          <w:sz w:val="28"/>
          <w:szCs w:val="28"/>
        </w:rPr>
        <w:t>采购需求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PAGEREF _Toc9353 </w:instrText>
      </w:r>
      <w:r>
        <w:rPr>
          <w:rFonts w:hint="eastAsia" w:ascii="宋体" w:hAnsi="宋体"/>
          <w:sz w:val="28"/>
          <w:szCs w:val="28"/>
        </w:rPr>
        <w:fldChar w:fldCharType="separate"/>
      </w:r>
      <w:r>
        <w:rPr>
          <w:rFonts w:hint="eastAsia" w:ascii="宋体" w:hAnsi="宋体"/>
          <w:sz w:val="28"/>
          <w:szCs w:val="28"/>
        </w:rPr>
        <w:t>4</w:t>
      </w:r>
      <w:r>
        <w:rPr>
          <w:rFonts w:hint="eastAsia" w:ascii="宋体" w:hAnsi="宋体"/>
          <w:sz w:val="28"/>
          <w:szCs w:val="28"/>
        </w:rPr>
        <w:fldChar w:fldCharType="end"/>
      </w:r>
      <w:r>
        <w:rPr>
          <w:rFonts w:hint="eastAsia" w:ascii="宋体" w:hAnsi="宋体"/>
          <w:sz w:val="28"/>
          <w:szCs w:val="28"/>
        </w:rPr>
        <w:fldChar w:fldCharType="end"/>
      </w:r>
    </w:p>
    <w:p>
      <w:pPr>
        <w:pStyle w:val="20"/>
        <w:tabs>
          <w:tab w:val="right" w:leader="dot" w:pos="9412"/>
        </w:tabs>
        <w:adjustRightInd/>
        <w:snapToGrid/>
        <w:rPr>
          <w:rFonts w:ascii="宋体" w:hAnsi="宋体"/>
          <w:sz w:val="28"/>
          <w:szCs w:val="28"/>
        </w:rPr>
      </w:pPr>
      <w:r>
        <w:fldChar w:fldCharType="begin"/>
      </w:r>
      <w:r>
        <w:instrText xml:space="preserve"> HYPERLINK \l "_Toc19569" </w:instrText>
      </w:r>
      <w:r>
        <w:fldChar w:fldCharType="separate"/>
      </w:r>
      <w:r>
        <w:rPr>
          <w:rFonts w:hint="eastAsia" w:ascii="宋体" w:hAnsi="宋体"/>
          <w:sz w:val="28"/>
          <w:szCs w:val="28"/>
        </w:rPr>
        <w:t>第三章  磋商响应供应商须知</w:t>
      </w:r>
      <w:r>
        <w:rPr>
          <w:rFonts w:hint="eastAsia" w:ascii="宋体" w:hAnsi="宋体"/>
          <w:sz w:val="28"/>
          <w:szCs w:val="28"/>
        </w:rPr>
        <w:tab/>
      </w:r>
      <w:r>
        <w:rPr>
          <w:rFonts w:hint="eastAsia" w:ascii="宋体" w:hAnsi="宋体"/>
          <w:sz w:val="28"/>
          <w:szCs w:val="28"/>
        </w:rPr>
        <w:fldChar w:fldCharType="end"/>
      </w:r>
      <w:r>
        <w:rPr>
          <w:rFonts w:hint="eastAsia" w:ascii="宋体" w:hAnsi="宋体"/>
          <w:sz w:val="28"/>
          <w:szCs w:val="28"/>
        </w:rPr>
        <w:t>9</w:t>
      </w:r>
    </w:p>
    <w:p>
      <w:pPr>
        <w:pStyle w:val="20"/>
        <w:tabs>
          <w:tab w:val="right" w:leader="dot" w:pos="9412"/>
        </w:tabs>
        <w:adjustRightInd/>
        <w:snapToGrid/>
        <w:rPr>
          <w:rFonts w:ascii="宋体" w:hAnsi="宋体"/>
          <w:sz w:val="28"/>
          <w:szCs w:val="28"/>
        </w:rPr>
      </w:pPr>
      <w:r>
        <w:fldChar w:fldCharType="begin"/>
      </w:r>
      <w:r>
        <w:instrText xml:space="preserve"> HYPERLINK \l "_Toc5229" </w:instrText>
      </w:r>
      <w:r>
        <w:fldChar w:fldCharType="separate"/>
      </w:r>
      <w:r>
        <w:rPr>
          <w:rFonts w:hint="eastAsia" w:ascii="宋体" w:hAnsi="宋体"/>
          <w:spacing w:val="-6"/>
          <w:sz w:val="28"/>
          <w:szCs w:val="28"/>
        </w:rPr>
        <w:t>第四章  评审办法及标准</w:t>
      </w:r>
      <w:r>
        <w:rPr>
          <w:rFonts w:hint="eastAsia" w:ascii="宋体" w:hAnsi="宋体"/>
          <w:sz w:val="28"/>
          <w:szCs w:val="28"/>
        </w:rPr>
        <w:tab/>
      </w:r>
      <w:r>
        <w:rPr>
          <w:rFonts w:hint="eastAsia" w:ascii="宋体" w:hAnsi="宋体"/>
          <w:sz w:val="28"/>
          <w:szCs w:val="28"/>
        </w:rPr>
        <w:fldChar w:fldCharType="end"/>
      </w:r>
      <w:r>
        <w:rPr>
          <w:rFonts w:hint="eastAsia" w:ascii="宋体" w:hAnsi="宋体"/>
          <w:sz w:val="28"/>
          <w:szCs w:val="28"/>
        </w:rPr>
        <w:t>30</w:t>
      </w:r>
    </w:p>
    <w:p>
      <w:pPr>
        <w:pStyle w:val="20"/>
        <w:tabs>
          <w:tab w:val="right" w:leader="dot" w:pos="9412"/>
        </w:tabs>
        <w:adjustRightInd/>
        <w:snapToGrid/>
        <w:rPr>
          <w:rFonts w:ascii="宋体" w:hAnsi="宋体"/>
          <w:sz w:val="28"/>
          <w:szCs w:val="28"/>
        </w:rPr>
      </w:pPr>
      <w:r>
        <w:fldChar w:fldCharType="begin"/>
      </w:r>
      <w:r>
        <w:instrText xml:space="preserve"> HYPERLINK \l "_Toc19339" </w:instrText>
      </w:r>
      <w:r>
        <w:fldChar w:fldCharType="separate"/>
      </w:r>
      <w:r>
        <w:rPr>
          <w:rFonts w:hint="eastAsia" w:ascii="宋体" w:hAnsi="宋体"/>
          <w:spacing w:val="-6"/>
          <w:sz w:val="28"/>
          <w:szCs w:val="28"/>
        </w:rPr>
        <w:t>第五章  合同格式及合同条款</w:t>
      </w:r>
      <w:r>
        <w:rPr>
          <w:rFonts w:hint="eastAsia" w:ascii="宋体" w:hAnsi="宋体"/>
          <w:sz w:val="28"/>
          <w:szCs w:val="28"/>
        </w:rPr>
        <w:tab/>
      </w:r>
      <w:r>
        <w:rPr>
          <w:rFonts w:hint="eastAsia" w:ascii="宋体" w:hAnsi="宋体"/>
          <w:sz w:val="28"/>
          <w:szCs w:val="28"/>
        </w:rPr>
        <w:fldChar w:fldCharType="end"/>
      </w:r>
      <w:r>
        <w:rPr>
          <w:rFonts w:hint="eastAsia" w:ascii="宋体" w:hAnsi="宋体"/>
          <w:sz w:val="28"/>
          <w:szCs w:val="28"/>
        </w:rPr>
        <w:t>33</w:t>
      </w:r>
    </w:p>
    <w:p>
      <w:pPr>
        <w:pStyle w:val="20"/>
        <w:tabs>
          <w:tab w:val="right" w:leader="dot" w:pos="9412"/>
        </w:tabs>
        <w:adjustRightInd/>
        <w:snapToGrid/>
        <w:rPr>
          <w:rFonts w:ascii="宋体" w:hAnsi="宋体"/>
          <w:sz w:val="28"/>
          <w:szCs w:val="28"/>
        </w:rPr>
      </w:pPr>
      <w:r>
        <w:fldChar w:fldCharType="begin"/>
      </w:r>
      <w:r>
        <w:instrText xml:space="preserve"> HYPERLINK \l "_Toc8289" </w:instrText>
      </w:r>
      <w:r>
        <w:fldChar w:fldCharType="separate"/>
      </w:r>
      <w:r>
        <w:rPr>
          <w:rFonts w:hint="eastAsia" w:ascii="宋体" w:hAnsi="宋体"/>
          <w:spacing w:val="-6"/>
          <w:sz w:val="28"/>
          <w:szCs w:val="28"/>
        </w:rPr>
        <w:t>第六章  应提交的有关响应文件格式范例</w:t>
      </w:r>
      <w:r>
        <w:rPr>
          <w:rFonts w:hint="eastAsia" w:ascii="宋体" w:hAnsi="宋体"/>
          <w:sz w:val="28"/>
          <w:szCs w:val="28"/>
        </w:rPr>
        <w:tab/>
      </w:r>
      <w:r>
        <w:rPr>
          <w:rFonts w:hint="eastAsia" w:ascii="宋体" w:hAnsi="宋体"/>
          <w:sz w:val="28"/>
          <w:szCs w:val="28"/>
        </w:rPr>
        <w:fldChar w:fldCharType="end"/>
      </w:r>
      <w:r>
        <w:rPr>
          <w:rFonts w:hint="eastAsia" w:ascii="宋体" w:hAnsi="宋体"/>
          <w:sz w:val="28"/>
          <w:szCs w:val="28"/>
        </w:rPr>
        <w:t>38</w:t>
      </w:r>
    </w:p>
    <w:p>
      <w:pPr>
        <w:adjustRightInd/>
        <w:snapToGrid/>
        <w:rPr>
          <w:rFonts w:ascii="宋体" w:hAnsi="宋体"/>
          <w:sz w:val="32"/>
          <w:szCs w:val="32"/>
        </w:rPr>
      </w:pPr>
      <w:r>
        <w:rPr>
          <w:rFonts w:hint="eastAsia" w:ascii="宋体" w:hAnsi="宋体"/>
          <w:sz w:val="28"/>
          <w:szCs w:val="28"/>
        </w:rPr>
        <w:fldChar w:fldCharType="end"/>
      </w:r>
    </w:p>
    <w:p>
      <w:pPr>
        <w:rPr>
          <w:rFonts w:ascii="宋体" w:hAnsi="宋体"/>
          <w:szCs w:val="22"/>
        </w:rPr>
      </w:pPr>
    </w:p>
    <w:p>
      <w:pPr>
        <w:pStyle w:val="4"/>
        <w:spacing w:line="360" w:lineRule="auto"/>
        <w:rPr>
          <w:color w:val="auto"/>
          <w:spacing w:val="-6"/>
        </w:rPr>
        <w:sectPr>
          <w:headerReference r:id="rId9" w:type="default"/>
          <w:footerReference r:id="rId10" w:type="default"/>
          <w:pgSz w:w="11906" w:h="16838"/>
          <w:pgMar w:top="1247" w:right="1247" w:bottom="1247" w:left="1247" w:header="170" w:footer="567" w:gutter="0"/>
          <w:pgNumType w:start="1"/>
          <w:cols w:space="720" w:num="1"/>
          <w:docGrid w:linePitch="381" w:charSpace="0"/>
        </w:sectPr>
      </w:pPr>
      <w:bookmarkStart w:id="2" w:name="_Toc16819"/>
    </w:p>
    <w:p>
      <w:pPr>
        <w:pStyle w:val="4"/>
        <w:spacing w:line="360" w:lineRule="auto"/>
        <w:rPr>
          <w:color w:val="auto"/>
          <w:spacing w:val="-6"/>
        </w:rPr>
      </w:pPr>
      <w:bookmarkStart w:id="3" w:name="_Toc1296"/>
      <w:bookmarkStart w:id="4" w:name="_Toc528579034"/>
      <w:bookmarkStart w:id="5" w:name="_Toc10059"/>
      <w:r>
        <w:rPr>
          <w:rFonts w:hint="eastAsia"/>
          <w:color w:val="auto"/>
          <w:spacing w:val="-6"/>
        </w:rPr>
        <w:t>第一章  竞争性磋商公告</w:t>
      </w:r>
      <w:bookmarkEnd w:id="2"/>
      <w:bookmarkEnd w:id="3"/>
      <w:bookmarkEnd w:id="4"/>
      <w:bookmarkEnd w:id="5"/>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pStyle w:val="2"/>
              <w:rPr>
                <w:rFonts w:ascii="宋体" w:hAnsi="宋体" w:eastAsia="宋体" w:cs="宋体"/>
                <w:b/>
                <w:bCs/>
                <w:color w:val="auto"/>
              </w:rPr>
            </w:pPr>
            <w:r>
              <w:rPr>
                <w:rFonts w:hint="eastAsia" w:ascii="宋体" w:hAnsi="宋体" w:eastAsia="宋体" w:cs="宋体"/>
                <w:b/>
                <w:bCs/>
                <w:color w:val="auto"/>
              </w:rPr>
              <w:t>项目概况</w:t>
            </w:r>
          </w:p>
          <w:p>
            <w:pPr>
              <w:pStyle w:val="2"/>
              <w:rPr>
                <w:rFonts w:ascii="宋体" w:hAnsi="宋体" w:eastAsia="宋体" w:cs="宋体"/>
                <w:color w:val="auto"/>
              </w:rPr>
            </w:pPr>
            <w:r>
              <w:rPr>
                <w:rFonts w:hint="eastAsia" w:ascii="宋体" w:hAnsi="宋体" w:eastAsia="宋体" w:cs="宋体"/>
                <w:color w:val="auto"/>
                <w:u w:val="single"/>
              </w:rPr>
              <w:t>浙江大学浙江大学-爱丁堡生物学联合研究中心设备</w:t>
            </w:r>
            <w:bookmarkStart w:id="115" w:name="_GoBack"/>
            <w:bookmarkEnd w:id="115"/>
            <w:r>
              <w:rPr>
                <w:rFonts w:hint="eastAsia" w:ascii="宋体" w:hAnsi="宋体" w:eastAsia="宋体" w:cs="宋体"/>
                <w:color w:val="auto"/>
                <w:u w:val="single"/>
              </w:rPr>
              <w:t>采购项目</w:t>
            </w:r>
            <w:r>
              <w:rPr>
                <w:rFonts w:hint="eastAsia" w:ascii="宋体" w:hAnsi="宋体" w:eastAsia="宋体" w:cs="宋体"/>
                <w:color w:val="auto"/>
              </w:rPr>
              <w:t>的潜在供应商应在</w:t>
            </w:r>
            <w:r>
              <w:rPr>
                <w:rFonts w:hint="eastAsia" w:ascii="宋体" w:hAnsi="宋体" w:eastAsia="宋体" w:cs="宋体"/>
                <w:color w:val="auto"/>
                <w:u w:val="single"/>
              </w:rPr>
              <w:t>浙江五石工程咨询有限公司（http://zjwsbidding.com/）</w:t>
            </w:r>
            <w:r>
              <w:rPr>
                <w:rFonts w:hint="eastAsia" w:ascii="宋体" w:hAnsi="宋体" w:eastAsia="宋体" w:cs="宋体"/>
                <w:color w:val="auto"/>
              </w:rPr>
              <w:t>获取磋商文件，并于</w:t>
            </w:r>
            <w:r>
              <w:rPr>
                <w:rFonts w:hint="eastAsia" w:ascii="宋体" w:hAnsi="宋体" w:eastAsia="宋体" w:cs="宋体"/>
                <w:color w:val="auto"/>
                <w:u w:val="single"/>
              </w:rPr>
              <w:t>2020年</w:t>
            </w:r>
            <w:r>
              <w:rPr>
                <w:rFonts w:hint="eastAsia" w:ascii="宋体" w:hAnsi="宋体" w:eastAsia="宋体" w:cs="宋体"/>
                <w:color w:val="auto"/>
                <w:u w:val="single"/>
                <w:lang w:eastAsia="zh-CN"/>
              </w:rPr>
              <w:t>9月23日13点30分</w:t>
            </w:r>
            <w:r>
              <w:rPr>
                <w:rFonts w:hint="eastAsia" w:ascii="宋体" w:hAnsi="宋体" w:eastAsia="宋体" w:cs="宋体"/>
                <w:bCs/>
                <w:color w:val="auto"/>
                <w:u w:val="single"/>
              </w:rPr>
              <w:t>（</w:t>
            </w:r>
            <w:r>
              <w:rPr>
                <w:rFonts w:hint="eastAsia" w:ascii="宋体" w:hAnsi="宋体" w:eastAsia="宋体" w:cs="宋体"/>
                <w:bCs/>
                <w:color w:val="auto"/>
              </w:rPr>
              <w:t>北京时间）前递交响应文件</w:t>
            </w:r>
            <w:r>
              <w:rPr>
                <w:rFonts w:hint="eastAsia" w:ascii="宋体" w:hAnsi="宋体" w:eastAsia="宋体" w:cs="宋体"/>
                <w:color w:val="auto"/>
              </w:rPr>
              <w:t>。</w:t>
            </w:r>
          </w:p>
        </w:tc>
      </w:tr>
    </w:tbl>
    <w:p>
      <w:pPr>
        <w:pStyle w:val="2"/>
        <w:rPr>
          <w:rFonts w:ascii="宋体" w:hAnsi="宋体" w:eastAsia="宋体" w:cs="宋体"/>
          <w:color w:val="auto"/>
        </w:rPr>
      </w:pPr>
    </w:p>
    <w:p>
      <w:pPr>
        <w:numPr>
          <w:numId w:val="0"/>
        </w:numPr>
        <w:bidi w:val="0"/>
        <w:rPr>
          <w:rStyle w:val="36"/>
          <w:rFonts w:ascii="宋体" w:hAnsi="宋体"/>
        </w:rPr>
      </w:pPr>
      <w:r>
        <w:rPr>
          <w:rFonts w:hint="eastAsia"/>
          <w:b/>
          <w:bCs/>
          <w:lang w:eastAsia="zh-CN"/>
        </w:rPr>
        <w:t>一、</w:t>
      </w:r>
      <w:r>
        <w:rPr>
          <w:rFonts w:hint="eastAsia"/>
          <w:b/>
          <w:bCs/>
        </w:rPr>
        <w:t>项目基本情况</w:t>
      </w:r>
      <w:r>
        <w:rPr>
          <w:rStyle w:val="36"/>
          <w:rFonts w:hint="eastAsia" w:ascii="宋体" w:hAnsi="宋体"/>
        </w:rPr>
        <w:t>：</w:t>
      </w:r>
    </w:p>
    <w:p>
      <w:pPr>
        <w:ind w:firstLine="480" w:firstLineChars="200"/>
        <w:rPr>
          <w:rFonts w:ascii="宋体" w:hAnsi="宋体"/>
        </w:rPr>
      </w:pPr>
      <w:r>
        <w:rPr>
          <w:rFonts w:hint="eastAsia" w:ascii="宋体" w:hAnsi="宋体"/>
        </w:rPr>
        <w:t>1.项目编号：ZJWSBJ-ZJU-2020078C</w:t>
      </w:r>
    </w:p>
    <w:p>
      <w:pPr>
        <w:ind w:firstLine="480" w:firstLineChars="200"/>
        <w:rPr>
          <w:rFonts w:ascii="宋体" w:hAnsi="宋体"/>
        </w:rPr>
      </w:pPr>
      <w:r>
        <w:rPr>
          <w:rFonts w:hint="eastAsia" w:ascii="宋体" w:hAnsi="宋体"/>
        </w:rPr>
        <w:t>2.项目名称：浙江大学-爱丁堡生物学联合研究中心设备采购项目</w:t>
      </w:r>
    </w:p>
    <w:p>
      <w:pPr>
        <w:ind w:firstLine="480" w:firstLineChars="200"/>
        <w:rPr>
          <w:rFonts w:ascii="宋体" w:hAnsi="宋体"/>
        </w:rPr>
      </w:pPr>
      <w:r>
        <w:rPr>
          <w:rFonts w:hint="eastAsia" w:ascii="宋体" w:hAnsi="宋体"/>
        </w:rPr>
        <w:t>3.预算金额（万元）：94.62</w:t>
      </w:r>
    </w:p>
    <w:p>
      <w:pPr>
        <w:ind w:firstLine="480" w:firstLineChars="200"/>
        <w:rPr>
          <w:rFonts w:ascii="宋体" w:hAnsi="宋体"/>
        </w:rPr>
      </w:pPr>
      <w:r>
        <w:rPr>
          <w:rFonts w:hint="eastAsia" w:ascii="宋体" w:hAnsi="宋体"/>
        </w:rPr>
        <w:t>4.最高限价（万元）：94.62</w:t>
      </w:r>
    </w:p>
    <w:p>
      <w:pPr>
        <w:ind w:firstLine="480" w:firstLineChars="200"/>
        <w:rPr>
          <w:rFonts w:ascii="宋体" w:hAnsi="宋体"/>
        </w:rPr>
      </w:pPr>
      <w:r>
        <w:rPr>
          <w:rFonts w:hint="eastAsia" w:ascii="宋体" w:hAnsi="宋体"/>
        </w:rPr>
        <w:t>5.采购需求：</w:t>
      </w:r>
    </w:p>
    <w:tbl>
      <w:tblPr>
        <w:tblStyle w:val="2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3517"/>
        <w:gridCol w:w="636"/>
        <w:gridCol w:w="636"/>
        <w:gridCol w:w="1533"/>
        <w:gridCol w:w="1410"/>
        <w:gridCol w:w="1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1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序号</w:t>
            </w:r>
          </w:p>
        </w:tc>
        <w:tc>
          <w:tcPr>
            <w:tcW w:w="351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项目名称</w:t>
            </w:r>
          </w:p>
        </w:tc>
        <w:tc>
          <w:tcPr>
            <w:tcW w:w="636"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数量</w:t>
            </w:r>
          </w:p>
        </w:tc>
        <w:tc>
          <w:tcPr>
            <w:tcW w:w="636"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单位</w:t>
            </w:r>
          </w:p>
        </w:tc>
        <w:tc>
          <w:tcPr>
            <w:tcW w:w="1533"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rFonts w:ascii="宋体" w:hAnsi="宋体"/>
              </w:rPr>
            </w:pPr>
            <w:r>
              <w:rPr>
                <w:rFonts w:hint="eastAsia" w:ascii="宋体" w:hAnsi="宋体"/>
                <w:kern w:val="0"/>
              </w:rPr>
              <w:t>简要规格描述</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rFonts w:ascii="宋体" w:hAnsi="宋体"/>
              </w:rPr>
            </w:pPr>
            <w:r>
              <w:rPr>
                <w:rFonts w:hint="eastAsia" w:ascii="宋体" w:hAnsi="宋体"/>
                <w:kern w:val="0"/>
              </w:rPr>
              <w:t>采购预算(万元)</w:t>
            </w:r>
          </w:p>
        </w:tc>
        <w:tc>
          <w:tcPr>
            <w:tcW w:w="1379"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rFonts w:ascii="宋体" w:hAnsi="宋体"/>
                <w:kern w:val="0"/>
              </w:rPr>
            </w:pPr>
            <w:r>
              <w:rPr>
                <w:rFonts w:hint="eastAsia" w:ascii="宋体" w:hAnsi="宋体"/>
                <w:kern w:val="0"/>
              </w:rPr>
              <w:t>是否允许进口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51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1</w:t>
            </w:r>
          </w:p>
        </w:tc>
        <w:tc>
          <w:tcPr>
            <w:tcW w:w="351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浙江大学-爱丁堡生物学联合研究中心设备采购项目</w:t>
            </w:r>
          </w:p>
        </w:tc>
        <w:tc>
          <w:tcPr>
            <w:tcW w:w="636"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1</w:t>
            </w:r>
          </w:p>
        </w:tc>
        <w:tc>
          <w:tcPr>
            <w:tcW w:w="636"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套</w:t>
            </w:r>
          </w:p>
        </w:tc>
        <w:tc>
          <w:tcPr>
            <w:tcW w:w="1533" w:type="dxa"/>
            <w:tcBorders>
              <w:top w:val="single" w:color="auto" w:sz="4" w:space="0"/>
              <w:left w:val="single" w:color="auto" w:sz="4" w:space="0"/>
              <w:right w:val="single" w:color="auto" w:sz="4" w:space="0"/>
            </w:tcBorders>
            <w:vAlign w:val="center"/>
          </w:tcPr>
          <w:p>
            <w:pPr>
              <w:widowControl/>
              <w:spacing w:line="240" w:lineRule="auto"/>
              <w:jc w:val="center"/>
              <w:rPr>
                <w:rFonts w:ascii="宋体" w:hAnsi="宋体"/>
              </w:rPr>
            </w:pPr>
            <w:r>
              <w:rPr>
                <w:rFonts w:hint="eastAsia" w:ascii="宋体" w:hAnsi="宋体"/>
                <w:kern w:val="0"/>
              </w:rPr>
              <w:t>详见</w:t>
            </w:r>
            <w:r>
              <w:rPr>
                <w:rFonts w:hint="eastAsia" w:ascii="宋体" w:hAnsi="宋体"/>
              </w:rPr>
              <w:t>采购需求</w:t>
            </w:r>
          </w:p>
        </w:tc>
        <w:tc>
          <w:tcPr>
            <w:tcW w:w="1410"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94.62</w:t>
            </w:r>
          </w:p>
        </w:tc>
        <w:tc>
          <w:tcPr>
            <w:tcW w:w="1379" w:type="dxa"/>
            <w:tcBorders>
              <w:top w:val="single" w:color="auto" w:sz="4" w:space="0"/>
              <w:left w:val="single" w:color="auto" w:sz="4" w:space="0"/>
              <w:right w:val="single" w:color="auto" w:sz="4" w:space="0"/>
            </w:tcBorders>
            <w:vAlign w:val="center"/>
          </w:tcPr>
          <w:p>
            <w:pPr>
              <w:spacing w:line="240" w:lineRule="auto"/>
              <w:jc w:val="center"/>
              <w:rPr>
                <w:rFonts w:ascii="宋体" w:hAnsi="宋体"/>
              </w:rPr>
            </w:pPr>
            <w:r>
              <w:rPr>
                <w:rFonts w:hint="eastAsia" w:ascii="宋体" w:hAnsi="宋体"/>
              </w:rPr>
              <w:t>是</w:t>
            </w:r>
          </w:p>
        </w:tc>
      </w:tr>
    </w:tbl>
    <w:p>
      <w:pPr>
        <w:ind w:firstLine="480" w:firstLineChars="200"/>
        <w:rPr>
          <w:rFonts w:ascii="宋体" w:hAnsi="宋体"/>
        </w:rPr>
      </w:pPr>
      <w:r>
        <w:rPr>
          <w:rFonts w:hint="eastAsia" w:ascii="宋体" w:hAnsi="宋体"/>
        </w:rPr>
        <w:t>6.合同履行期限：进口产品3个月、国产产品1个月</w:t>
      </w:r>
    </w:p>
    <w:p>
      <w:pPr>
        <w:ind w:firstLine="480" w:firstLineChars="200"/>
        <w:rPr>
          <w:rStyle w:val="36"/>
          <w:rFonts w:ascii="宋体" w:hAnsi="宋体"/>
        </w:rPr>
      </w:pPr>
      <w:r>
        <w:rPr>
          <w:rFonts w:hint="eastAsia" w:ascii="宋体" w:hAnsi="宋体"/>
        </w:rPr>
        <w:t>7.本项目不接受联合体投标。</w:t>
      </w:r>
    </w:p>
    <w:p>
      <w:pPr>
        <w:rPr>
          <w:rFonts w:ascii="宋体" w:hAnsi="宋体"/>
          <w:b/>
          <w:bCs/>
        </w:rPr>
      </w:pPr>
      <w:bookmarkStart w:id="6" w:name="_Toc28359003"/>
      <w:bookmarkStart w:id="7" w:name="_Toc28359080"/>
      <w:bookmarkStart w:id="8" w:name="_Toc35393791"/>
      <w:bookmarkStart w:id="9" w:name="_Toc35393622"/>
      <w:r>
        <w:rPr>
          <w:rFonts w:hint="eastAsia" w:ascii="宋体" w:hAnsi="宋体"/>
          <w:b/>
          <w:bCs/>
        </w:rPr>
        <w:t>二、申请人的资格要求：</w:t>
      </w:r>
      <w:bookmarkEnd w:id="6"/>
      <w:bookmarkEnd w:id="7"/>
      <w:bookmarkEnd w:id="8"/>
      <w:bookmarkEnd w:id="9"/>
    </w:p>
    <w:p>
      <w:pPr>
        <w:adjustRightInd/>
        <w:ind w:firstLine="480" w:firstLineChars="200"/>
        <w:rPr>
          <w:rFonts w:ascii="宋体" w:hAnsi="宋体"/>
        </w:rPr>
      </w:pPr>
      <w:r>
        <w:rPr>
          <w:rFonts w:hint="eastAsia" w:ascii="宋体" w:hAnsi="宋体"/>
        </w:rPr>
        <w:t>1.满足《中华人民共和国政府采购法》第二十二条规定；</w:t>
      </w:r>
    </w:p>
    <w:p>
      <w:pPr>
        <w:adjustRightInd/>
        <w:ind w:firstLine="480" w:firstLineChars="200"/>
        <w:rPr>
          <w:rFonts w:hint="eastAsia" w:ascii="宋体" w:hAnsi="宋体" w:eastAsia="宋体"/>
          <w:lang w:eastAsia="zh-CN"/>
        </w:rPr>
      </w:pPr>
      <w:r>
        <w:rPr>
          <w:rFonts w:hint="eastAsia" w:ascii="宋体" w:hAnsi="宋体"/>
        </w:rPr>
        <w:t>2.落实政府采购政策需满足的资格要求：</w:t>
      </w:r>
      <w:r>
        <w:rPr>
          <w:rFonts w:hint="eastAsia" w:ascii="宋体" w:hAnsi="宋体"/>
          <w:lang w:eastAsia="zh-CN"/>
        </w:rPr>
        <w:t>无</w:t>
      </w:r>
    </w:p>
    <w:p>
      <w:pPr>
        <w:adjustRightInd/>
        <w:ind w:firstLine="480" w:firstLineChars="200"/>
        <w:rPr>
          <w:rFonts w:ascii="宋体" w:hAnsi="宋体"/>
        </w:rPr>
      </w:pPr>
      <w:r>
        <w:rPr>
          <w:rFonts w:hint="eastAsia" w:ascii="宋体" w:hAnsi="宋体"/>
        </w:rPr>
        <w:t>3.本项目的特定资格要求：无</w:t>
      </w:r>
    </w:p>
    <w:p>
      <w:pPr>
        <w:adjustRightInd/>
        <w:ind w:firstLine="480" w:firstLineChars="200"/>
        <w:rPr>
          <w:rFonts w:ascii="宋体" w:hAnsi="宋体"/>
        </w:rPr>
      </w:pPr>
      <w:r>
        <w:rPr>
          <w:rFonts w:hint="eastAsia" w:ascii="宋体" w:hAnsi="宋体"/>
        </w:rPr>
        <w:t>4.截止投标截止时间未被“信用中国”（www.creditchina.gov.cn）、“中国政府采购网”（www.ccgp.gov.cn）列入失信被执行人、重大税收违法案件当事人名单、政府采购严重违法失信行为记录名单；</w:t>
      </w:r>
    </w:p>
    <w:p>
      <w:pPr>
        <w:adjustRightInd/>
        <w:ind w:firstLine="480" w:firstLineChars="200"/>
        <w:rPr>
          <w:rFonts w:ascii="宋体" w:hAnsi="宋体"/>
        </w:rPr>
      </w:pPr>
      <w:r>
        <w:rPr>
          <w:rFonts w:hint="eastAsia" w:ascii="宋体" w:hAnsi="宋体"/>
        </w:rPr>
        <w:t>5.法律、行政法规规定的其他条件。</w:t>
      </w:r>
    </w:p>
    <w:p>
      <w:pPr>
        <w:rPr>
          <w:rFonts w:ascii="宋体" w:hAnsi="宋体"/>
          <w:b/>
          <w:bCs/>
        </w:rPr>
      </w:pPr>
      <w:bookmarkStart w:id="10" w:name="_Toc35393792"/>
      <w:bookmarkStart w:id="11" w:name="_Toc35393623"/>
      <w:r>
        <w:rPr>
          <w:rFonts w:hint="eastAsia" w:ascii="宋体" w:hAnsi="宋体"/>
          <w:b/>
          <w:bCs/>
        </w:rPr>
        <w:t>三、获取</w:t>
      </w:r>
      <w:bookmarkEnd w:id="10"/>
      <w:bookmarkEnd w:id="11"/>
      <w:r>
        <w:rPr>
          <w:rFonts w:hint="eastAsia" w:ascii="宋体" w:hAnsi="宋体"/>
          <w:b/>
          <w:bCs/>
        </w:rPr>
        <w:t>磋商文件</w:t>
      </w:r>
    </w:p>
    <w:p>
      <w:pPr>
        <w:adjustRightInd/>
        <w:ind w:firstLine="540"/>
        <w:rPr>
          <w:rFonts w:ascii="宋体" w:hAnsi="宋体"/>
        </w:rPr>
      </w:pPr>
      <w:r>
        <w:rPr>
          <w:rFonts w:hint="eastAsia" w:ascii="宋体" w:hAnsi="宋体"/>
          <w:b/>
          <w:bCs/>
        </w:rPr>
        <w:t>1.时间：</w:t>
      </w:r>
      <w:r>
        <w:rPr>
          <w:rStyle w:val="36"/>
          <w:rFonts w:hint="eastAsia" w:ascii="宋体" w:hAnsi="宋体"/>
        </w:rPr>
        <w:t>：</w:t>
      </w:r>
      <w:r>
        <w:rPr>
          <w:rFonts w:hint="eastAsia" w:ascii="宋体" w:hAnsi="宋体"/>
          <w:b/>
          <w:bCs/>
        </w:rPr>
        <w:t>2020-09-</w:t>
      </w:r>
      <w:r>
        <w:rPr>
          <w:rFonts w:hint="eastAsia" w:ascii="宋体" w:hAnsi="宋体"/>
          <w:b/>
          <w:bCs/>
          <w:lang w:val="en-US" w:eastAsia="zh-CN"/>
        </w:rPr>
        <w:t>13</w:t>
      </w:r>
      <w:r>
        <w:rPr>
          <w:rFonts w:hint="eastAsia" w:ascii="宋体" w:hAnsi="宋体"/>
          <w:b/>
          <w:bCs/>
        </w:rPr>
        <w:t>至2020-09-</w:t>
      </w:r>
      <w:r>
        <w:rPr>
          <w:rFonts w:hint="eastAsia" w:ascii="宋体" w:hAnsi="宋体"/>
          <w:b/>
          <w:bCs/>
          <w:lang w:val="en-US" w:eastAsia="zh-CN"/>
        </w:rPr>
        <w:t>21</w:t>
      </w:r>
      <w:r>
        <w:rPr>
          <w:rStyle w:val="36"/>
          <w:rFonts w:hint="eastAsia" w:ascii="宋体" w:hAnsi="宋体"/>
        </w:rPr>
        <w:t>上午：</w:t>
      </w:r>
      <w:r>
        <w:rPr>
          <w:rFonts w:hint="eastAsia" w:ascii="宋体" w:hAnsi="宋体"/>
        </w:rPr>
        <w:t>09:00-11:30；</w:t>
      </w:r>
      <w:r>
        <w:rPr>
          <w:rStyle w:val="36"/>
          <w:rFonts w:hint="eastAsia" w:ascii="宋体" w:hAnsi="宋体"/>
        </w:rPr>
        <w:t>下午：</w:t>
      </w:r>
      <w:r>
        <w:rPr>
          <w:rFonts w:hint="eastAsia" w:ascii="宋体" w:hAnsi="宋体"/>
        </w:rPr>
        <w:t>13:30-16:30（北京时间，法定节假日除外）</w:t>
      </w:r>
    </w:p>
    <w:p>
      <w:pPr>
        <w:adjustRightInd/>
        <w:ind w:firstLine="540"/>
        <w:rPr>
          <w:rFonts w:ascii="宋体" w:hAnsi="宋体"/>
          <w:u w:val="single"/>
        </w:rPr>
      </w:pPr>
      <w:r>
        <w:rPr>
          <w:rFonts w:hint="eastAsia" w:ascii="宋体" w:hAnsi="宋体"/>
          <w:b/>
          <w:bCs/>
        </w:rPr>
        <w:t>2.地点（网址）：</w:t>
      </w:r>
      <w:r>
        <w:rPr>
          <w:rFonts w:hint="eastAsia" w:ascii="宋体" w:hAnsi="宋体"/>
        </w:rPr>
        <w:t>浙江五石工程咨询有限公司官网（http://zjwsbidding.com/）</w:t>
      </w:r>
    </w:p>
    <w:p>
      <w:pPr>
        <w:adjustRightInd/>
        <w:ind w:firstLine="540"/>
        <w:rPr>
          <w:rFonts w:ascii="宋体" w:hAnsi="宋体"/>
          <w:u w:val="single"/>
        </w:rPr>
      </w:pPr>
      <w:r>
        <w:rPr>
          <w:rFonts w:hint="eastAsia" w:ascii="宋体" w:hAnsi="宋体"/>
          <w:b/>
          <w:bCs/>
        </w:rPr>
        <w:t>3.方式：</w:t>
      </w:r>
      <w:r>
        <w:rPr>
          <w:rFonts w:hint="eastAsia" w:ascii="宋体" w:hAnsi="宋体"/>
        </w:rPr>
        <w:t>前往浙江五石工程咨询有限公司官网（http://zjwsbidding.com/）招投标专区进行报名</w:t>
      </w:r>
    </w:p>
    <w:p>
      <w:pPr>
        <w:ind w:firstLine="480"/>
        <w:rPr>
          <w:rFonts w:ascii="宋体" w:hAnsi="宋体"/>
        </w:rPr>
      </w:pPr>
      <w:r>
        <w:rPr>
          <w:rFonts w:hint="eastAsia" w:ascii="宋体" w:hAnsi="宋体"/>
          <w:b/>
          <w:bCs/>
        </w:rPr>
        <w:t>4.售价：</w:t>
      </w:r>
      <w:r>
        <w:rPr>
          <w:rFonts w:hint="eastAsia" w:ascii="宋体" w:hAnsi="宋体"/>
        </w:rPr>
        <w:t>500元</w:t>
      </w:r>
    </w:p>
    <w:p>
      <w:pPr>
        <w:ind w:firstLine="482"/>
        <w:rPr>
          <w:rFonts w:ascii="宋体" w:hAnsi="宋体"/>
        </w:rPr>
      </w:pPr>
      <w:r>
        <w:rPr>
          <w:rStyle w:val="36"/>
          <w:rFonts w:hint="eastAsia" w:ascii="宋体" w:hAnsi="宋体"/>
        </w:rPr>
        <w:t>5.供应商购买磋商文件时应提交的资料：</w:t>
      </w:r>
    </w:p>
    <w:p>
      <w:pPr>
        <w:ind w:firstLine="480"/>
        <w:rPr>
          <w:rFonts w:ascii="宋体" w:hAnsi="宋体"/>
        </w:rPr>
      </w:pPr>
      <w:r>
        <w:rPr>
          <w:rFonts w:hint="eastAsia" w:ascii="宋体" w:hAnsi="宋体"/>
        </w:rPr>
        <w:t>（1）营业执照副本复印件（加盖单位公章）；</w:t>
      </w:r>
    </w:p>
    <w:p>
      <w:pPr>
        <w:ind w:firstLine="480"/>
        <w:rPr>
          <w:rFonts w:ascii="宋体" w:hAnsi="宋体"/>
        </w:rPr>
      </w:pPr>
      <w:r>
        <w:rPr>
          <w:rFonts w:hint="eastAsia" w:ascii="宋体" w:hAnsi="宋体"/>
        </w:rPr>
        <w:t>（2）受委托代理人身份证原件及复印件（加盖单位公章）；</w:t>
      </w:r>
    </w:p>
    <w:p>
      <w:pPr>
        <w:ind w:firstLine="480"/>
        <w:rPr>
          <w:rFonts w:ascii="宋体" w:hAnsi="宋体"/>
        </w:rPr>
      </w:pPr>
      <w:r>
        <w:rPr>
          <w:rFonts w:hint="eastAsia" w:ascii="宋体" w:hAnsi="宋体"/>
        </w:rPr>
        <w:t>（3）法定代表人授权委托书原件；</w:t>
      </w:r>
    </w:p>
    <w:p>
      <w:pPr>
        <w:ind w:firstLine="480"/>
        <w:rPr>
          <w:rFonts w:ascii="宋体" w:hAnsi="宋体"/>
        </w:rPr>
      </w:pPr>
      <w:r>
        <w:rPr>
          <w:rFonts w:hint="eastAsia" w:ascii="宋体" w:hAnsi="宋体"/>
        </w:rPr>
        <w:t>（4）供应商报名登记表。</w:t>
      </w:r>
    </w:p>
    <w:p>
      <w:pPr>
        <w:rPr>
          <w:rFonts w:ascii="宋体" w:hAnsi="宋体"/>
          <w:b/>
          <w:bCs/>
        </w:rPr>
      </w:pPr>
      <w:bookmarkStart w:id="12" w:name="_Toc28359005"/>
      <w:bookmarkStart w:id="13" w:name="_Toc28359082"/>
      <w:bookmarkStart w:id="14" w:name="_Toc35393793"/>
      <w:bookmarkStart w:id="15" w:name="_Toc35393624"/>
      <w:r>
        <w:rPr>
          <w:rFonts w:hint="eastAsia" w:ascii="宋体" w:hAnsi="宋体"/>
          <w:b/>
          <w:bCs/>
        </w:rPr>
        <w:t>四、递交</w:t>
      </w:r>
      <w:bookmarkEnd w:id="12"/>
      <w:bookmarkEnd w:id="13"/>
      <w:r>
        <w:rPr>
          <w:rFonts w:hint="eastAsia" w:ascii="宋体" w:hAnsi="宋体"/>
          <w:b/>
          <w:bCs/>
        </w:rPr>
        <w:t>响应文件截止时间、开标时间和地点</w:t>
      </w:r>
      <w:bookmarkEnd w:id="14"/>
      <w:bookmarkEnd w:id="15"/>
    </w:p>
    <w:p>
      <w:pPr>
        <w:adjustRightInd/>
        <w:ind w:firstLine="540"/>
        <w:rPr>
          <w:rFonts w:ascii="宋体" w:hAnsi="宋体"/>
        </w:rPr>
      </w:pPr>
      <w:r>
        <w:rPr>
          <w:rFonts w:hint="eastAsia" w:ascii="宋体" w:hAnsi="宋体"/>
        </w:rPr>
        <w:t>1.递交响应文件截止时间：2020年</w:t>
      </w:r>
      <w:r>
        <w:rPr>
          <w:rFonts w:hint="eastAsia" w:ascii="宋体" w:hAnsi="宋体"/>
          <w:lang w:eastAsia="zh-CN"/>
        </w:rPr>
        <w:t>9月23日下午13:30:00</w:t>
      </w:r>
      <w:r>
        <w:rPr>
          <w:rFonts w:hint="eastAsia" w:ascii="宋体" w:hAnsi="宋体"/>
        </w:rPr>
        <w:t>（北京时间）</w:t>
      </w:r>
    </w:p>
    <w:p>
      <w:pPr>
        <w:adjustRightInd/>
        <w:ind w:firstLine="540"/>
        <w:rPr>
          <w:rFonts w:ascii="宋体" w:hAnsi="宋体"/>
        </w:rPr>
      </w:pPr>
      <w:r>
        <w:rPr>
          <w:rFonts w:hint="eastAsia" w:ascii="宋体" w:hAnsi="宋体"/>
        </w:rPr>
        <w:t>2.磋商时间：2020年</w:t>
      </w:r>
      <w:r>
        <w:rPr>
          <w:rFonts w:hint="eastAsia" w:ascii="宋体" w:hAnsi="宋体"/>
          <w:lang w:eastAsia="zh-CN"/>
        </w:rPr>
        <w:t>9月23日下午13:30:00</w:t>
      </w:r>
      <w:r>
        <w:rPr>
          <w:rFonts w:hint="eastAsia" w:ascii="宋体" w:hAnsi="宋体"/>
        </w:rPr>
        <w:t>（北京时间）</w:t>
      </w:r>
    </w:p>
    <w:p>
      <w:pPr>
        <w:adjustRightInd/>
        <w:ind w:firstLine="540"/>
        <w:rPr>
          <w:rFonts w:ascii="宋体" w:hAnsi="宋体"/>
        </w:rPr>
      </w:pPr>
      <w:r>
        <w:rPr>
          <w:rFonts w:hint="eastAsia" w:ascii="宋体" w:hAnsi="宋体"/>
        </w:rPr>
        <w:t>3.地点：杭州市西湖区西园八路11号</w:t>
      </w:r>
      <w:r>
        <w:rPr>
          <w:rFonts w:hint="eastAsia" w:ascii="宋体" w:hAnsi="宋体"/>
          <w:lang w:eastAsia="zh-CN"/>
        </w:rPr>
        <w:t>杭州</w:t>
      </w:r>
      <w:r>
        <w:rPr>
          <w:rFonts w:hint="eastAsia" w:ascii="宋体" w:hAnsi="宋体"/>
        </w:rPr>
        <w:t>数字信息产业园（一期）G座603开标室</w:t>
      </w:r>
    </w:p>
    <w:p>
      <w:pPr>
        <w:rPr>
          <w:rFonts w:ascii="宋体" w:hAnsi="宋体"/>
          <w:b/>
          <w:bCs/>
        </w:rPr>
      </w:pPr>
      <w:bookmarkStart w:id="16" w:name="_Toc35393625"/>
      <w:bookmarkStart w:id="17" w:name="_Toc28359084"/>
      <w:bookmarkStart w:id="18" w:name="_Toc28359007"/>
      <w:bookmarkStart w:id="19" w:name="_Toc35393794"/>
      <w:r>
        <w:rPr>
          <w:rFonts w:hint="eastAsia" w:ascii="宋体" w:hAnsi="宋体"/>
          <w:b/>
          <w:bCs/>
        </w:rPr>
        <w:t>五、公告期限</w:t>
      </w:r>
      <w:bookmarkEnd w:id="16"/>
      <w:bookmarkEnd w:id="17"/>
      <w:bookmarkEnd w:id="18"/>
      <w:bookmarkEnd w:id="19"/>
    </w:p>
    <w:p>
      <w:pPr>
        <w:adjustRightInd/>
        <w:ind w:firstLine="480" w:firstLineChars="200"/>
        <w:rPr>
          <w:rFonts w:ascii="宋体" w:hAnsi="宋体"/>
          <w:kern w:val="0"/>
        </w:rPr>
      </w:pPr>
      <w:r>
        <w:rPr>
          <w:rFonts w:hint="eastAsia" w:ascii="宋体" w:hAnsi="宋体"/>
          <w:kern w:val="0"/>
        </w:rPr>
        <w:t>自本公告发布之日起5个工作日。</w:t>
      </w:r>
    </w:p>
    <w:p>
      <w:pPr>
        <w:rPr>
          <w:rFonts w:ascii="宋体" w:hAnsi="宋体"/>
          <w:b/>
          <w:bCs/>
        </w:rPr>
      </w:pPr>
      <w:bookmarkStart w:id="20" w:name="_Toc35393795"/>
      <w:bookmarkStart w:id="21" w:name="_Toc35393626"/>
      <w:r>
        <w:rPr>
          <w:rFonts w:hint="eastAsia" w:ascii="宋体" w:hAnsi="宋体"/>
          <w:b/>
          <w:bCs/>
        </w:rPr>
        <w:t>六、其他补充事宜</w:t>
      </w:r>
      <w:bookmarkEnd w:id="20"/>
      <w:bookmarkEnd w:id="21"/>
    </w:p>
    <w:p>
      <w:pPr>
        <w:widowControl/>
        <w:ind w:firstLine="480" w:firstLineChars="200"/>
        <w:jc w:val="left"/>
        <w:rPr>
          <w:rFonts w:ascii="宋体" w:hAnsi="宋体"/>
          <w:snapToGrid w:val="0"/>
          <w:kern w:val="0"/>
        </w:rPr>
      </w:pPr>
      <w:r>
        <w:rPr>
          <w:rFonts w:hint="eastAsia" w:ascii="宋体" w:hAnsi="宋体"/>
          <w:snapToGrid w:val="0"/>
          <w:kern w:val="0"/>
        </w:rPr>
        <w:t>1.供应商依法获取磋商文件后认为磋商文件使自己的权益受到损害的，可以自收到磋商文件之日（获取截止时间之后收到磋商文件的，以获取截止时间为准）或者磋商文件公告期限届满之日（公告发布后的第6个工作日）起7个工作日内，以书面形式向采购人和采购代理机构提出质疑。</w:t>
      </w:r>
    </w:p>
    <w:p>
      <w:pPr>
        <w:widowControl/>
        <w:ind w:firstLine="480" w:firstLineChars="200"/>
        <w:jc w:val="left"/>
        <w:rPr>
          <w:rFonts w:ascii="宋体" w:hAnsi="宋体"/>
          <w:snapToGrid w:val="0"/>
          <w:kern w:val="0"/>
        </w:rPr>
      </w:pPr>
      <w:r>
        <w:rPr>
          <w:rFonts w:hint="eastAsia" w:ascii="宋体" w:hAnsi="宋体"/>
          <w:snapToGrid w:val="0"/>
          <w:kern w:val="0"/>
        </w:rPr>
        <w:t>2.供应商未在采购代理机构办理报名手续的响应文件予以拒收。</w:t>
      </w:r>
    </w:p>
    <w:p>
      <w:pPr>
        <w:adjustRightInd/>
        <w:rPr>
          <w:rFonts w:ascii="宋体" w:hAnsi="宋体"/>
          <w:b/>
          <w:bCs/>
          <w:kern w:val="0"/>
        </w:rPr>
      </w:pPr>
      <w:r>
        <w:rPr>
          <w:rFonts w:hint="eastAsia" w:ascii="宋体" w:hAnsi="宋体"/>
          <w:b/>
          <w:bCs/>
          <w:kern w:val="0"/>
        </w:rPr>
        <w:t>七、联系方式：</w:t>
      </w:r>
    </w:p>
    <w:p>
      <w:pPr>
        <w:ind w:firstLine="480" w:firstLineChars="200"/>
        <w:rPr>
          <w:rFonts w:ascii="宋体" w:hAnsi="宋体"/>
        </w:rPr>
      </w:pPr>
      <w:r>
        <w:rPr>
          <w:rFonts w:hint="eastAsia" w:ascii="宋体" w:hAnsi="宋体"/>
          <w:kern w:val="0"/>
        </w:rPr>
        <w:t>1.采购人名称：</w:t>
      </w:r>
      <w:r>
        <w:rPr>
          <w:rFonts w:hint="eastAsia" w:ascii="宋体" w:hAnsi="宋体"/>
        </w:rPr>
        <w:t>浙江大学</w:t>
      </w:r>
    </w:p>
    <w:p>
      <w:pPr>
        <w:ind w:firstLine="720" w:firstLineChars="300"/>
        <w:rPr>
          <w:rFonts w:ascii="宋体" w:hAnsi="宋体"/>
          <w:kern w:val="0"/>
        </w:rPr>
      </w:pPr>
      <w:r>
        <w:rPr>
          <w:rFonts w:hint="eastAsia" w:ascii="宋体" w:hAnsi="宋体"/>
          <w:kern w:val="0"/>
        </w:rPr>
        <w:t>联系人：陈老师</w:t>
      </w:r>
    </w:p>
    <w:p>
      <w:pPr>
        <w:ind w:firstLine="720" w:firstLineChars="300"/>
        <w:rPr>
          <w:rFonts w:ascii="宋体" w:hAnsi="宋体"/>
          <w:kern w:val="0"/>
        </w:rPr>
      </w:pPr>
      <w:r>
        <w:rPr>
          <w:rFonts w:hint="eastAsia" w:ascii="宋体" w:hAnsi="宋体"/>
          <w:kern w:val="0"/>
        </w:rPr>
        <w:t>联系电话：13906531002</w:t>
      </w:r>
    </w:p>
    <w:p>
      <w:pPr>
        <w:ind w:firstLine="720" w:firstLineChars="300"/>
        <w:rPr>
          <w:rFonts w:ascii="宋体" w:hAnsi="宋体"/>
          <w:kern w:val="0"/>
        </w:rPr>
      </w:pPr>
      <w:r>
        <w:rPr>
          <w:rFonts w:hint="eastAsia" w:ascii="宋体" w:hAnsi="宋体"/>
          <w:kern w:val="0"/>
        </w:rPr>
        <w:t>地址：浙江省杭州市西湖区余杭塘路866号</w:t>
      </w:r>
    </w:p>
    <w:p>
      <w:pPr>
        <w:ind w:firstLine="480" w:firstLineChars="200"/>
        <w:rPr>
          <w:rFonts w:ascii="宋体" w:hAnsi="宋体"/>
          <w:kern w:val="0"/>
        </w:rPr>
      </w:pPr>
      <w:r>
        <w:rPr>
          <w:rFonts w:hint="eastAsia" w:ascii="宋体" w:hAnsi="宋体"/>
          <w:kern w:val="0"/>
        </w:rPr>
        <w:t>2.代理机构名称：浙江五石工程咨询有限公司</w:t>
      </w:r>
    </w:p>
    <w:p>
      <w:pPr>
        <w:ind w:firstLine="720" w:firstLineChars="300"/>
        <w:rPr>
          <w:rFonts w:ascii="宋体" w:hAnsi="宋体"/>
          <w:kern w:val="0"/>
        </w:rPr>
      </w:pPr>
      <w:r>
        <w:rPr>
          <w:rFonts w:hint="eastAsia" w:ascii="宋体" w:hAnsi="宋体"/>
          <w:kern w:val="0"/>
        </w:rPr>
        <w:t>项目联系人：徐工</w:t>
      </w:r>
    </w:p>
    <w:p>
      <w:pPr>
        <w:ind w:firstLine="720" w:firstLineChars="300"/>
        <w:rPr>
          <w:rFonts w:ascii="宋体" w:hAnsi="宋体"/>
          <w:kern w:val="0"/>
        </w:rPr>
      </w:pPr>
      <w:r>
        <w:rPr>
          <w:rFonts w:hint="eastAsia" w:ascii="宋体" w:hAnsi="宋体"/>
          <w:kern w:val="0"/>
        </w:rPr>
        <w:t>联系电话：0571-87805727-806</w:t>
      </w:r>
    </w:p>
    <w:p>
      <w:pPr>
        <w:ind w:firstLine="720" w:firstLineChars="300"/>
        <w:rPr>
          <w:rFonts w:ascii="宋体" w:hAnsi="宋体"/>
          <w:kern w:val="0"/>
        </w:rPr>
      </w:pPr>
      <w:r>
        <w:rPr>
          <w:rFonts w:hint="eastAsia" w:ascii="宋体" w:hAnsi="宋体"/>
          <w:kern w:val="0"/>
        </w:rPr>
        <w:t>报名联系人：</w:t>
      </w:r>
      <w:r>
        <w:rPr>
          <w:rFonts w:hint="eastAsia" w:ascii="宋体" w:hAnsi="宋体"/>
        </w:rPr>
        <w:t>马工、梁工</w:t>
      </w:r>
    </w:p>
    <w:p>
      <w:pPr>
        <w:ind w:firstLine="720" w:firstLineChars="300"/>
        <w:rPr>
          <w:rFonts w:ascii="宋体" w:hAnsi="宋体"/>
          <w:kern w:val="0"/>
        </w:rPr>
      </w:pPr>
      <w:r>
        <w:rPr>
          <w:rFonts w:hint="eastAsia" w:ascii="宋体" w:hAnsi="宋体"/>
          <w:kern w:val="0"/>
        </w:rPr>
        <w:t>联系电话：</w:t>
      </w:r>
      <w:r>
        <w:rPr>
          <w:rFonts w:hint="eastAsia" w:ascii="宋体" w:hAnsi="宋体"/>
        </w:rPr>
        <w:t>0571-87805727（总机）、17746806483</w:t>
      </w:r>
    </w:p>
    <w:p>
      <w:pPr>
        <w:ind w:firstLine="720" w:firstLineChars="300"/>
        <w:rPr>
          <w:rFonts w:ascii="宋体" w:hAnsi="宋体"/>
          <w:kern w:val="0"/>
        </w:rPr>
      </w:pPr>
      <w:r>
        <w:rPr>
          <w:rFonts w:hint="eastAsia" w:ascii="宋体" w:hAnsi="宋体"/>
          <w:kern w:val="0"/>
        </w:rPr>
        <w:t>邮箱：2810140286@qq.com</w:t>
      </w:r>
    </w:p>
    <w:p>
      <w:pPr>
        <w:ind w:firstLine="720" w:firstLineChars="300"/>
        <w:rPr>
          <w:rFonts w:ascii="宋体" w:hAnsi="宋体"/>
          <w:kern w:val="0"/>
        </w:rPr>
      </w:pPr>
      <w:r>
        <w:rPr>
          <w:rFonts w:hint="eastAsia" w:ascii="宋体" w:hAnsi="宋体"/>
          <w:kern w:val="0"/>
        </w:rPr>
        <w:t>质疑联系人及电话：毛工/0571-87919156</w:t>
      </w:r>
    </w:p>
    <w:p>
      <w:pPr>
        <w:ind w:firstLine="720" w:firstLineChars="300"/>
        <w:rPr>
          <w:rFonts w:ascii="宋体" w:hAnsi="宋体"/>
          <w:kern w:val="0"/>
        </w:rPr>
      </w:pPr>
      <w:r>
        <w:rPr>
          <w:rFonts w:hint="eastAsia" w:ascii="宋体" w:hAnsi="宋体"/>
          <w:kern w:val="0"/>
        </w:rPr>
        <w:t>浙江五石工程咨询有限公司官网：http://zjwsbidding.com/</w:t>
      </w:r>
    </w:p>
    <w:p>
      <w:pPr>
        <w:ind w:firstLine="720" w:firstLineChars="300"/>
        <w:rPr>
          <w:rFonts w:ascii="宋体" w:hAnsi="宋体"/>
        </w:rPr>
      </w:pPr>
      <w:r>
        <w:rPr>
          <w:rFonts w:hint="eastAsia" w:ascii="宋体" w:hAnsi="宋体"/>
          <w:kern w:val="0"/>
        </w:rPr>
        <w:t>地址：杭州市滨江区东方通信科技园启迪楼2楼1207室</w:t>
      </w:r>
    </w:p>
    <w:p>
      <w:pPr>
        <w:pStyle w:val="2"/>
        <w:rPr>
          <w:rFonts w:ascii="宋体" w:hAnsi="宋体" w:eastAsia="宋体" w:cs="宋体"/>
          <w:color w:val="auto"/>
        </w:rPr>
      </w:pPr>
    </w:p>
    <w:p>
      <w:pPr>
        <w:ind w:firstLine="602" w:firstLineChars="250"/>
        <w:rPr>
          <w:rFonts w:ascii="宋体" w:hAnsi="宋体"/>
          <w:b/>
          <w:bCs/>
        </w:rPr>
      </w:pPr>
      <w:r>
        <w:rPr>
          <w:rFonts w:hint="eastAsia" w:ascii="宋体" w:hAnsi="宋体"/>
          <w:b/>
          <w:bCs/>
        </w:rPr>
        <w:t>备注：请贵单位领取本次磋商文件后，认真阅读各项内容，进行必要的准备工作，按文件的要求详细填写和编制响应文件，并按以上确定的时间、地点准时参加响应。</w:t>
      </w:r>
    </w:p>
    <w:p>
      <w:pPr>
        <w:pStyle w:val="2"/>
        <w:rPr>
          <w:rFonts w:ascii="宋体" w:hAnsi="宋体" w:eastAsia="宋体" w:cs="宋体"/>
          <w:color w:val="auto"/>
        </w:rPr>
      </w:pPr>
    </w:p>
    <w:p>
      <w:pPr>
        <w:ind w:firstLine="960" w:firstLineChars="400"/>
        <w:rPr>
          <w:rFonts w:ascii="宋体" w:hAnsi="宋体"/>
          <w:kern w:val="0"/>
        </w:rPr>
      </w:pPr>
      <w:r>
        <w:rPr>
          <w:rFonts w:hint="eastAsia" w:ascii="宋体" w:hAnsi="宋体"/>
        </w:rPr>
        <w:t xml:space="preserve">               </w:t>
      </w:r>
      <w:r>
        <w:rPr>
          <w:rFonts w:hint="eastAsia" w:ascii="宋体" w:hAnsi="宋体"/>
          <w:kern w:val="0"/>
        </w:rPr>
        <w:t xml:space="preserve">                             浙江五石工程咨询有限公司</w:t>
      </w:r>
    </w:p>
    <w:p>
      <w:pPr>
        <w:ind w:firstLine="960" w:firstLineChars="400"/>
        <w:rPr>
          <w:rFonts w:ascii="宋体" w:hAnsi="宋体"/>
          <w:kern w:val="0"/>
          <w:szCs w:val="32"/>
        </w:rPr>
        <w:sectPr>
          <w:footerReference r:id="rId11" w:type="default"/>
          <w:pgSz w:w="11906" w:h="16838"/>
          <w:pgMar w:top="1247" w:right="1247" w:bottom="1247" w:left="1247" w:header="170" w:footer="567" w:gutter="0"/>
          <w:pgNumType w:start="1"/>
          <w:cols w:space="720" w:num="1"/>
          <w:docGrid w:linePitch="381" w:charSpace="0"/>
        </w:sectPr>
      </w:pPr>
      <w:r>
        <w:rPr>
          <w:rFonts w:hint="eastAsia" w:ascii="宋体" w:hAnsi="宋体"/>
          <w:kern w:val="0"/>
        </w:rPr>
        <w:t xml:space="preserve">                                             二○二○年九月</w:t>
      </w:r>
    </w:p>
    <w:p>
      <w:pPr>
        <w:pStyle w:val="4"/>
        <w:spacing w:line="360" w:lineRule="auto"/>
        <w:rPr>
          <w:bCs/>
          <w:color w:val="auto"/>
        </w:rPr>
      </w:pPr>
      <w:bookmarkStart w:id="22" w:name="_Toc9353"/>
      <w:bookmarkStart w:id="23" w:name="_Toc528579035"/>
      <w:bookmarkStart w:id="24" w:name="_Toc5867"/>
      <w:bookmarkStart w:id="25" w:name="_Toc6005"/>
      <w:bookmarkStart w:id="26" w:name="_Toc21278"/>
      <w:r>
        <w:rPr>
          <w:rFonts w:hint="eastAsia"/>
          <w:color w:val="auto"/>
        </w:rPr>
        <w:t xml:space="preserve">第二章  </w:t>
      </w:r>
      <w:r>
        <w:rPr>
          <w:rFonts w:hint="eastAsia"/>
          <w:bCs/>
          <w:color w:val="auto"/>
        </w:rPr>
        <w:t>采购需求</w:t>
      </w:r>
      <w:bookmarkEnd w:id="22"/>
      <w:bookmarkEnd w:id="23"/>
      <w:bookmarkEnd w:id="24"/>
      <w:bookmarkEnd w:id="25"/>
    </w:p>
    <w:p>
      <w:pPr>
        <w:pStyle w:val="5"/>
        <w:jc w:val="left"/>
        <w:rPr>
          <w:rFonts w:ascii="宋体" w:hAnsi="宋体" w:cs="宋体"/>
          <w:color w:val="auto"/>
        </w:rPr>
      </w:pPr>
      <w:bookmarkStart w:id="27" w:name="_Toc31327"/>
      <w:bookmarkStart w:id="28" w:name="_Toc23721"/>
      <w:bookmarkStart w:id="29" w:name="_Toc528579038"/>
      <w:r>
        <w:rPr>
          <w:rFonts w:hint="eastAsia" w:ascii="宋体" w:hAnsi="宋体" w:cs="宋体"/>
          <w:color w:val="auto"/>
        </w:rPr>
        <w:t>一、采购</w:t>
      </w:r>
      <w:bookmarkEnd w:id="27"/>
      <w:r>
        <w:rPr>
          <w:rFonts w:hint="eastAsia" w:ascii="宋体" w:hAnsi="宋体" w:cs="宋体"/>
          <w:color w:val="auto"/>
        </w:rPr>
        <w:t>清单及具体要求</w:t>
      </w:r>
    </w:p>
    <w:p>
      <w:pPr>
        <w:pStyle w:val="6"/>
        <w:rPr>
          <w:rFonts w:ascii="宋体" w:hAnsi="宋体" w:cs="宋体"/>
        </w:rPr>
      </w:pPr>
      <w:r>
        <w:rPr>
          <w:rFonts w:hint="eastAsia" w:ascii="宋体" w:hAnsi="宋体" w:cs="宋体"/>
        </w:rPr>
        <w:t>（一）说明</w:t>
      </w:r>
    </w:p>
    <w:p>
      <w:pPr>
        <w:ind w:firstLine="480"/>
        <w:rPr>
          <w:rFonts w:ascii="宋体" w:hAnsi="宋体"/>
          <w:szCs w:val="32"/>
        </w:rPr>
      </w:pPr>
      <w:r>
        <w:rPr>
          <w:rFonts w:hint="eastAsia" w:ascii="宋体" w:hAnsi="宋体"/>
          <w:szCs w:val="32"/>
        </w:rPr>
        <w:t>1.本《竞争性磋商文件》所提出的货物技术标准是基本的技术标准和使用功能，并未规定所有的技术要求和适用标准，成交供应商应提供一套满足所列标准要求的高质量的产品及相应服务。</w:t>
      </w:r>
    </w:p>
    <w:p>
      <w:pPr>
        <w:ind w:firstLine="480"/>
        <w:rPr>
          <w:rFonts w:ascii="宋体" w:hAnsi="宋体"/>
          <w:szCs w:val="32"/>
        </w:rPr>
      </w:pPr>
      <w:r>
        <w:rPr>
          <w:rFonts w:hint="eastAsia" w:ascii="宋体" w:hAnsi="宋体"/>
          <w:szCs w:val="32"/>
        </w:rPr>
        <w:t>2.本次采购货物应按国际标准、国标、部标或专业标准制造；非标准货物按采购人提供的要求制造；质量标准按照国家有关规定及合同约定进行验收。本技术要求使用的标准如与成交供应商所执行标准发生矛盾时，按较高标准执行。</w:t>
      </w:r>
    </w:p>
    <w:p>
      <w:pPr>
        <w:ind w:firstLine="480"/>
        <w:rPr>
          <w:rFonts w:ascii="宋体" w:hAnsi="宋体"/>
          <w:szCs w:val="32"/>
        </w:rPr>
      </w:pPr>
      <w:r>
        <w:rPr>
          <w:rFonts w:hint="eastAsia" w:ascii="宋体" w:hAnsi="宋体"/>
          <w:szCs w:val="32"/>
        </w:rPr>
        <w:t>3.所有货物、零部件均由具有生产制造资格的企业提供，并由成交供应商承担总责任。</w:t>
      </w:r>
    </w:p>
    <w:p>
      <w:pPr>
        <w:ind w:firstLine="480"/>
        <w:rPr>
          <w:rFonts w:ascii="宋体" w:hAnsi="宋体"/>
          <w:szCs w:val="32"/>
        </w:rPr>
      </w:pPr>
      <w:r>
        <w:rPr>
          <w:rFonts w:hint="eastAsia" w:ascii="宋体" w:hAnsi="宋体"/>
          <w:szCs w:val="32"/>
        </w:rPr>
        <w:t>4.为保证设备稳定运行、保障售后服务质量、保护采购人的合法权益，成交供应商及厂商必须保证：本项目所有设备售后服务权益方名称为采购人。在项目实施过程中、项目验收时，将专门针对各系统主要内容、各类设备、辅材等原厂商进行真伪查验校对，产品主要参数、功能校对，质保期查验校对，并将详细确认售后服务权益方名称。对于校对后不符合项目清单要求，成交供应商需承担一切后果。</w:t>
      </w:r>
    </w:p>
    <w:p>
      <w:pPr>
        <w:pStyle w:val="6"/>
      </w:pPr>
      <w:r>
        <w:rPr>
          <w:rFonts w:hint="eastAsia" w:ascii="宋体" w:hAnsi="宋体" w:cs="宋体"/>
        </w:rPr>
        <w:t>（二）采购内容</w:t>
      </w:r>
      <w:r>
        <w:rPr>
          <w:rFonts w:hint="eastAsia"/>
        </w:rPr>
        <w:t>及技术要求</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149"/>
        <w:gridCol w:w="986"/>
        <w:gridCol w:w="6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b/>
                <w:bCs/>
              </w:rPr>
            </w:pPr>
            <w:bookmarkStart w:id="30" w:name="_Hlk26277171"/>
            <w:bookmarkStart w:id="31" w:name="_Toc19569"/>
            <w:r>
              <w:rPr>
                <w:rFonts w:hint="eastAsia" w:ascii="宋体" w:hAnsi="宋体"/>
                <w:b/>
                <w:bCs/>
              </w:rPr>
              <w:t>序号</w:t>
            </w:r>
          </w:p>
        </w:tc>
        <w:tc>
          <w:tcPr>
            <w:tcW w:w="597" w:type="pct"/>
            <w:vAlign w:val="center"/>
          </w:tcPr>
          <w:p>
            <w:pPr>
              <w:jc w:val="center"/>
              <w:rPr>
                <w:rFonts w:ascii="宋体" w:hAnsi="宋体"/>
                <w:b/>
                <w:bCs/>
              </w:rPr>
            </w:pPr>
            <w:r>
              <w:rPr>
                <w:rFonts w:hint="eastAsia" w:ascii="宋体" w:hAnsi="宋体"/>
                <w:b/>
                <w:bCs/>
              </w:rPr>
              <w:t>名称</w:t>
            </w:r>
          </w:p>
        </w:tc>
        <w:tc>
          <w:tcPr>
            <w:tcW w:w="512" w:type="pct"/>
            <w:vAlign w:val="center"/>
          </w:tcPr>
          <w:p>
            <w:pPr>
              <w:jc w:val="center"/>
              <w:rPr>
                <w:rFonts w:ascii="宋体" w:hAnsi="宋体"/>
                <w:b/>
                <w:bCs/>
              </w:rPr>
            </w:pPr>
            <w:r>
              <w:rPr>
                <w:rFonts w:hint="eastAsia" w:ascii="宋体" w:hAnsi="宋体"/>
                <w:b/>
                <w:bCs/>
              </w:rPr>
              <w:t>数量</w:t>
            </w:r>
          </w:p>
        </w:tc>
        <w:tc>
          <w:tcPr>
            <w:tcW w:w="3467" w:type="pct"/>
            <w:vAlign w:val="center"/>
          </w:tcPr>
          <w:p>
            <w:pPr>
              <w:jc w:val="center"/>
              <w:rPr>
                <w:rFonts w:ascii="宋体" w:hAnsi="宋体"/>
                <w:b/>
                <w:bCs/>
              </w:rPr>
            </w:pPr>
            <w:r>
              <w:rPr>
                <w:rFonts w:hint="eastAsia" w:ascii="宋体" w:hAnsi="宋体"/>
                <w:b/>
                <w:bCs/>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w:t>
            </w:r>
          </w:p>
        </w:tc>
        <w:tc>
          <w:tcPr>
            <w:tcW w:w="597" w:type="pct"/>
            <w:vAlign w:val="center"/>
          </w:tcPr>
          <w:p>
            <w:pPr>
              <w:jc w:val="center"/>
              <w:rPr>
                <w:rFonts w:hint="eastAsia" w:ascii="宋体" w:hAnsi="宋体" w:eastAsia="宋体"/>
                <w:lang w:eastAsia="zh-CN"/>
              </w:rPr>
            </w:pPr>
            <w:r>
              <w:rPr>
                <w:rFonts w:hint="eastAsia" w:ascii="宋体" w:hAnsi="宋体"/>
              </w:rPr>
              <w:t>定量PCR仪</w:t>
            </w:r>
            <w:r>
              <w:rPr>
                <w:rFonts w:hint="eastAsia" w:ascii="宋体" w:hAnsi="宋体"/>
                <w:lang w:eastAsia="zh-CN"/>
              </w:rPr>
              <w:t>（允许进口）</w:t>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pStyle w:val="15"/>
              <w:spacing w:beforeLines="0" w:afterLines="0" w:line="360" w:lineRule="auto"/>
              <w:rPr>
                <w:rFonts w:hAnsi="宋体"/>
                <w:b/>
                <w:bCs/>
              </w:rPr>
            </w:pPr>
            <w:r>
              <w:rPr>
                <w:rFonts w:hint="eastAsia" w:hAnsi="宋体"/>
                <w:b/>
                <w:bCs/>
              </w:rPr>
              <w:t>一、功能：基因表达分析</w:t>
            </w:r>
          </w:p>
          <w:p>
            <w:pPr>
              <w:pStyle w:val="15"/>
              <w:spacing w:beforeLines="0" w:afterLines="0" w:line="360" w:lineRule="auto"/>
              <w:rPr>
                <w:rFonts w:hAnsi="宋体"/>
                <w:b/>
                <w:bCs/>
              </w:rPr>
            </w:pPr>
            <w:r>
              <w:rPr>
                <w:rFonts w:hint="eastAsia" w:hAnsi="宋体"/>
                <w:b/>
                <w:bCs/>
              </w:rPr>
              <w:t>二、技术指标：</w:t>
            </w:r>
          </w:p>
          <w:p>
            <w:pPr>
              <w:rPr>
                <w:rFonts w:ascii="宋体" w:hAnsi="宋体"/>
              </w:rPr>
            </w:pPr>
            <w:r>
              <w:rPr>
                <w:rFonts w:hint="eastAsia" w:ascii="宋体" w:hAnsi="宋体"/>
              </w:rPr>
              <w:t>2.1、 样品容量：96孔PCR板或96x0.2mlPCR反应管</w:t>
            </w:r>
          </w:p>
          <w:p>
            <w:pPr>
              <w:rPr>
                <w:rFonts w:ascii="宋体" w:hAnsi="宋体"/>
              </w:rPr>
            </w:pPr>
            <w:r>
              <w:rPr>
                <w:rFonts w:hint="eastAsia" w:ascii="宋体" w:hAnsi="宋体"/>
              </w:rPr>
              <w:t>★2.2、激光光源为: ≥6色不同波长LED，使用寿命为≥10</w:t>
            </w:r>
            <w:r>
              <w:rPr>
                <w:rFonts w:hint="eastAsia" w:ascii="宋体" w:hAnsi="宋体"/>
                <w:vertAlign w:val="superscript"/>
              </w:rPr>
              <w:t>5</w:t>
            </w:r>
            <w:r>
              <w:rPr>
                <w:rFonts w:hint="eastAsia" w:ascii="宋体" w:hAnsi="宋体"/>
              </w:rPr>
              <w:t>小时。</w:t>
            </w:r>
          </w:p>
          <w:p>
            <w:pPr>
              <w:rPr>
                <w:rFonts w:ascii="宋体" w:hAnsi="宋体"/>
              </w:rPr>
            </w:pPr>
            <w:r>
              <w:rPr>
                <w:rFonts w:hint="eastAsia" w:ascii="宋体" w:hAnsi="宋体"/>
              </w:rPr>
              <w:t>2.3、样品体积：1 - 50µl</w:t>
            </w:r>
          </w:p>
          <w:p>
            <w:pPr>
              <w:rPr>
                <w:rFonts w:ascii="宋体" w:hAnsi="宋体"/>
              </w:rPr>
            </w:pPr>
            <w:r>
              <w:rPr>
                <w:rFonts w:hint="eastAsia" w:ascii="宋体" w:hAnsi="宋体"/>
              </w:rPr>
              <w:t>★2.4 、最大降温速度：≥4.8℃/秒</w:t>
            </w:r>
          </w:p>
          <w:p>
            <w:pPr>
              <w:rPr>
                <w:rFonts w:ascii="宋体" w:hAnsi="宋体"/>
              </w:rPr>
            </w:pPr>
            <w:r>
              <w:rPr>
                <w:rFonts w:hint="eastAsia" w:ascii="宋体" w:hAnsi="宋体"/>
              </w:rPr>
              <w:t>2.5、温度范围：0-100℃</w:t>
            </w:r>
          </w:p>
          <w:p>
            <w:pPr>
              <w:rPr>
                <w:rFonts w:ascii="宋体" w:hAnsi="宋体"/>
              </w:rPr>
            </w:pPr>
            <w:r>
              <w:rPr>
                <w:rFonts w:hint="eastAsia" w:ascii="宋体" w:hAnsi="宋体"/>
              </w:rPr>
              <w:t>2.6、温度准确性</w:t>
            </w:r>
            <w:r>
              <w:rPr>
                <w:rFonts w:hint="eastAsia" w:ascii="宋体" w:hAnsi="宋体"/>
              </w:rPr>
              <w:tab/>
            </w:r>
            <w:r>
              <w:rPr>
                <w:rFonts w:hint="eastAsia" w:ascii="宋体" w:hAnsi="宋体"/>
              </w:rPr>
              <w:t>：± 0.2°C</w:t>
            </w:r>
          </w:p>
          <w:p>
            <w:pPr>
              <w:rPr>
                <w:rFonts w:ascii="宋体" w:hAnsi="宋体"/>
              </w:rPr>
            </w:pPr>
            <w:r>
              <w:rPr>
                <w:rFonts w:hint="eastAsia" w:ascii="宋体" w:hAnsi="宋体"/>
              </w:rPr>
              <w:t>★2.7、具有温度梯度功能; 梯度范围：30–100°C，梯度温度差范围：1℃ - 24℃</w:t>
            </w:r>
          </w:p>
          <w:p>
            <w:pPr>
              <w:rPr>
                <w:rFonts w:ascii="宋体" w:hAnsi="宋体"/>
              </w:rPr>
            </w:pPr>
            <w:r>
              <w:rPr>
                <w:rFonts w:hint="eastAsia" w:ascii="宋体" w:hAnsi="宋体"/>
              </w:rPr>
              <w:t>2.8、线性范围：≥10个数量级</w:t>
            </w:r>
          </w:p>
          <w:p>
            <w:pPr>
              <w:rPr>
                <w:rFonts w:ascii="宋体" w:hAnsi="宋体"/>
              </w:rPr>
            </w:pPr>
            <w:r>
              <w:rPr>
                <w:rFonts w:hint="eastAsia" w:ascii="宋体" w:hAnsi="宋体"/>
              </w:rPr>
              <w:t>★2.9、多重检测能力：≥5个基因/每孔</w:t>
            </w:r>
          </w:p>
          <w:p>
            <w:pPr>
              <w:rPr>
                <w:rFonts w:ascii="宋体" w:hAnsi="宋体"/>
              </w:rPr>
            </w:pPr>
            <w:r>
              <w:rPr>
                <w:rFonts w:hint="eastAsia" w:ascii="宋体" w:hAnsi="宋体"/>
              </w:rPr>
              <w:t>2.10、具有FRET和HRM检测功能</w:t>
            </w:r>
          </w:p>
          <w:p>
            <w:pPr>
              <w:rPr>
                <w:rFonts w:ascii="宋体" w:hAnsi="宋体"/>
              </w:rPr>
            </w:pPr>
            <w:r>
              <w:rPr>
                <w:rFonts w:hint="eastAsia" w:ascii="宋体" w:hAnsi="宋体"/>
              </w:rPr>
              <w:t>2.11、经过运输或搬动不需要校正就可检测</w:t>
            </w:r>
          </w:p>
          <w:p>
            <w:pPr>
              <w:rPr>
                <w:rFonts w:ascii="宋体" w:hAnsi="宋体"/>
              </w:rPr>
            </w:pPr>
            <w:r>
              <w:rPr>
                <w:rFonts w:hint="eastAsia" w:ascii="宋体" w:hAnsi="宋体"/>
              </w:rPr>
              <w:t>★2.12、彩色LCD触摸屏≥8.5英寸，可通过仪器面板设置运行程序。</w:t>
            </w:r>
          </w:p>
          <w:p>
            <w:pPr>
              <w:rPr>
                <w:rFonts w:ascii="宋体" w:hAnsi="宋体"/>
              </w:rPr>
            </w:pPr>
            <w:r>
              <w:rPr>
                <w:rFonts w:hint="eastAsia" w:ascii="宋体" w:hAnsi="宋体"/>
              </w:rPr>
              <w:t>2.13、配正版软件：具备多种分析模式：基于标准曲线的绝对定量；相对标准曲线；基于比较Ct值的相对定量；融解曲线分析；阴性/阳性结果判定；基因分型等。</w:t>
            </w:r>
          </w:p>
          <w:p>
            <w:pPr>
              <w:rPr>
                <w:rFonts w:ascii="宋体" w:hAnsi="宋体"/>
              </w:rPr>
            </w:pPr>
            <w:r>
              <w:rPr>
                <w:rFonts w:hint="eastAsia" w:ascii="宋体" w:hAnsi="宋体"/>
              </w:rPr>
              <w:t>2.14、软件可自由安装于多台电脑，方便操作分析</w:t>
            </w:r>
          </w:p>
          <w:p>
            <w:pPr>
              <w:rPr>
                <w:rFonts w:ascii="宋体" w:hAnsi="宋体"/>
                <w:b/>
                <w:bCs/>
              </w:rPr>
            </w:pPr>
            <w:r>
              <w:rPr>
                <w:rFonts w:hint="eastAsia" w:ascii="宋体" w:hAnsi="宋体"/>
                <w:b/>
                <w:bCs/>
              </w:rPr>
              <w:t>三、配置</w:t>
            </w:r>
          </w:p>
          <w:p>
            <w:pPr>
              <w:rPr>
                <w:rFonts w:ascii="宋体" w:hAnsi="宋体"/>
              </w:rPr>
            </w:pPr>
            <w:r>
              <w:rPr>
                <w:rFonts w:hint="eastAsia" w:ascii="宋体" w:hAnsi="宋体"/>
              </w:rPr>
              <w:t>3.1实时荧光定量PCR仪  1台</w:t>
            </w:r>
          </w:p>
          <w:p>
            <w:pPr>
              <w:rPr>
                <w:rFonts w:ascii="宋体" w:hAnsi="宋体"/>
              </w:rPr>
            </w:pPr>
            <w:r>
              <w:rPr>
                <w:rFonts w:hint="eastAsia" w:ascii="宋体" w:hAnsi="宋体"/>
              </w:rPr>
              <w:t>3.2正版操作和分析软件 1套</w:t>
            </w:r>
          </w:p>
          <w:p>
            <w:pPr>
              <w:pStyle w:val="15"/>
              <w:spacing w:beforeLines="0" w:afterLines="0" w:line="360" w:lineRule="auto"/>
              <w:rPr>
                <w:rFonts w:hAnsi="宋体"/>
              </w:rPr>
            </w:pPr>
            <w:r>
              <w:rPr>
                <w:rFonts w:hint="eastAsia" w:hAnsi="宋体"/>
              </w:rPr>
              <w:t>3.3商务品版电脑（双核 、2G、500G 、19寸）   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2</w:t>
            </w:r>
          </w:p>
        </w:tc>
        <w:tc>
          <w:tcPr>
            <w:tcW w:w="597" w:type="pct"/>
            <w:vAlign w:val="center"/>
          </w:tcPr>
          <w:p>
            <w:pPr>
              <w:jc w:val="center"/>
              <w:rPr>
                <w:rFonts w:ascii="宋体" w:hAnsi="宋体"/>
              </w:rPr>
            </w:pPr>
            <w:r>
              <w:rPr>
                <w:rFonts w:hint="eastAsia" w:ascii="宋体" w:hAnsi="宋体"/>
              </w:rPr>
              <w:t>普通PCR仪</w:t>
            </w:r>
            <w:r>
              <w:rPr>
                <w:rFonts w:hint="eastAsia" w:ascii="宋体" w:hAnsi="宋体"/>
                <w:lang w:eastAsia="zh-CN"/>
              </w:rPr>
              <w:t>（允许进口）</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rPr>
                <w:rFonts w:ascii="宋体" w:hAnsi="宋体"/>
                <w:b/>
                <w:bCs/>
              </w:rPr>
            </w:pPr>
            <w:r>
              <w:rPr>
                <w:rFonts w:hint="eastAsia" w:ascii="宋体" w:hAnsi="宋体"/>
                <w:b/>
                <w:bCs/>
              </w:rPr>
              <w:t>一、功能：基因扩增</w:t>
            </w:r>
          </w:p>
          <w:p>
            <w:pPr>
              <w:rPr>
                <w:rFonts w:ascii="宋体" w:hAnsi="宋体"/>
                <w:b/>
                <w:bCs/>
              </w:rPr>
            </w:pPr>
            <w:r>
              <w:rPr>
                <w:rFonts w:hint="eastAsia" w:ascii="宋体" w:hAnsi="宋体"/>
                <w:b/>
                <w:bCs/>
              </w:rPr>
              <w:t>二、技术指标：</w:t>
            </w:r>
          </w:p>
          <w:p>
            <w:pPr>
              <w:rPr>
                <w:rFonts w:ascii="宋体" w:hAnsi="宋体"/>
              </w:rPr>
            </w:pPr>
            <w:r>
              <w:rPr>
                <w:rFonts w:hint="eastAsia" w:ascii="宋体" w:hAnsi="宋体"/>
              </w:rPr>
              <w:t>1 、反应容器：96x 0.2ml反应管。</w:t>
            </w:r>
          </w:p>
          <w:p>
            <w:pPr>
              <w:rPr>
                <w:rFonts w:ascii="宋体" w:hAnsi="宋体"/>
              </w:rPr>
            </w:pPr>
            <w:r>
              <w:rPr>
                <w:rFonts w:hint="eastAsia" w:ascii="宋体" w:hAnsi="宋体"/>
              </w:rPr>
              <w:t>2、升降温速度：≥ 2.5°C /秒左右</w:t>
            </w:r>
          </w:p>
          <w:p>
            <w:pPr>
              <w:rPr>
                <w:rFonts w:ascii="宋体" w:hAnsi="宋体"/>
              </w:rPr>
            </w:pPr>
            <w:r>
              <w:rPr>
                <w:rFonts w:hint="eastAsia" w:ascii="宋体" w:hAnsi="宋体"/>
              </w:rPr>
              <w:t>3、温控范围：4~100°C</w:t>
            </w:r>
          </w:p>
          <w:p>
            <w:pPr>
              <w:rPr>
                <w:rFonts w:ascii="宋体" w:hAnsi="宋体"/>
              </w:rPr>
            </w:pPr>
            <w:r>
              <w:rPr>
                <w:rFonts w:hint="eastAsia" w:ascii="宋体" w:hAnsi="宋体"/>
              </w:rPr>
              <w:t>4、温控精度：± 0.5°C</w:t>
            </w:r>
          </w:p>
          <w:p>
            <w:pPr>
              <w:rPr>
                <w:rFonts w:ascii="宋体" w:hAnsi="宋体"/>
              </w:rPr>
            </w:pPr>
            <w:r>
              <w:rPr>
                <w:rFonts w:hint="eastAsia" w:ascii="宋体" w:hAnsi="宋体"/>
              </w:rPr>
              <w:t>5、温控均一性：± 0.4°C（30 秒达到90°C 时孔间差）</w:t>
            </w:r>
          </w:p>
          <w:p>
            <w:pPr>
              <w:rPr>
                <w:rFonts w:ascii="宋体" w:hAnsi="宋体"/>
              </w:rPr>
            </w:pPr>
            <w:r>
              <w:rPr>
                <w:rFonts w:hint="eastAsia" w:ascii="宋体" w:hAnsi="宋体"/>
              </w:rPr>
              <w:t>6、自调式热盖适用于不同厂家的0.2mlPCR 反应管</w:t>
            </w:r>
          </w:p>
          <w:p>
            <w:pPr>
              <w:rPr>
                <w:rFonts w:ascii="宋体" w:hAnsi="宋体"/>
              </w:rPr>
            </w:pPr>
            <w:r>
              <w:rPr>
                <w:rFonts w:hint="eastAsia" w:ascii="宋体" w:hAnsi="宋体"/>
              </w:rPr>
              <w:t>★7、具有梯度功能</w:t>
            </w:r>
          </w:p>
          <w:p>
            <w:pPr>
              <w:rPr>
                <w:rFonts w:ascii="宋体" w:hAnsi="宋体"/>
              </w:rPr>
            </w:pPr>
            <w:r>
              <w:rPr>
                <w:rFonts w:hint="eastAsia" w:ascii="宋体" w:hAnsi="宋体"/>
              </w:rPr>
              <w:t>8、梯度温控精度：± 0.5°C（最后排，NIST-探头检测）</w:t>
            </w:r>
          </w:p>
          <w:p>
            <w:pPr>
              <w:rPr>
                <w:rFonts w:ascii="宋体" w:hAnsi="宋体"/>
              </w:rPr>
            </w:pPr>
            <w:r>
              <w:rPr>
                <w:rFonts w:hint="eastAsia" w:ascii="宋体" w:hAnsi="宋体"/>
              </w:rPr>
              <w:t>9、行/列温控均一性：± 0.5°C（30 秒达到目标温度时同排孔间差）</w:t>
            </w:r>
          </w:p>
          <w:p>
            <w:pPr>
              <w:rPr>
                <w:rFonts w:ascii="宋体" w:hAnsi="宋体"/>
              </w:rPr>
            </w:pPr>
            <w:r>
              <w:rPr>
                <w:rFonts w:hint="eastAsia" w:ascii="宋体" w:hAnsi="宋体"/>
              </w:rPr>
              <w:t>10、梯度温控范围：30–99°C</w:t>
            </w:r>
          </w:p>
          <w:p>
            <w:pPr>
              <w:rPr>
                <w:rFonts w:ascii="宋体" w:hAnsi="宋体"/>
              </w:rPr>
            </w:pPr>
            <w:r>
              <w:rPr>
                <w:rFonts w:hint="eastAsia" w:ascii="宋体" w:hAnsi="宋体"/>
              </w:rPr>
              <w:t>11★、梯度温差范围：1–25°C</w:t>
            </w:r>
          </w:p>
          <w:p>
            <w:pPr>
              <w:rPr>
                <w:rFonts w:ascii="宋体" w:hAnsi="宋体"/>
              </w:rPr>
            </w:pPr>
            <w:r>
              <w:rPr>
                <w:rFonts w:hint="eastAsia" w:ascii="宋体" w:hAnsi="宋体"/>
              </w:rPr>
              <w:t>12、梯度温差范围：1~24°C，梯度温控范围：30~99°C</w:t>
            </w:r>
          </w:p>
          <w:p>
            <w:pPr>
              <w:rPr>
                <w:rFonts w:ascii="宋体" w:hAnsi="宋体"/>
              </w:rPr>
            </w:pPr>
            <w:r>
              <w:rPr>
                <w:rFonts w:hint="eastAsia" w:ascii="宋体" w:hAnsi="宋体"/>
              </w:rPr>
              <w:t>13、高分辨率LCD ≥12 CM</w:t>
            </w:r>
          </w:p>
          <w:p>
            <w:pPr>
              <w:rPr>
                <w:rFonts w:ascii="宋体" w:hAnsi="宋体"/>
              </w:rPr>
            </w:pPr>
            <w:r>
              <w:rPr>
                <w:rFonts w:hint="eastAsia" w:ascii="宋体" w:hAnsi="宋体"/>
              </w:rPr>
              <w:t>14、支持U盘</w:t>
            </w:r>
          </w:p>
          <w:p>
            <w:pPr>
              <w:rPr>
                <w:rFonts w:ascii="宋体" w:hAnsi="宋体"/>
              </w:rPr>
            </w:pPr>
            <w:r>
              <w:rPr>
                <w:rFonts w:hint="eastAsia" w:ascii="宋体" w:hAnsi="宋体"/>
              </w:rPr>
              <w:t>15、超大内存可以存储超过99个的程序</w:t>
            </w:r>
          </w:p>
          <w:p>
            <w:pPr>
              <w:rPr>
                <w:rFonts w:ascii="宋体" w:hAnsi="宋体"/>
                <w:b/>
                <w:bCs/>
              </w:rPr>
            </w:pPr>
            <w:r>
              <w:rPr>
                <w:rFonts w:hint="eastAsia" w:ascii="宋体" w:hAnsi="宋体"/>
                <w:b/>
                <w:bCs/>
              </w:rPr>
              <w:t>三、配置</w:t>
            </w:r>
          </w:p>
          <w:p>
            <w:pPr>
              <w:rPr>
                <w:rFonts w:ascii="宋体" w:hAnsi="宋体"/>
              </w:rPr>
            </w:pPr>
            <w:r>
              <w:rPr>
                <w:rFonts w:hint="eastAsia" w:ascii="宋体" w:hAnsi="宋体"/>
              </w:rPr>
              <w:t>1、梯度PCR 仪 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3</w:t>
            </w:r>
          </w:p>
        </w:tc>
        <w:tc>
          <w:tcPr>
            <w:tcW w:w="597" w:type="pct"/>
            <w:vAlign w:val="center"/>
          </w:tcPr>
          <w:p>
            <w:pPr>
              <w:jc w:val="center"/>
              <w:rPr>
                <w:rFonts w:ascii="宋体" w:hAnsi="宋体"/>
              </w:rPr>
            </w:pPr>
            <w:r>
              <w:rPr>
                <w:rFonts w:hint="eastAsia" w:ascii="宋体" w:hAnsi="宋体"/>
              </w:rPr>
              <w:t>生物显微镜</w:t>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rPr>
                <w:rFonts w:ascii="宋体" w:hAnsi="宋体"/>
                <w:b/>
                <w:bCs/>
              </w:rPr>
            </w:pPr>
            <w:r>
              <w:rPr>
                <w:rFonts w:hint="eastAsia" w:ascii="宋体" w:hAnsi="宋体"/>
                <w:b/>
                <w:bCs/>
              </w:rPr>
              <w:t>一、技术要求</w:t>
            </w:r>
          </w:p>
          <w:p>
            <w:pPr>
              <w:rPr>
                <w:rFonts w:ascii="宋体" w:hAnsi="宋体"/>
              </w:rPr>
            </w:pPr>
            <w:r>
              <w:rPr>
                <w:rFonts w:hint="eastAsia" w:ascii="宋体" w:hAnsi="宋体"/>
              </w:rPr>
              <w:t xml:space="preserve">1、无限远光学系统，部件优化和谐； </w:t>
            </w:r>
          </w:p>
          <w:p>
            <w:pPr>
              <w:rPr>
                <w:rFonts w:ascii="宋体" w:hAnsi="宋体"/>
              </w:rPr>
            </w:pPr>
            <w:r>
              <w:rPr>
                <w:rFonts w:hint="eastAsia" w:ascii="宋体" w:hAnsi="宋体"/>
              </w:rPr>
              <w:t xml:space="preserve">2、 不小于22mm宽视野观察，双目视度调节，标准三目观察筒，成像接口部件可接成像系统或22mm宽视野观察，双目视度调节标准双目观察筒； </w:t>
            </w:r>
          </w:p>
          <w:p>
            <w:pPr>
              <w:rPr>
                <w:rFonts w:ascii="宋体" w:hAnsi="宋体"/>
              </w:rPr>
            </w:pPr>
            <w:r>
              <w:rPr>
                <w:rFonts w:hint="eastAsia" w:ascii="宋体" w:hAnsi="宋体"/>
              </w:rPr>
              <w:t xml:space="preserve">3、 六孔物镜转盘； </w:t>
            </w:r>
          </w:p>
          <w:p>
            <w:pPr>
              <w:ind w:firstLine="480" w:firstLineChars="200"/>
              <w:rPr>
                <w:rFonts w:ascii="宋体" w:hAnsi="宋体"/>
              </w:rPr>
            </w:pPr>
            <w:r>
              <w:rPr>
                <w:rFonts w:hint="eastAsia" w:ascii="宋体" w:hAnsi="宋体"/>
              </w:rPr>
              <w:t xml:space="preserve">平场消差物镜 4X/0.10 </w:t>
            </w:r>
          </w:p>
          <w:p>
            <w:pPr>
              <w:ind w:firstLine="480" w:firstLineChars="200"/>
              <w:rPr>
                <w:rFonts w:ascii="宋体" w:hAnsi="宋体"/>
              </w:rPr>
            </w:pPr>
            <w:r>
              <w:rPr>
                <w:rFonts w:hint="eastAsia" w:ascii="宋体" w:hAnsi="宋体"/>
              </w:rPr>
              <w:t xml:space="preserve">平场消差物镜 10X/0.25  </w:t>
            </w:r>
          </w:p>
          <w:p>
            <w:pPr>
              <w:ind w:firstLine="480" w:firstLineChars="200"/>
              <w:rPr>
                <w:rFonts w:ascii="宋体" w:hAnsi="宋体"/>
              </w:rPr>
            </w:pPr>
            <w:r>
              <w:rPr>
                <w:rFonts w:hint="eastAsia" w:ascii="宋体" w:hAnsi="宋体"/>
              </w:rPr>
              <w:t xml:space="preserve">平场消差物镜 20X/0.40 </w:t>
            </w:r>
          </w:p>
          <w:p>
            <w:pPr>
              <w:ind w:firstLine="480" w:firstLineChars="200"/>
              <w:rPr>
                <w:rFonts w:ascii="宋体" w:hAnsi="宋体"/>
              </w:rPr>
            </w:pPr>
            <w:r>
              <w:rPr>
                <w:rFonts w:hint="eastAsia" w:ascii="宋体" w:hAnsi="宋体"/>
              </w:rPr>
              <w:t xml:space="preserve">平场消差物镜 40X/0.65 </w:t>
            </w:r>
          </w:p>
          <w:p>
            <w:pPr>
              <w:ind w:firstLine="480" w:firstLineChars="200"/>
              <w:rPr>
                <w:rFonts w:ascii="宋体" w:hAnsi="宋体"/>
              </w:rPr>
            </w:pPr>
            <w:r>
              <w:rPr>
                <w:rFonts w:hint="eastAsia" w:ascii="宋体" w:hAnsi="宋体"/>
              </w:rPr>
              <w:t xml:space="preserve">平场消差物镜 100X/1.25 oiL </w:t>
            </w:r>
          </w:p>
          <w:p>
            <w:pPr>
              <w:rPr>
                <w:rFonts w:ascii="宋体" w:hAnsi="宋体"/>
              </w:rPr>
            </w:pPr>
            <w:r>
              <w:rPr>
                <w:rFonts w:hint="eastAsia" w:ascii="宋体" w:hAnsi="宋体"/>
              </w:rPr>
              <w:t>4、 粗/微调调焦装置高度可调，用户可自行设定舒适操作高度，可随意左右手更换；</w:t>
            </w:r>
          </w:p>
          <w:p>
            <w:pPr>
              <w:rPr>
                <w:rFonts w:ascii="宋体" w:hAnsi="宋体"/>
              </w:rPr>
            </w:pPr>
            <w:r>
              <w:rPr>
                <w:rFonts w:hint="eastAsia" w:ascii="宋体" w:hAnsi="宋体"/>
              </w:rPr>
              <w:t xml:space="preserve">5、 载物台操作杆左右手随意快速更换，适合不同操作习惯，柔性调节设计舒适； </w:t>
            </w:r>
          </w:p>
          <w:p>
            <w:pPr>
              <w:rPr>
                <w:rFonts w:ascii="宋体" w:hAnsi="宋体"/>
              </w:rPr>
            </w:pPr>
            <w:r>
              <w:rPr>
                <w:rFonts w:hint="eastAsia" w:ascii="宋体" w:hAnsi="宋体"/>
              </w:rPr>
              <w:t xml:space="preserve">6、 超硬防划陶瓷载物台； </w:t>
            </w:r>
          </w:p>
          <w:p>
            <w:pPr>
              <w:rPr>
                <w:rFonts w:ascii="宋体" w:hAnsi="宋体"/>
              </w:rPr>
            </w:pPr>
            <w:r>
              <w:rPr>
                <w:rFonts w:hint="eastAsia" w:ascii="宋体" w:hAnsi="宋体"/>
              </w:rPr>
              <w:t xml:space="preserve">7、 单手操作样品夹，更换样品方便； </w:t>
            </w:r>
          </w:p>
          <w:p>
            <w:pPr>
              <w:rPr>
                <w:rFonts w:ascii="宋体" w:hAnsi="宋体"/>
              </w:rPr>
            </w:pPr>
            <w:r>
              <w:rPr>
                <w:rFonts w:hint="eastAsia" w:ascii="宋体" w:hAnsi="宋体"/>
              </w:rPr>
              <w:t xml:space="preserve">8、 聚光器适合1.25×-100×物镜观察； </w:t>
            </w:r>
          </w:p>
          <w:p>
            <w:pPr>
              <w:rPr>
                <w:rFonts w:ascii="宋体" w:hAnsi="宋体"/>
              </w:rPr>
            </w:pPr>
            <w:r>
              <w:rPr>
                <w:rFonts w:hint="eastAsia" w:ascii="宋体" w:hAnsi="宋体"/>
              </w:rPr>
              <w:t xml:space="preserve">9、 聚光器孔径光栏彩色标记与物镜彩色标记一致； </w:t>
            </w:r>
          </w:p>
          <w:p>
            <w:pPr>
              <w:rPr>
                <w:rFonts w:ascii="宋体" w:hAnsi="宋体"/>
              </w:rPr>
            </w:pPr>
            <w:r>
              <w:rPr>
                <w:rFonts w:hint="eastAsia" w:ascii="宋体" w:hAnsi="宋体"/>
              </w:rPr>
              <w:t>10、 机身热补偿设计，长时间工作不会因为热胀冷缩</w:t>
            </w:r>
          </w:p>
          <w:p>
            <w:pPr>
              <w:rPr>
                <w:rFonts w:ascii="宋体" w:hAnsi="宋体"/>
                <w:b/>
                <w:bCs/>
              </w:rPr>
            </w:pPr>
            <w:r>
              <w:rPr>
                <w:rFonts w:hint="eastAsia" w:ascii="宋体" w:hAnsi="宋体"/>
                <w:b/>
                <w:bCs/>
              </w:rPr>
              <w:t>二、配置要求：</w:t>
            </w:r>
          </w:p>
          <w:p>
            <w:pPr>
              <w:rPr>
                <w:rFonts w:ascii="宋体" w:hAnsi="宋体"/>
              </w:rPr>
            </w:pPr>
            <w:r>
              <w:rPr>
                <w:rFonts w:hint="eastAsia" w:ascii="宋体" w:hAnsi="宋体"/>
              </w:rPr>
              <w:t>显微镜1台，物镜3个，500万像素摄像头，</w:t>
            </w:r>
            <w:r>
              <w:rPr>
                <w:rFonts w:hint="eastAsia" w:hAnsi="宋体"/>
              </w:rPr>
              <w:t>商务品版电脑（双核 、2G、500G 、19寸）   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4</w:t>
            </w:r>
          </w:p>
        </w:tc>
        <w:tc>
          <w:tcPr>
            <w:tcW w:w="597" w:type="pct"/>
            <w:vAlign w:val="center"/>
          </w:tcPr>
          <w:p>
            <w:pPr>
              <w:jc w:val="center"/>
              <w:rPr>
                <w:rFonts w:ascii="宋体" w:hAnsi="宋体"/>
              </w:rPr>
            </w:pPr>
            <w:r>
              <w:rPr>
                <w:rFonts w:hint="eastAsia" w:ascii="宋体" w:hAnsi="宋体"/>
              </w:rPr>
              <w:t>核酸成像仪</w:t>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rPr>
                <w:rFonts w:ascii="宋体" w:hAnsi="宋体"/>
                <w:b/>
                <w:bCs/>
              </w:rPr>
            </w:pPr>
            <w:r>
              <w:rPr>
                <w:rFonts w:hint="eastAsia" w:ascii="宋体" w:hAnsi="宋体"/>
                <w:b/>
                <w:bCs/>
              </w:rPr>
              <w:t>一、技术要求</w:t>
            </w:r>
          </w:p>
          <w:p>
            <w:pPr>
              <w:rPr>
                <w:rFonts w:ascii="宋体" w:hAnsi="宋体"/>
              </w:rPr>
            </w:pPr>
            <w:r>
              <w:rPr>
                <w:rFonts w:hint="eastAsia" w:ascii="宋体" w:hAnsi="宋体"/>
              </w:rPr>
              <w:t>1、摄像头：高分辨率低照度数码摄像头</w:t>
            </w:r>
          </w:p>
          <w:p>
            <w:pPr>
              <w:rPr>
                <w:rFonts w:ascii="宋体" w:hAnsi="宋体"/>
              </w:rPr>
            </w:pPr>
            <w:r>
              <w:rPr>
                <w:rFonts w:hint="eastAsia" w:ascii="宋体" w:hAnsi="宋体"/>
              </w:rPr>
              <w:t>2、有效像素：≥1280×1040</w:t>
            </w:r>
          </w:p>
          <w:p>
            <w:pPr>
              <w:rPr>
                <w:rFonts w:ascii="宋体" w:hAnsi="宋体"/>
              </w:rPr>
            </w:pPr>
            <w:r>
              <w:rPr>
                <w:rFonts w:hint="eastAsia" w:ascii="宋体" w:hAnsi="宋体"/>
              </w:rPr>
              <w:t>3、感光效率：芯片光电转换效率：≥High QE: 72%@600nm</w:t>
            </w:r>
          </w:p>
          <w:p>
            <w:pPr>
              <w:rPr>
                <w:rFonts w:ascii="宋体" w:hAnsi="宋体"/>
              </w:rPr>
            </w:pPr>
            <w:r>
              <w:rPr>
                <w:rFonts w:hint="eastAsia" w:ascii="宋体" w:hAnsi="宋体"/>
              </w:rPr>
              <w:t>4、读出噪声：4.3e- RMS</w:t>
            </w:r>
          </w:p>
          <w:p>
            <w:pPr>
              <w:rPr>
                <w:rFonts w:ascii="宋体" w:hAnsi="宋体"/>
              </w:rPr>
            </w:pPr>
            <w:r>
              <w:rPr>
                <w:rFonts w:hint="eastAsia" w:ascii="宋体" w:hAnsi="宋体"/>
              </w:rPr>
              <w:t>5、信噪比：≥71db</w:t>
            </w:r>
          </w:p>
          <w:p>
            <w:pPr>
              <w:rPr>
                <w:rFonts w:ascii="宋体" w:hAnsi="宋体"/>
              </w:rPr>
            </w:pPr>
            <w:r>
              <w:rPr>
                <w:rFonts w:hint="eastAsia" w:ascii="宋体" w:hAnsi="宋体"/>
              </w:rPr>
              <w:t>6、像素密度：≥16 bit</w:t>
            </w:r>
          </w:p>
          <w:p>
            <w:pPr>
              <w:rPr>
                <w:rFonts w:ascii="宋体" w:hAnsi="宋体"/>
              </w:rPr>
            </w:pPr>
            <w:r>
              <w:rPr>
                <w:rFonts w:hint="eastAsia" w:ascii="宋体" w:hAnsi="宋体"/>
              </w:rPr>
              <w:t>7、像素合并：≥1×1</w:t>
            </w:r>
          </w:p>
          <w:p>
            <w:pPr>
              <w:rPr>
                <w:rFonts w:ascii="宋体" w:hAnsi="宋体"/>
              </w:rPr>
            </w:pPr>
            <w:r>
              <w:rPr>
                <w:rFonts w:hint="eastAsia" w:ascii="宋体" w:hAnsi="宋体"/>
              </w:rPr>
              <w:t>8、分辨率：≥133万像素</w:t>
            </w:r>
          </w:p>
          <w:p>
            <w:pPr>
              <w:rPr>
                <w:rFonts w:ascii="宋体" w:hAnsi="宋体"/>
              </w:rPr>
            </w:pPr>
            <w:r>
              <w:rPr>
                <w:rFonts w:hint="eastAsia" w:ascii="宋体" w:hAnsi="宋体"/>
              </w:rPr>
              <w:t>9、动态范围：&gt;3.0个数量级</w:t>
            </w:r>
          </w:p>
          <w:p>
            <w:pPr>
              <w:rPr>
                <w:rFonts w:ascii="宋体" w:hAnsi="宋体"/>
              </w:rPr>
            </w:pPr>
            <w:r>
              <w:rPr>
                <w:rFonts w:hint="eastAsia" w:ascii="宋体" w:hAnsi="宋体"/>
              </w:rPr>
              <w:t>10、电动镜头：Computar高通透电动镜头：F=1：1.2，8-48mm</w:t>
            </w:r>
          </w:p>
          <w:p>
            <w:pPr>
              <w:rPr>
                <w:rFonts w:ascii="宋体" w:hAnsi="宋体"/>
              </w:rPr>
            </w:pPr>
            <w:r>
              <w:rPr>
                <w:rFonts w:hint="eastAsia" w:ascii="宋体" w:hAnsi="宋体"/>
              </w:rPr>
              <w:t>11、激发光源：302nm（可选配254、365、470nm）</w:t>
            </w:r>
          </w:p>
          <w:p>
            <w:pPr>
              <w:rPr>
                <w:rFonts w:ascii="宋体" w:hAnsi="宋体"/>
              </w:rPr>
            </w:pPr>
            <w:r>
              <w:rPr>
                <w:rFonts w:hint="eastAsia" w:ascii="宋体" w:hAnsi="宋体"/>
              </w:rPr>
              <w:t>12、滤光片：590nm（可选配535nm）</w:t>
            </w:r>
          </w:p>
          <w:p>
            <w:pPr>
              <w:rPr>
                <w:rFonts w:ascii="宋体" w:hAnsi="宋体"/>
              </w:rPr>
            </w:pPr>
            <w:r>
              <w:rPr>
                <w:rFonts w:hint="eastAsia" w:ascii="宋体" w:hAnsi="宋体"/>
              </w:rPr>
              <w:t>13、照明模式：双侧LED白光</w:t>
            </w:r>
          </w:p>
          <w:p>
            <w:pPr>
              <w:rPr>
                <w:rFonts w:ascii="宋体" w:hAnsi="宋体"/>
              </w:rPr>
            </w:pPr>
            <w:r>
              <w:rPr>
                <w:rFonts w:hint="eastAsia" w:ascii="宋体" w:hAnsi="宋体"/>
              </w:rPr>
              <w:t>14、拍摄面积：紫外：20×20cm；白光：20×20cm；蓝光：22×28cm</w:t>
            </w:r>
          </w:p>
          <w:p>
            <w:pPr>
              <w:rPr>
                <w:rFonts w:ascii="宋体" w:hAnsi="宋体"/>
              </w:rPr>
            </w:pPr>
            <w:r>
              <w:rPr>
                <w:rFonts w:hint="eastAsia" w:ascii="宋体" w:hAnsi="宋体"/>
              </w:rPr>
              <w:t>16、观察功能：可通过机箱上的防紫外观察窗观察实验结果</w:t>
            </w:r>
          </w:p>
          <w:p>
            <w:pPr>
              <w:rPr>
                <w:rFonts w:ascii="宋体" w:hAnsi="宋体"/>
              </w:rPr>
            </w:pPr>
            <w:r>
              <w:rPr>
                <w:rFonts w:hint="eastAsia" w:ascii="宋体" w:hAnsi="宋体"/>
              </w:rPr>
              <w:t>17、割胶功能：可通过机箱上的操作窗口进行割胶操作</w:t>
            </w:r>
          </w:p>
          <w:p>
            <w:pPr>
              <w:rPr>
                <w:rFonts w:ascii="宋体" w:hAnsi="宋体"/>
              </w:rPr>
            </w:pPr>
            <w:r>
              <w:rPr>
                <w:rFonts w:hint="eastAsia" w:ascii="宋体" w:hAnsi="宋体"/>
              </w:rPr>
              <w:t>18、定时功能：用户可自行设定定时自动关闭紫外光源的时间（1-60分钟）</w:t>
            </w:r>
          </w:p>
          <w:p>
            <w:pPr>
              <w:rPr>
                <w:rFonts w:ascii="宋体" w:hAnsi="宋体"/>
              </w:rPr>
            </w:pPr>
            <w:r>
              <w:rPr>
                <w:rFonts w:hint="eastAsia" w:ascii="宋体" w:hAnsi="宋体"/>
              </w:rPr>
              <w:t>19、可通过激发光源选择实现凝胶实验结果的全自动拍摄</w:t>
            </w:r>
          </w:p>
          <w:p>
            <w:pPr>
              <w:rPr>
                <w:rFonts w:ascii="宋体" w:hAnsi="宋体"/>
              </w:rPr>
            </w:pPr>
            <w:r>
              <w:rPr>
                <w:rFonts w:hint="eastAsia" w:ascii="宋体" w:hAnsi="宋体"/>
              </w:rPr>
              <w:t>20、可通过机箱面板进行变焦、聚焦、光圈、白光、紫外（蓝光）灯的全自动控制</w:t>
            </w:r>
          </w:p>
          <w:p>
            <w:pPr>
              <w:rPr>
                <w:rFonts w:ascii="宋体" w:hAnsi="宋体"/>
              </w:rPr>
            </w:pPr>
            <w:r>
              <w:rPr>
                <w:rFonts w:hint="eastAsia" w:ascii="宋体" w:hAnsi="宋体"/>
              </w:rPr>
              <w:t>21、可通过电脑进行变焦、聚焦、光圈、白光、紫外（蓝光）灯的全自动控制</w:t>
            </w:r>
          </w:p>
          <w:p>
            <w:pPr>
              <w:rPr>
                <w:rFonts w:ascii="宋体" w:hAnsi="宋体"/>
              </w:rPr>
            </w:pPr>
            <w:r>
              <w:rPr>
                <w:rFonts w:hint="eastAsia" w:ascii="宋体" w:hAnsi="宋体"/>
              </w:rPr>
              <w:t>22、可在机箱上直接进行实验结果观察与割胶操作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5</w:t>
            </w:r>
          </w:p>
        </w:tc>
        <w:tc>
          <w:tcPr>
            <w:tcW w:w="597" w:type="pct"/>
            <w:vAlign w:val="center"/>
          </w:tcPr>
          <w:p>
            <w:pPr>
              <w:jc w:val="center"/>
              <w:rPr>
                <w:rFonts w:ascii="宋体" w:hAnsi="宋体"/>
              </w:rPr>
            </w:pPr>
            <w:r>
              <w:rPr>
                <w:rFonts w:hint="eastAsia" w:ascii="宋体" w:hAnsi="宋体"/>
              </w:rPr>
              <w:t>垂直电泳设备</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rPr>
                <w:rFonts w:ascii="宋体" w:hAnsi="宋体"/>
                <w:b/>
              </w:rPr>
            </w:pPr>
            <w:r>
              <w:rPr>
                <w:rFonts w:hint="eastAsia" w:ascii="宋体" w:hAnsi="宋体"/>
                <w:b/>
              </w:rPr>
              <w:t>一、技术要求</w:t>
            </w:r>
          </w:p>
          <w:p>
            <w:pPr>
              <w:rPr>
                <w:rFonts w:ascii="宋体" w:hAnsi="宋体"/>
                <w:b/>
              </w:rPr>
            </w:pPr>
            <w:r>
              <w:rPr>
                <w:rFonts w:hint="eastAsia" w:ascii="宋体" w:hAnsi="宋体"/>
                <w:b/>
              </w:rPr>
              <w:t>1.基础电泳电源：</w:t>
            </w:r>
          </w:p>
          <w:p>
            <w:pPr>
              <w:rPr>
                <w:rFonts w:ascii="宋体" w:hAnsi="宋体"/>
              </w:rPr>
            </w:pPr>
            <w:r>
              <w:rPr>
                <w:rFonts w:hint="eastAsia" w:ascii="宋体" w:hAnsi="宋体"/>
              </w:rPr>
              <w:t>1.1、输出电压10~300 V,电流4~400mA,最大功率75W</w:t>
            </w:r>
          </w:p>
          <w:p>
            <w:pPr>
              <w:rPr>
                <w:rFonts w:ascii="宋体" w:hAnsi="宋体"/>
              </w:rPr>
            </w:pPr>
            <w:r>
              <w:rPr>
                <w:rFonts w:hint="eastAsia" w:ascii="宋体" w:hAnsi="宋体"/>
              </w:rPr>
              <w:t>1.2、可恒流、恒压</w:t>
            </w:r>
          </w:p>
          <w:p>
            <w:pPr>
              <w:rPr>
                <w:rFonts w:ascii="宋体" w:hAnsi="宋体"/>
              </w:rPr>
            </w:pPr>
            <w:r>
              <w:rPr>
                <w:rFonts w:hint="eastAsia" w:ascii="宋体" w:hAnsi="宋体"/>
              </w:rPr>
              <w:t>1.3、小巧，可叠放</w:t>
            </w:r>
          </w:p>
          <w:p>
            <w:pPr>
              <w:rPr>
                <w:rFonts w:ascii="宋体" w:hAnsi="宋体"/>
              </w:rPr>
            </w:pPr>
            <w:r>
              <w:rPr>
                <w:rFonts w:hint="eastAsia" w:ascii="宋体" w:hAnsi="宋体"/>
              </w:rPr>
              <w:t>1.4、应用于浸没式水平电泳或小型垂直凝胶电泳等</w:t>
            </w:r>
          </w:p>
          <w:p>
            <w:pPr>
              <w:rPr>
                <w:rFonts w:ascii="宋体" w:hAnsi="宋体"/>
              </w:rPr>
            </w:pPr>
            <w:r>
              <w:rPr>
                <w:rFonts w:hint="eastAsia" w:ascii="宋体" w:hAnsi="宋体"/>
              </w:rPr>
              <w:t>1.5、有断电后自动恢复功能</w:t>
            </w:r>
          </w:p>
          <w:p>
            <w:pPr>
              <w:rPr>
                <w:rFonts w:ascii="宋体" w:hAnsi="宋体"/>
              </w:rPr>
            </w:pPr>
            <w:r>
              <w:rPr>
                <w:rFonts w:hint="eastAsia" w:ascii="宋体" w:hAnsi="宋体"/>
              </w:rPr>
              <w:t>1.6. 输出插孔4对并联，可同时对四个同类型的电泳槽进行电泳</w:t>
            </w:r>
          </w:p>
          <w:p>
            <w:pPr>
              <w:rPr>
                <w:rFonts w:ascii="宋体" w:hAnsi="宋体"/>
                <w:b/>
              </w:rPr>
            </w:pPr>
            <w:r>
              <w:rPr>
                <w:rFonts w:hint="eastAsia" w:ascii="宋体" w:hAnsi="宋体"/>
                <w:b/>
              </w:rPr>
              <w:t>2.小型垂直电泳槽：</w:t>
            </w:r>
          </w:p>
          <w:p>
            <w:pPr>
              <w:rPr>
                <w:rFonts w:ascii="宋体" w:hAnsi="宋体"/>
              </w:rPr>
            </w:pPr>
            <w:r>
              <w:rPr>
                <w:rFonts w:hint="eastAsia" w:ascii="宋体" w:hAnsi="宋体"/>
              </w:rPr>
              <w:t>2.1、凝胶数：1到4</w:t>
            </w:r>
          </w:p>
          <w:p>
            <w:pPr>
              <w:rPr>
                <w:rFonts w:ascii="宋体" w:hAnsi="宋体"/>
              </w:rPr>
            </w:pPr>
            <w:r>
              <w:rPr>
                <w:rFonts w:hint="eastAsia" w:ascii="宋体" w:hAnsi="宋体"/>
              </w:rPr>
              <w:t>2.2、凝胶大小(W x L) 手灌胶：≥8.3 x 7.3 cm; 预制胶： ≥8.6 x 6.8 cm</w:t>
            </w:r>
          </w:p>
          <w:p>
            <w:pPr>
              <w:rPr>
                <w:rFonts w:ascii="宋体" w:hAnsi="宋体"/>
              </w:rPr>
            </w:pPr>
            <w:r>
              <w:rPr>
                <w:rFonts w:hint="eastAsia" w:ascii="宋体" w:hAnsi="宋体"/>
              </w:rPr>
              <w:t>2.3、封边垫条永久地固定在长玻板上，保证玻板精确对齐，可以彻底防止漏胶</w:t>
            </w:r>
          </w:p>
          <w:p>
            <w:pPr>
              <w:rPr>
                <w:rFonts w:ascii="宋体" w:hAnsi="宋体"/>
              </w:rPr>
            </w:pPr>
            <w:r>
              <w:rPr>
                <w:rFonts w:hint="eastAsia" w:ascii="宋体" w:hAnsi="宋体"/>
              </w:rPr>
              <w:t>2.4、具有，防止上样时遗漏和上样量过多</w:t>
            </w:r>
          </w:p>
          <w:p>
            <w:pPr>
              <w:rPr>
                <w:rFonts w:ascii="宋体" w:hAnsi="宋体"/>
              </w:rPr>
            </w:pPr>
            <w:r>
              <w:rPr>
                <w:rFonts w:hint="eastAsia" w:ascii="宋体" w:hAnsi="宋体"/>
              </w:rPr>
              <w:t>2.5、模块化设计</w:t>
            </w:r>
          </w:p>
          <w:p>
            <w:pPr>
              <w:rPr>
                <w:rFonts w:ascii="宋体" w:hAnsi="宋体"/>
                <w:b/>
              </w:rPr>
            </w:pPr>
            <w:r>
              <w:rPr>
                <w:rFonts w:hint="eastAsia" w:ascii="宋体" w:hAnsi="宋体"/>
                <w:b/>
              </w:rPr>
              <w:t>3.转印槽：</w:t>
            </w:r>
          </w:p>
          <w:p>
            <w:pPr>
              <w:rPr>
                <w:rFonts w:ascii="宋体" w:hAnsi="宋体"/>
              </w:rPr>
            </w:pPr>
            <w:r>
              <w:rPr>
                <w:rFonts w:hint="eastAsia" w:ascii="宋体" w:hAnsi="宋体"/>
              </w:rPr>
              <w:t>3.1、1小时内转印2块 7.5*10 cm 凝胶；也可以进行低强度的过夜转膜</w:t>
            </w:r>
          </w:p>
          <w:p>
            <w:pPr>
              <w:rPr>
                <w:rFonts w:ascii="宋体" w:hAnsi="宋体"/>
              </w:rPr>
            </w:pPr>
            <w:r>
              <w:rPr>
                <w:rFonts w:hint="eastAsia" w:ascii="宋体" w:hAnsi="宋体"/>
              </w:rPr>
              <w:t>3.2、电极丝相距≤4 cm，以产生强电场保证有效的蛋白转印</w:t>
            </w:r>
          </w:p>
          <w:p>
            <w:pPr>
              <w:rPr>
                <w:rFonts w:ascii="宋体" w:hAnsi="宋体"/>
              </w:rPr>
            </w:pPr>
            <w:r>
              <w:rPr>
                <w:rFonts w:hint="eastAsia" w:ascii="宋体" w:hAnsi="宋体"/>
              </w:rPr>
              <w:t>3.3、颜色标记的转印夹和电极，确保转印过程中凝胶的正确方向</w:t>
            </w:r>
          </w:p>
          <w:p>
            <w:pPr>
              <w:autoSpaceDE w:val="0"/>
              <w:autoSpaceDN w:val="0"/>
              <w:jc w:val="left"/>
              <w:rPr>
                <w:rFonts w:ascii="宋体" w:hAnsi="宋体"/>
              </w:rPr>
            </w:pPr>
            <w:r>
              <w:rPr>
                <w:rFonts w:hint="eastAsia" w:ascii="宋体" w:hAnsi="宋体"/>
              </w:rPr>
              <w:t>3.4、内置Bio-Ice冷却装置，快速吸收转移过程中产生的热量。可用于酶(4℃)或高强度转移，即使进行24小时的转移也不存在缓冲液消耗的问题。</w:t>
            </w:r>
          </w:p>
          <w:p>
            <w:pPr>
              <w:rPr>
                <w:rFonts w:ascii="宋体" w:hAnsi="宋体"/>
              </w:rPr>
            </w:pPr>
            <w:r>
              <w:rPr>
                <w:rFonts w:hint="eastAsia" w:ascii="宋体" w:hAnsi="宋体"/>
              </w:rPr>
              <w:t>3.5、即可作为完整的独立设备，也可以作为一个模块与垂直电泳槽的缓冲液槽和盖兼容</w:t>
            </w:r>
          </w:p>
          <w:p>
            <w:pPr>
              <w:autoSpaceDE w:val="0"/>
              <w:autoSpaceDN w:val="0"/>
              <w:jc w:val="left"/>
              <w:rPr>
                <w:rFonts w:ascii="宋体" w:hAnsi="宋体"/>
              </w:rPr>
            </w:pPr>
            <w:r>
              <w:rPr>
                <w:rFonts w:hint="eastAsia" w:ascii="宋体" w:hAnsi="宋体"/>
              </w:rPr>
              <w:t>3.6、整体大小：≥16</w:t>
            </w:r>
            <w:r>
              <w:rPr>
                <w:rFonts w:hint="eastAsia" w:ascii="宋体" w:hAnsi="宋体"/>
              </w:rPr>
              <w:sym w:font="Symbol" w:char="F0B4"/>
            </w:r>
            <w:r>
              <w:rPr>
                <w:rFonts w:hint="eastAsia" w:ascii="宋体" w:hAnsi="宋体"/>
              </w:rPr>
              <w:t>12</w:t>
            </w:r>
            <w:r>
              <w:rPr>
                <w:rFonts w:hint="eastAsia" w:ascii="宋体" w:hAnsi="宋体"/>
              </w:rPr>
              <w:sym w:font="Symbol" w:char="F0B4"/>
            </w:r>
            <w:r>
              <w:rPr>
                <w:rFonts w:hint="eastAsia" w:ascii="宋体" w:hAnsi="宋体"/>
              </w:rPr>
              <w:t>18 cm；最大胶尺寸：≥7.5</w:t>
            </w:r>
            <w:r>
              <w:rPr>
                <w:rFonts w:hint="eastAsia" w:ascii="宋体" w:hAnsi="宋体"/>
              </w:rPr>
              <w:sym w:font="Symbol" w:char="F0B4"/>
            </w:r>
            <w:r>
              <w:rPr>
                <w:rFonts w:hint="eastAsia" w:ascii="宋体" w:hAnsi="宋体"/>
              </w:rPr>
              <w:t>10 cm；缓冲液体积：450 ml；胶容量：2块小胶</w:t>
            </w:r>
          </w:p>
          <w:p>
            <w:pPr>
              <w:rPr>
                <w:rFonts w:ascii="宋体" w:hAnsi="宋体"/>
                <w:b/>
              </w:rPr>
            </w:pPr>
            <w:r>
              <w:rPr>
                <w:rFonts w:hint="eastAsia" w:ascii="宋体" w:hAnsi="宋体"/>
                <w:b/>
              </w:rPr>
              <w:t>三、配置要求：</w:t>
            </w:r>
          </w:p>
          <w:p>
            <w:pPr>
              <w:rPr>
                <w:rFonts w:ascii="宋体" w:hAnsi="宋体"/>
              </w:rPr>
            </w:pPr>
            <w:r>
              <w:rPr>
                <w:rFonts w:hint="eastAsia" w:ascii="宋体" w:hAnsi="宋体"/>
              </w:rPr>
              <w:t>1.基础电泳电源    1台</w:t>
            </w:r>
          </w:p>
          <w:p>
            <w:pPr>
              <w:rPr>
                <w:rFonts w:ascii="宋体" w:hAnsi="宋体"/>
              </w:rPr>
            </w:pPr>
            <w:r>
              <w:rPr>
                <w:rFonts w:hint="eastAsia" w:ascii="宋体" w:hAnsi="宋体"/>
              </w:rPr>
              <w:t>2.小型垂直电泳槽（含有厚、薄玻璃板；梳子；制胶夹、取胶器；带电源线的安全盖）  1套</w:t>
            </w:r>
          </w:p>
          <w:p>
            <w:pPr>
              <w:rPr>
                <w:rFonts w:ascii="宋体" w:hAnsi="宋体"/>
              </w:rPr>
            </w:pPr>
            <w:r>
              <w:rPr>
                <w:rFonts w:hint="eastAsia" w:ascii="宋体" w:hAnsi="宋体"/>
              </w:rPr>
              <w:t>3.小型转印槽（含有转印夹、电转印模块、Bio-Ice冷却装置）  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6</w:t>
            </w:r>
          </w:p>
        </w:tc>
        <w:tc>
          <w:tcPr>
            <w:tcW w:w="597" w:type="pct"/>
            <w:vAlign w:val="center"/>
          </w:tcPr>
          <w:p>
            <w:pPr>
              <w:jc w:val="center"/>
              <w:rPr>
                <w:rFonts w:ascii="宋体" w:hAnsi="宋体"/>
              </w:rPr>
            </w:pPr>
            <w:r>
              <w:rPr>
                <w:rFonts w:hint="eastAsia" w:ascii="宋体" w:hAnsi="宋体"/>
              </w:rPr>
              <w:t>灭菌锅</w:t>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rPr>
                <w:rFonts w:ascii="宋体" w:hAnsi="宋体"/>
                <w:color w:val="222222"/>
                <w:shd w:val="clear" w:color="auto" w:fill="FFFFFF"/>
              </w:rPr>
            </w:pPr>
            <w:r>
              <w:rPr>
                <w:rFonts w:hint="eastAsia" w:ascii="宋体" w:hAnsi="宋体"/>
                <w:color w:val="222222"/>
                <w:shd w:val="clear" w:color="auto" w:fill="FFFFFF"/>
              </w:rPr>
              <w:t>1、可以容纳</w:t>
            </w:r>
            <w:r>
              <w:rPr>
                <w:rFonts w:hint="eastAsia" w:ascii="宋体" w:hAnsi="宋体"/>
              </w:rPr>
              <w:t>≥</w:t>
            </w:r>
            <w:r>
              <w:rPr>
                <w:rFonts w:hint="eastAsia" w:ascii="宋体" w:hAnsi="宋体"/>
                <w:color w:val="222222"/>
                <w:shd w:val="clear" w:color="auto" w:fill="FFFFFF"/>
              </w:rPr>
              <w:t>8个或12个1000ml烧瓶。</w:t>
            </w:r>
            <w:r>
              <w:rPr>
                <w:rFonts w:hint="eastAsia" w:ascii="宋体" w:hAnsi="宋体"/>
                <w:color w:val="222222"/>
              </w:rPr>
              <w:br w:type="textWrapping"/>
            </w:r>
            <w:r>
              <w:rPr>
                <w:rFonts w:hint="eastAsia" w:ascii="宋体" w:hAnsi="宋体"/>
                <w:color w:val="222222"/>
                <w:shd w:val="clear" w:color="auto" w:fill="FFFFFF"/>
              </w:rPr>
              <w:t>2、具有语音提示功能。</w:t>
            </w:r>
            <w:r>
              <w:rPr>
                <w:rFonts w:hint="eastAsia" w:ascii="宋体" w:hAnsi="宋体"/>
                <w:color w:val="222222"/>
              </w:rPr>
              <w:br w:type="textWrapping"/>
            </w:r>
            <w:r>
              <w:rPr>
                <w:rFonts w:hint="eastAsia" w:ascii="宋体" w:hAnsi="宋体"/>
                <w:color w:val="222222"/>
                <w:shd w:val="clear" w:color="auto" w:fill="FFFFFF"/>
              </w:rPr>
              <w:t>3、手柄操作方便，可以单手开合盖子。</w:t>
            </w:r>
          </w:p>
          <w:p>
            <w:pPr>
              <w:rPr>
                <w:rFonts w:ascii="宋体" w:hAnsi="宋体"/>
                <w:color w:val="222222"/>
                <w:shd w:val="clear" w:color="auto" w:fill="FFFFFF"/>
              </w:rPr>
            </w:pPr>
            <w:r>
              <w:rPr>
                <w:rFonts w:hint="eastAsia" w:ascii="宋体" w:hAnsi="宋体"/>
                <w:color w:val="222222"/>
                <w:shd w:val="clear" w:color="auto" w:fill="FFFFFF"/>
              </w:rPr>
              <w:t>4、具有减少冷却时间的冷却扇。</w:t>
            </w:r>
            <w:r>
              <w:rPr>
                <w:rFonts w:hint="eastAsia" w:ascii="宋体" w:hAnsi="宋体"/>
                <w:color w:val="222222"/>
              </w:rPr>
              <w:br w:type="textWrapping"/>
            </w:r>
            <w:r>
              <w:rPr>
                <w:rFonts w:hint="eastAsia" w:ascii="宋体" w:hAnsi="宋体"/>
                <w:color w:val="222222"/>
                <w:shd w:val="clear" w:color="auto" w:fill="FFFFFF"/>
              </w:rPr>
              <w:t>5、具有排气量调节功能，恒量的排气阀开合级别(5级调节)</w:t>
            </w:r>
          </w:p>
          <w:p>
            <w:pPr>
              <w:rPr>
                <w:rFonts w:ascii="宋体" w:hAnsi="宋体"/>
              </w:rPr>
            </w:pPr>
            <w:r>
              <w:rPr>
                <w:rFonts w:ascii="宋体" w:hAnsi="宋体"/>
                <w:color w:val="222222"/>
                <w:shd w:val="clear" w:color="auto" w:fill="FFFFFF"/>
              </w:rPr>
              <w:t>6</w:t>
            </w:r>
            <w:r>
              <w:rPr>
                <w:rFonts w:hint="eastAsia" w:ascii="宋体" w:hAnsi="宋体"/>
                <w:color w:val="222222"/>
                <w:shd w:val="clear" w:color="auto" w:fill="FFFFFF"/>
              </w:rPr>
              <w:t>、微处理器温度控制，控制灭菌温度的浮动在设置温度(115℃~135℃)+2℃/-0℃之内。</w:t>
            </w:r>
            <w:r>
              <w:rPr>
                <w:rFonts w:hint="eastAsia" w:ascii="宋体" w:hAnsi="宋体"/>
                <w:color w:val="222222"/>
              </w:rPr>
              <w:br w:type="textWrapping"/>
            </w:r>
            <w:r>
              <w:rPr>
                <w:rFonts w:ascii="宋体" w:hAnsi="宋体"/>
                <w:color w:val="222222"/>
                <w:shd w:val="clear" w:color="auto" w:fill="FFFFFF"/>
              </w:rPr>
              <w:t>7</w:t>
            </w:r>
            <w:r>
              <w:rPr>
                <w:rFonts w:hint="eastAsia" w:ascii="宋体" w:hAnsi="宋体"/>
                <w:color w:val="222222"/>
                <w:shd w:val="clear" w:color="auto" w:fill="FFFFFF"/>
              </w:rPr>
              <w:t>、排气控制，可以设置在灭菌结束后自动放气。</w:t>
            </w:r>
            <w:r>
              <w:rPr>
                <w:rFonts w:hint="eastAsia" w:ascii="宋体" w:hAnsi="宋体"/>
                <w:color w:val="222222"/>
              </w:rPr>
              <w:br w:type="textWrapping"/>
            </w:r>
            <w:r>
              <w:rPr>
                <w:rFonts w:ascii="宋体" w:hAnsi="宋体"/>
                <w:color w:val="222222"/>
                <w:shd w:val="clear" w:color="auto" w:fill="FFFFFF"/>
              </w:rPr>
              <w:t>8</w:t>
            </w:r>
            <w:r>
              <w:rPr>
                <w:rFonts w:hint="eastAsia" w:ascii="宋体" w:hAnsi="宋体"/>
                <w:color w:val="222222"/>
                <w:shd w:val="clear" w:color="auto" w:fill="FFFFFF"/>
              </w:rPr>
              <w:t>、配置4种可选过程和3种自定义程序，可以根据使用目的选择4种过程之一，并可以根据使用条件为各过程保存3种类型的设置值。可以轻松更改各种程序的设置值(灭菌温度、灭菌时间、熔化温度、熔化时间、保温、排气温度、排气率)，供用户方便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7</w:t>
            </w:r>
          </w:p>
        </w:tc>
        <w:tc>
          <w:tcPr>
            <w:tcW w:w="597" w:type="pct"/>
            <w:vAlign w:val="center"/>
          </w:tcPr>
          <w:p>
            <w:pPr>
              <w:jc w:val="center"/>
              <w:rPr>
                <w:rFonts w:ascii="宋体" w:hAnsi="宋体"/>
              </w:rPr>
            </w:pPr>
            <w:r>
              <w:rPr>
                <w:rFonts w:hint="eastAsia" w:ascii="宋体" w:hAnsi="宋体"/>
              </w:rPr>
              <w:t>摇床</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rPr>
                <w:rFonts w:ascii="宋体" w:hAnsi="宋体"/>
              </w:rPr>
            </w:pPr>
            <w:r>
              <w:rPr>
                <w:rFonts w:hint="eastAsia" w:ascii="宋体" w:hAnsi="宋体"/>
                <w:color w:val="333333"/>
                <w:shd w:val="clear" w:color="auto" w:fill="FFFFFF"/>
              </w:rPr>
              <w:t xml:space="preserve">1、电源：220V 50HZ </w:t>
            </w:r>
            <w:r>
              <w:rPr>
                <w:rFonts w:hint="eastAsia" w:ascii="宋体" w:hAnsi="宋体"/>
                <w:color w:val="333333"/>
              </w:rPr>
              <w:br w:type="textWrapping"/>
            </w:r>
            <w:r>
              <w:rPr>
                <w:rFonts w:hint="eastAsia" w:ascii="宋体" w:hAnsi="宋体"/>
                <w:color w:val="333333"/>
                <w:shd w:val="clear" w:color="auto" w:fill="FFFFFF"/>
              </w:rPr>
              <w:t xml:space="preserve">2、功率：40 W </w:t>
            </w:r>
            <w:r>
              <w:rPr>
                <w:rFonts w:hint="eastAsia" w:ascii="宋体" w:hAnsi="宋体"/>
                <w:color w:val="333333"/>
              </w:rPr>
              <w:br w:type="textWrapping"/>
            </w:r>
            <w:r>
              <w:rPr>
                <w:rFonts w:hint="eastAsia" w:ascii="宋体" w:hAnsi="宋体"/>
                <w:color w:val="333333"/>
                <w:shd w:val="clear" w:color="auto" w:fill="FFFFFF"/>
              </w:rPr>
              <w:t xml:space="preserve">3、频率：10-80转/分 </w:t>
            </w:r>
            <w:r>
              <w:rPr>
                <w:rFonts w:hint="eastAsia" w:ascii="宋体" w:hAnsi="宋体"/>
                <w:color w:val="333333"/>
              </w:rPr>
              <w:br w:type="textWrapping"/>
            </w:r>
            <w:r>
              <w:rPr>
                <w:rFonts w:hint="eastAsia" w:ascii="宋体" w:hAnsi="宋体"/>
                <w:color w:val="333333"/>
                <w:shd w:val="clear" w:color="auto" w:fill="FFFFFF"/>
              </w:rPr>
              <w:t xml:space="preserve">4、摆幅：上下20mm </w:t>
            </w:r>
            <w:r>
              <w:rPr>
                <w:rFonts w:hint="eastAsia" w:ascii="宋体" w:hAnsi="宋体"/>
                <w:color w:val="333333"/>
              </w:rPr>
              <w:br w:type="textWrapping"/>
            </w:r>
            <w:r>
              <w:rPr>
                <w:rFonts w:hint="eastAsia" w:ascii="宋体" w:hAnsi="宋体"/>
                <w:color w:val="333333"/>
                <w:shd w:val="clear" w:color="auto" w:fill="FFFFFF"/>
              </w:rPr>
              <w:t xml:space="preserve">5、速度：数字式 </w:t>
            </w:r>
            <w:r>
              <w:rPr>
                <w:rFonts w:hint="eastAsia" w:ascii="宋体" w:hAnsi="宋体"/>
                <w:color w:val="333333"/>
              </w:rPr>
              <w:br w:type="textWrapping"/>
            </w:r>
            <w:r>
              <w:rPr>
                <w:rFonts w:hint="eastAsia" w:ascii="宋体" w:hAnsi="宋体"/>
                <w:color w:val="333333"/>
                <w:shd w:val="clear" w:color="auto" w:fill="FFFFFF"/>
              </w:rPr>
              <w:t xml:space="preserve">6、托盘尺寸：280*260mm </w:t>
            </w:r>
            <w:r>
              <w:rPr>
                <w:rFonts w:hint="eastAsia" w:ascii="宋体" w:hAnsi="宋体"/>
                <w:color w:val="333333"/>
              </w:rPr>
              <w:br w:type="textWrapping"/>
            </w:r>
            <w:r>
              <w:rPr>
                <w:rFonts w:hint="eastAsia" w:ascii="宋体" w:hAnsi="宋体"/>
                <w:color w:val="333333"/>
                <w:shd w:val="clear" w:color="auto" w:fill="FFFFFF"/>
              </w:rPr>
              <w:t>7、外型尺寸：350*260*160mm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8</w:t>
            </w:r>
          </w:p>
        </w:tc>
        <w:tc>
          <w:tcPr>
            <w:tcW w:w="597" w:type="pct"/>
            <w:vAlign w:val="center"/>
          </w:tcPr>
          <w:p>
            <w:pPr>
              <w:jc w:val="center"/>
              <w:rPr>
                <w:rFonts w:ascii="宋体" w:hAnsi="宋体"/>
              </w:rPr>
            </w:pPr>
            <w:r>
              <w:rPr>
                <w:rFonts w:hint="eastAsia" w:ascii="宋体" w:hAnsi="宋体"/>
              </w:rPr>
              <w:t>PH计</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rPr>
                <w:rFonts w:ascii="宋体" w:hAnsi="宋体"/>
                <w:color w:val="333333"/>
                <w:shd w:val="clear" w:color="auto" w:fill="FFFFFF"/>
              </w:rPr>
            </w:pPr>
            <w:r>
              <w:rPr>
                <w:rFonts w:hint="eastAsia" w:ascii="宋体" w:hAnsi="宋体"/>
                <w:color w:val="333333"/>
                <w:shd w:val="clear" w:color="auto" w:fill="FFFFFF"/>
              </w:rPr>
              <w:t>1、测量范围：-2.00…16.00pH</w:t>
            </w:r>
          </w:p>
          <w:p>
            <w:pPr>
              <w:ind w:firstLine="480" w:firstLineChars="200"/>
              <w:rPr>
                <w:rFonts w:ascii="宋体" w:hAnsi="宋体"/>
                <w:color w:val="333333"/>
                <w:shd w:val="clear" w:color="auto" w:fill="FFFFFF"/>
              </w:rPr>
            </w:pPr>
            <w:r>
              <w:rPr>
                <w:rFonts w:hint="eastAsia" w:ascii="宋体" w:hAnsi="宋体"/>
                <w:color w:val="333333"/>
                <w:shd w:val="clear" w:color="auto" w:fill="FFFFFF"/>
              </w:rPr>
              <w:t>-2000…2000mV</w:t>
            </w:r>
          </w:p>
          <w:p>
            <w:pPr>
              <w:ind w:firstLine="480" w:firstLineChars="200"/>
              <w:rPr>
                <w:rFonts w:ascii="宋体" w:hAnsi="宋体"/>
                <w:color w:val="333333"/>
                <w:shd w:val="clear" w:color="auto" w:fill="FFFFFF"/>
              </w:rPr>
            </w:pPr>
            <w:r>
              <w:rPr>
                <w:rFonts w:hint="eastAsia" w:ascii="宋体" w:hAnsi="宋体"/>
                <w:color w:val="333333"/>
                <w:shd w:val="clear" w:color="auto" w:fill="FFFFFF"/>
              </w:rPr>
              <w:t>-5…105°C（23.。。221°F）</w:t>
            </w:r>
          </w:p>
          <w:p>
            <w:pPr>
              <w:rPr>
                <w:rFonts w:ascii="宋体" w:hAnsi="宋体"/>
                <w:color w:val="333333"/>
                <w:shd w:val="clear" w:color="auto" w:fill="FFFFFF"/>
              </w:rPr>
            </w:pPr>
            <w:r>
              <w:rPr>
                <w:rFonts w:hint="eastAsia" w:ascii="宋体" w:hAnsi="宋体"/>
                <w:color w:val="333333"/>
                <w:shd w:val="clear" w:color="auto" w:fill="FFFFFF"/>
              </w:rPr>
              <w:t>2、分辨率：0.01/0.1pH，1mV，0.1°C</w:t>
            </w:r>
          </w:p>
          <w:p>
            <w:pPr>
              <w:rPr>
                <w:rFonts w:ascii="宋体" w:hAnsi="宋体"/>
                <w:color w:val="333333"/>
                <w:shd w:val="clear" w:color="auto" w:fill="FFFFFF"/>
              </w:rPr>
            </w:pPr>
            <w:r>
              <w:rPr>
                <w:rFonts w:hint="eastAsia" w:ascii="宋体" w:hAnsi="宋体"/>
                <w:color w:val="333333"/>
                <w:shd w:val="clear" w:color="auto" w:fill="FFFFFF"/>
              </w:rPr>
              <w:t>3、精度：±0.01pH，±1mV，0.3°C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9</w:t>
            </w:r>
          </w:p>
        </w:tc>
        <w:tc>
          <w:tcPr>
            <w:tcW w:w="597" w:type="pct"/>
            <w:vAlign w:val="center"/>
          </w:tcPr>
          <w:p>
            <w:pPr>
              <w:jc w:val="center"/>
              <w:rPr>
                <w:rFonts w:ascii="宋体" w:hAnsi="宋体"/>
              </w:rPr>
            </w:pPr>
            <w:r>
              <w:rPr>
                <w:rFonts w:hint="eastAsia" w:ascii="宋体" w:hAnsi="宋体"/>
              </w:rPr>
              <w:t>移液器</w:t>
            </w:r>
          </w:p>
        </w:tc>
        <w:tc>
          <w:tcPr>
            <w:tcW w:w="512" w:type="pct"/>
            <w:vAlign w:val="center"/>
          </w:tcPr>
          <w:p>
            <w:pPr>
              <w:jc w:val="center"/>
              <w:rPr>
                <w:rFonts w:ascii="宋体" w:hAnsi="宋体"/>
              </w:rPr>
            </w:pPr>
            <w:r>
              <w:rPr>
                <w:rFonts w:hint="eastAsia" w:ascii="宋体" w:hAnsi="宋体"/>
              </w:rPr>
              <w:t>4</w:t>
            </w:r>
          </w:p>
        </w:tc>
        <w:tc>
          <w:tcPr>
            <w:tcW w:w="3467" w:type="pct"/>
            <w:vAlign w:val="center"/>
          </w:tcPr>
          <w:p>
            <w:r>
              <w:rPr>
                <w:rFonts w:hint="eastAsia"/>
                <w:b/>
                <w:bCs/>
              </w:rPr>
              <w:t>一、技术要求</w:t>
            </w:r>
          </w:p>
          <w:p>
            <w:pPr>
              <w:rPr>
                <w:rFonts w:ascii="宋体" w:hAnsi="宋体"/>
              </w:rPr>
            </w:pPr>
            <w:r>
              <w:rPr>
                <w:rFonts w:hint="eastAsia" w:ascii="宋体" w:hAnsi="宋体"/>
              </w:rPr>
              <w:t>1、可整支高温高压灭菌和紫外线灭菌，操作更安全；</w:t>
            </w:r>
          </w:p>
          <w:p>
            <w:pPr>
              <w:rPr>
                <w:rFonts w:ascii="宋体" w:hAnsi="宋体"/>
              </w:rPr>
            </w:pPr>
            <w:r>
              <w:rPr>
                <w:rFonts w:hint="eastAsia" w:ascii="宋体" w:hAnsi="宋体"/>
              </w:rPr>
              <w:t>2、伸缩式弹性吸嘴设计，确保吸头装配的气密性和移液均一性；</w:t>
            </w:r>
          </w:p>
          <w:p>
            <w:pPr>
              <w:rPr>
                <w:rFonts w:ascii="宋体" w:hAnsi="宋体"/>
              </w:rPr>
            </w:pPr>
            <w:r>
              <w:rPr>
                <w:rFonts w:hint="eastAsia" w:ascii="宋体" w:hAnsi="宋体"/>
              </w:rPr>
              <w:t>3、独有密度调节窗口，适用于甘油、氯化铯等不同密度的液体；</w:t>
            </w:r>
          </w:p>
          <w:p>
            <w:pPr>
              <w:rPr>
                <w:rFonts w:ascii="宋体" w:hAnsi="宋体"/>
              </w:rPr>
            </w:pPr>
            <w:r>
              <w:rPr>
                <w:rFonts w:hint="eastAsia" w:ascii="宋体" w:hAnsi="宋体"/>
              </w:rPr>
              <w:t>4、四位数字放大体积显示，位置合理，便于移液时观察；</w:t>
            </w:r>
          </w:p>
          <w:p>
            <w:pPr>
              <w:rPr>
                <w:rFonts w:ascii="宋体" w:hAnsi="宋体"/>
              </w:rPr>
            </w:pPr>
            <w:r>
              <w:rPr>
                <w:rFonts w:hint="eastAsia" w:ascii="宋体" w:hAnsi="宋体"/>
              </w:rPr>
              <w:t>5、采用系统的高科技材质，坚固耐用，耐高温抗腐蚀；</w:t>
            </w:r>
          </w:p>
          <w:p>
            <w:pPr>
              <w:rPr>
                <w:rFonts w:ascii="宋体" w:hAnsi="宋体"/>
              </w:rPr>
            </w:pPr>
            <w:r>
              <w:rPr>
                <w:rFonts w:hint="eastAsia" w:ascii="宋体" w:hAnsi="宋体"/>
              </w:rPr>
              <w:t>6、多道移液器具备独立活塞设计，每个通道可单独拆卸；</w:t>
            </w:r>
          </w:p>
          <w:p>
            <w:pPr>
              <w:rPr>
                <w:rFonts w:ascii="宋体" w:hAnsi="宋体"/>
              </w:rPr>
            </w:pPr>
            <w:r>
              <w:rPr>
                <w:rFonts w:hint="eastAsia" w:ascii="宋体" w:hAnsi="宋体"/>
              </w:rPr>
              <w:t>7、每套包含1000μl ；200μl ；20μl ；2μl各一支，共四支</w:t>
            </w:r>
          </w:p>
          <w:p>
            <w:pPr>
              <w:pStyle w:val="13"/>
              <w:spacing w:after="0"/>
              <w:ind w:left="0" w:leftChars="0" w:right="0" w:rightChars="0"/>
              <w:rPr>
                <w:rFonts w:ascii="宋体" w:hAnsi="宋体" w:eastAsia="宋体" w:cs="宋体"/>
              </w:rPr>
            </w:pPr>
            <w:r>
              <w:rPr>
                <w:rFonts w:hint="eastAsia" w:ascii="宋体" w:hAnsi="宋体" w:eastAsia="宋体" w:cs="宋体"/>
              </w:rPr>
              <w:t>二、配置要求：</w:t>
            </w:r>
          </w:p>
          <w:p>
            <w:pPr>
              <w:pStyle w:val="13"/>
              <w:spacing w:after="0"/>
              <w:ind w:left="0" w:leftChars="0" w:right="0" w:rightChars="0"/>
              <w:rPr>
                <w:rFonts w:ascii="宋体" w:hAnsi="宋体" w:eastAsia="宋体" w:cs="宋体"/>
              </w:rPr>
            </w:pPr>
            <w:r>
              <w:rPr>
                <w:rFonts w:hint="eastAsia" w:ascii="宋体" w:hAnsi="宋体" w:eastAsia="宋体" w:cs="宋体"/>
              </w:rPr>
              <w:t>单道可调式移液器1套。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10</w:t>
            </w:r>
          </w:p>
        </w:tc>
        <w:tc>
          <w:tcPr>
            <w:tcW w:w="597" w:type="pct"/>
            <w:vAlign w:val="center"/>
          </w:tcPr>
          <w:p>
            <w:pPr>
              <w:jc w:val="center"/>
              <w:rPr>
                <w:rFonts w:ascii="宋体" w:hAnsi="宋体"/>
              </w:rPr>
            </w:pPr>
            <w:r>
              <w:rPr>
                <w:rFonts w:hint="eastAsia" w:ascii="宋体" w:hAnsi="宋体"/>
              </w:rPr>
              <w:t>移液器</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rPr>
                <w:rFonts w:ascii="宋体" w:hAnsi="宋体"/>
              </w:rPr>
            </w:pPr>
            <w:r>
              <w:rPr>
                <w:rFonts w:hint="eastAsia" w:ascii="宋体" w:hAnsi="宋体"/>
              </w:rPr>
              <w:t>1、可整支高温高压灭菌和紫外线灭菌，操作更安全；</w:t>
            </w:r>
          </w:p>
          <w:p>
            <w:pPr>
              <w:rPr>
                <w:rFonts w:ascii="宋体" w:hAnsi="宋体"/>
              </w:rPr>
            </w:pPr>
            <w:r>
              <w:rPr>
                <w:rFonts w:hint="eastAsia" w:ascii="宋体" w:hAnsi="宋体"/>
              </w:rPr>
              <w:t>2、伸缩式弹性吸嘴设计，确保吸头装配的气密性和移液均一性；</w:t>
            </w:r>
          </w:p>
          <w:p>
            <w:pPr>
              <w:rPr>
                <w:rFonts w:ascii="宋体" w:hAnsi="宋体"/>
              </w:rPr>
            </w:pPr>
            <w:r>
              <w:rPr>
                <w:rFonts w:hint="eastAsia" w:ascii="宋体" w:hAnsi="宋体"/>
              </w:rPr>
              <w:t>3、独有密度调节窗口，适用于甘油、氯化铯等不同密度的液体；</w:t>
            </w:r>
          </w:p>
          <w:p>
            <w:pPr>
              <w:rPr>
                <w:rFonts w:ascii="宋体" w:hAnsi="宋体"/>
              </w:rPr>
            </w:pPr>
            <w:r>
              <w:rPr>
                <w:rFonts w:hint="eastAsia" w:ascii="宋体" w:hAnsi="宋体"/>
              </w:rPr>
              <w:t xml:space="preserve">4、四位数字放大体积显示，位置合理，便于移液时观察 </w:t>
            </w:r>
          </w:p>
          <w:p>
            <w:pPr>
              <w:rPr>
                <w:rFonts w:ascii="宋体" w:hAnsi="宋体"/>
              </w:rPr>
            </w:pPr>
            <w:r>
              <w:rPr>
                <w:rFonts w:hint="eastAsia" w:ascii="宋体" w:hAnsi="宋体"/>
              </w:rPr>
              <w:t xml:space="preserve">5、采用系统的高科技材质，坚固耐用，耐高温抗腐蚀 </w:t>
            </w:r>
          </w:p>
          <w:p>
            <w:pPr>
              <w:rPr>
                <w:rFonts w:ascii="宋体" w:hAnsi="宋体"/>
              </w:rPr>
            </w:pPr>
            <w:r>
              <w:rPr>
                <w:rFonts w:hint="eastAsia" w:ascii="宋体" w:hAnsi="宋体"/>
              </w:rPr>
              <w:t xml:space="preserve">6、多道移液器具备独立活塞设计，每个通道可单独拆卸，灵活性更高，节省维修成本 </w:t>
            </w:r>
          </w:p>
          <w:p>
            <w:pPr>
              <w:rPr>
                <w:rFonts w:ascii="宋体" w:hAnsi="宋体"/>
                <w:color w:val="333333"/>
                <w:shd w:val="clear" w:color="auto" w:fill="FFFFFF"/>
              </w:rPr>
            </w:pPr>
            <w:r>
              <w:rPr>
                <w:rFonts w:hint="eastAsia" w:ascii="宋体" w:hAnsi="宋体"/>
                <w:lang w:val="en-US" w:eastAsia="zh-CN"/>
              </w:rPr>
              <w:t xml:space="preserve">7、 </w:t>
            </w:r>
            <w:r>
              <w:rPr>
                <w:rFonts w:hint="eastAsia" w:ascii="宋体" w:hAnsi="宋体"/>
              </w:rPr>
              <w:t>5</w:t>
            </w:r>
            <w:r>
              <w:rPr>
                <w:rFonts w:ascii="宋体" w:hAnsi="宋体"/>
              </w:rPr>
              <w:t>ml</w:t>
            </w:r>
            <w:r>
              <w:rPr>
                <w:rFonts w:hint="eastAsia" w:ascii="宋体" w:hAnsi="宋体"/>
              </w:rPr>
              <w:t>量程一支</w:t>
            </w:r>
            <w:r>
              <w:rPr>
                <w:rFonts w:hint="eastAsia" w:ascii="宋体" w:hAnsi="宋体"/>
                <w:color w:val="333333"/>
                <w:shd w:val="clear" w:color="auto" w:fill="FFFFFF"/>
              </w:rPr>
              <w:t xml:space="preserve"> </w:t>
            </w:r>
          </w:p>
          <w:p>
            <w:pPr>
              <w:rPr>
                <w:rFonts w:ascii="宋体" w:hAnsi="宋体"/>
                <w:color w:val="333333"/>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11</w:t>
            </w:r>
          </w:p>
        </w:tc>
        <w:tc>
          <w:tcPr>
            <w:tcW w:w="597" w:type="pct"/>
            <w:vAlign w:val="center"/>
          </w:tcPr>
          <w:p>
            <w:pPr>
              <w:jc w:val="center"/>
              <w:rPr>
                <w:rFonts w:ascii="宋体" w:hAnsi="宋体"/>
              </w:rPr>
            </w:pPr>
            <w:r>
              <w:rPr>
                <w:rFonts w:hint="eastAsia" w:ascii="宋体" w:hAnsi="宋体"/>
              </w:rPr>
              <w:t>八道移液器</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keepNext/>
              <w:keepLines/>
              <w:jc w:val="left"/>
              <w:outlineLvl w:val="1"/>
              <w:rPr>
                <w:rFonts w:ascii="宋体" w:hAnsi="宋体"/>
                <w:b/>
                <w:bCs/>
                <w:color w:val="auto"/>
                <w:spacing w:val="0"/>
              </w:rPr>
            </w:pPr>
            <w:r>
              <w:rPr>
                <w:rFonts w:hint="eastAsia" w:ascii="宋体" w:hAnsi="宋体"/>
                <w:b/>
                <w:bCs/>
              </w:rPr>
              <w:t>一、参数要求</w:t>
            </w:r>
          </w:p>
          <w:p>
            <w:pPr>
              <w:rPr>
                <w:rFonts w:ascii="宋体" w:hAnsi="宋体"/>
              </w:rPr>
            </w:pPr>
            <w:r>
              <w:rPr>
                <w:rFonts w:hint="eastAsia" w:ascii="宋体" w:hAnsi="宋体"/>
              </w:rPr>
              <w:t xml:space="preserve">1、采用耐高温抗腐蚀系统的高科技材质，坚固耐用 </w:t>
            </w:r>
          </w:p>
          <w:p>
            <w:pPr>
              <w:rPr>
                <w:rFonts w:ascii="宋体" w:hAnsi="宋体"/>
              </w:rPr>
            </w:pPr>
            <w:r>
              <w:rPr>
                <w:rFonts w:hint="eastAsia" w:ascii="宋体" w:hAnsi="宋体"/>
              </w:rPr>
              <w:t>2、可整支高温高压灭菌和紫外线灭菌，操作更安全</w:t>
            </w:r>
          </w:p>
          <w:p>
            <w:pPr>
              <w:rPr>
                <w:rFonts w:ascii="宋体" w:hAnsi="宋体"/>
              </w:rPr>
            </w:pPr>
            <w:r>
              <w:rPr>
                <w:rFonts w:hint="eastAsia" w:ascii="宋体" w:hAnsi="宋体"/>
              </w:rPr>
              <w:t>3、四位数字体积显示，位置合理，便于移液时观察</w:t>
            </w:r>
          </w:p>
          <w:p>
            <w:pPr>
              <w:rPr>
                <w:rFonts w:ascii="宋体" w:hAnsi="宋体"/>
              </w:rPr>
            </w:pPr>
            <w:r>
              <w:rPr>
                <w:rFonts w:hint="eastAsia" w:ascii="宋体" w:hAnsi="宋体"/>
              </w:rPr>
              <w:t>4、伸缩式弹性吸嘴设计，防止吸头安装高高低低，确保移液气密性和均一性</w:t>
            </w:r>
          </w:p>
          <w:p>
            <w:pPr>
              <w:rPr>
                <w:rFonts w:ascii="宋体" w:hAnsi="宋体"/>
              </w:rPr>
            </w:pPr>
            <w:r>
              <w:rPr>
                <w:rFonts w:hint="eastAsia" w:ascii="宋体" w:hAnsi="宋体"/>
              </w:rPr>
              <w:t>5、密度调节功能，适用于不同密度的液体，通用性更广泛</w:t>
            </w:r>
          </w:p>
          <w:p>
            <w:pPr>
              <w:rPr>
                <w:rFonts w:ascii="宋体" w:hAnsi="宋体"/>
              </w:rPr>
            </w:pPr>
            <w:r>
              <w:rPr>
                <w:rFonts w:hint="eastAsia" w:ascii="宋体" w:hAnsi="宋体"/>
              </w:rPr>
              <w:t>6、单独活塞设计，每个通道可单独拆卸，便于维护和清洁</w:t>
            </w:r>
          </w:p>
          <w:p>
            <w:pPr>
              <w:rPr>
                <w:rFonts w:ascii="宋体" w:hAnsi="宋体"/>
              </w:rPr>
            </w:pPr>
            <w:r>
              <w:rPr>
                <w:rFonts w:hint="eastAsia" w:ascii="宋体" w:hAnsi="宋体"/>
              </w:rPr>
              <w:t>7、通道数字标识，确保同一方向移液</w:t>
            </w:r>
          </w:p>
          <w:p>
            <w:pPr>
              <w:rPr>
                <w:rFonts w:ascii="宋体" w:hAnsi="宋体"/>
              </w:rPr>
            </w:pPr>
            <w:r>
              <w:rPr>
                <w:rFonts w:hint="eastAsia" w:ascii="宋体" w:hAnsi="宋体"/>
              </w:rPr>
              <w:t>8、量程：10或者20μl</w:t>
            </w:r>
          </w:p>
          <w:p>
            <w:pPr>
              <w:pStyle w:val="13"/>
              <w:spacing w:after="0"/>
              <w:ind w:left="0" w:leftChars="0" w:right="0" w:rightChars="0"/>
              <w:rPr>
                <w:rFonts w:ascii="宋体" w:hAnsi="宋体" w:eastAsia="宋体" w:cs="宋体"/>
              </w:rPr>
            </w:pPr>
            <w:r>
              <w:rPr>
                <w:rFonts w:hint="eastAsia" w:ascii="宋体" w:hAnsi="宋体" w:eastAsia="宋体" w:cs="宋体"/>
                <w:b/>
                <w:bCs/>
              </w:rPr>
              <w:t>二、配置要求</w:t>
            </w:r>
            <w:r>
              <w:rPr>
                <w:rFonts w:hint="eastAsia" w:ascii="宋体" w:hAnsi="宋体" w:eastAsia="宋体" w:cs="宋体"/>
              </w:rPr>
              <w:t>：</w:t>
            </w:r>
          </w:p>
          <w:p>
            <w:pPr>
              <w:pStyle w:val="13"/>
              <w:spacing w:after="0"/>
              <w:ind w:left="0" w:leftChars="0" w:right="0" w:rightChars="0"/>
              <w:rPr>
                <w:rFonts w:ascii="宋体" w:hAnsi="宋体" w:eastAsia="宋体" w:cs="宋体"/>
              </w:rPr>
            </w:pPr>
            <w:r>
              <w:rPr>
                <w:rFonts w:hint="eastAsia" w:ascii="宋体" w:hAnsi="宋体" w:eastAsia="宋体" w:cs="宋体"/>
              </w:rPr>
              <w:t>八通道手动可调移液器1把。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12</w:t>
            </w:r>
          </w:p>
        </w:tc>
        <w:tc>
          <w:tcPr>
            <w:tcW w:w="597" w:type="pct"/>
            <w:vAlign w:val="center"/>
          </w:tcPr>
          <w:p>
            <w:pPr>
              <w:jc w:val="center"/>
              <w:rPr>
                <w:rFonts w:ascii="宋体" w:hAnsi="宋体"/>
              </w:rPr>
            </w:pPr>
            <w:r>
              <w:rPr>
                <w:rFonts w:hint="eastAsia" w:ascii="宋体" w:hAnsi="宋体"/>
              </w:rPr>
              <w:t>电动移液器</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keepNext/>
              <w:keepLines/>
              <w:jc w:val="left"/>
              <w:outlineLvl w:val="1"/>
              <w:rPr>
                <w:rFonts w:ascii="宋体" w:hAnsi="宋体"/>
                <w:b/>
                <w:bCs/>
                <w:color w:val="auto"/>
                <w:spacing w:val="0"/>
              </w:rPr>
            </w:pPr>
            <w:r>
              <w:rPr>
                <w:rFonts w:hint="eastAsia" w:ascii="宋体" w:hAnsi="宋体"/>
                <w:b/>
                <w:bCs/>
              </w:rPr>
              <w:t>一、参数要求</w:t>
            </w:r>
          </w:p>
          <w:p>
            <w:pPr>
              <w:rPr>
                <w:rFonts w:ascii="宋体" w:hAnsi="宋体"/>
              </w:rPr>
            </w:pPr>
            <w:r>
              <w:rPr>
                <w:rFonts w:hint="eastAsia" w:ascii="宋体" w:hAnsi="宋体"/>
              </w:rPr>
              <w:t>1、优化的移液器显示屏角度，可从各个方向观察；</w:t>
            </w:r>
          </w:p>
          <w:p>
            <w:pPr>
              <w:rPr>
                <w:rFonts w:ascii="宋体" w:hAnsi="宋体"/>
              </w:rPr>
            </w:pPr>
            <w:r>
              <w:rPr>
                <w:rFonts w:hint="eastAsia" w:ascii="宋体" w:hAnsi="宋体"/>
              </w:rPr>
              <w:t>2、显示屏分辨率高，便于观察；</w:t>
            </w:r>
          </w:p>
          <w:p>
            <w:pPr>
              <w:rPr>
                <w:rFonts w:ascii="宋体" w:hAnsi="宋体"/>
              </w:rPr>
            </w:pPr>
            <w:r>
              <w:rPr>
                <w:rFonts w:hint="eastAsia" w:ascii="宋体" w:hAnsi="宋体"/>
              </w:rPr>
              <w:t>3、弹性吸嘴功能，确保保证移液气密性；</w:t>
            </w:r>
          </w:p>
          <w:p>
            <w:pPr>
              <w:rPr>
                <w:rFonts w:ascii="宋体" w:hAnsi="宋体"/>
              </w:rPr>
            </w:pPr>
            <w:r>
              <w:rPr>
                <w:rFonts w:hint="eastAsia" w:ascii="宋体" w:hAnsi="宋体"/>
              </w:rPr>
              <w:t>4、主要应用：吸液、稀释、连续分液和 反向移液；</w:t>
            </w:r>
          </w:p>
          <w:p>
            <w:pPr>
              <w:rPr>
                <w:rFonts w:ascii="宋体" w:hAnsi="宋体"/>
              </w:rPr>
            </w:pPr>
            <w:r>
              <w:rPr>
                <w:rFonts w:hint="eastAsia" w:ascii="宋体" w:hAnsi="宋体"/>
              </w:rPr>
              <w:t>5、开关控制：长时间不使用时，自动关闭移液器；</w:t>
            </w:r>
          </w:p>
          <w:p>
            <w:pPr>
              <w:rPr>
                <w:rFonts w:ascii="宋体" w:hAnsi="宋体"/>
              </w:rPr>
            </w:pPr>
            <w:r>
              <w:rPr>
                <w:rFonts w:hint="eastAsia" w:ascii="宋体" w:hAnsi="宋体"/>
              </w:rPr>
              <w:t>6、程序设置：一系列复杂操作仅需一次编程即可完成；</w:t>
            </w:r>
          </w:p>
          <w:p>
            <w:pPr>
              <w:rPr>
                <w:rFonts w:ascii="宋体" w:hAnsi="宋体"/>
              </w:rPr>
            </w:pPr>
            <w:r>
              <w:rPr>
                <w:rFonts w:hint="eastAsia" w:ascii="宋体" w:hAnsi="宋体"/>
              </w:rPr>
              <w:t>7、单独的固定体积移液功能：保存经常使用的体积量程；</w:t>
            </w:r>
          </w:p>
          <w:p>
            <w:pPr>
              <w:rPr>
                <w:rFonts w:ascii="宋体" w:hAnsi="宋体"/>
              </w:rPr>
            </w:pPr>
            <w:r>
              <w:rPr>
                <w:rFonts w:hint="eastAsia" w:ascii="宋体" w:hAnsi="宋体"/>
              </w:rPr>
              <w:t>8、历史记录：自动保存最近使用的≥10组参数设置；</w:t>
            </w:r>
          </w:p>
          <w:p>
            <w:pPr>
              <w:rPr>
                <w:rFonts w:ascii="宋体" w:hAnsi="宋体"/>
              </w:rPr>
            </w:pPr>
            <w:r>
              <w:rPr>
                <w:rFonts w:hint="eastAsia" w:ascii="宋体" w:hAnsi="宋体"/>
              </w:rPr>
              <w:t>9、密码保护：可对程序和修改的设置进行密码保护；</w:t>
            </w:r>
          </w:p>
          <w:p>
            <w:pPr>
              <w:rPr>
                <w:rFonts w:ascii="宋体" w:hAnsi="宋体"/>
              </w:rPr>
            </w:pPr>
            <w:r>
              <w:rPr>
                <w:rFonts w:hint="eastAsia" w:ascii="宋体" w:hAnsi="宋体"/>
              </w:rPr>
              <w:t>10、服务周期显示：根据使用时间或频率，设定移液器维护工作的提醒功能；</w:t>
            </w:r>
          </w:p>
          <w:p>
            <w:pPr>
              <w:rPr>
                <w:rFonts w:ascii="宋体" w:hAnsi="宋体"/>
              </w:rPr>
            </w:pPr>
            <w:r>
              <w:rPr>
                <w:rFonts w:hint="eastAsia" w:ascii="宋体" w:hAnsi="宋体"/>
              </w:rPr>
              <w:t>11、单独的速度设置：根据每个人不同的移液速度进行参数设定；</w:t>
            </w:r>
          </w:p>
          <w:p>
            <w:pPr>
              <w:rPr>
                <w:rFonts w:ascii="宋体" w:hAnsi="宋体"/>
              </w:rPr>
            </w:pPr>
            <w:r>
              <w:rPr>
                <w:rFonts w:hint="eastAsia" w:ascii="宋体" w:hAnsi="宋体"/>
              </w:rPr>
              <w:t>12、每套包含300μl ；200μl ；100μl ；20μl ；10μl各一支，共五支</w:t>
            </w:r>
          </w:p>
          <w:p>
            <w:pPr>
              <w:pStyle w:val="13"/>
              <w:keepNext/>
              <w:keepLines/>
              <w:spacing w:after="0"/>
              <w:ind w:left="0" w:leftChars="0" w:right="0" w:rightChars="0"/>
              <w:jc w:val="both"/>
              <w:outlineLvl w:val="1"/>
              <w:rPr>
                <w:rFonts w:ascii="宋体" w:hAnsi="宋体" w:eastAsia="宋体" w:cs="宋体"/>
                <w:b/>
                <w:bCs/>
                <w:color w:val="auto"/>
                <w:spacing w:val="0"/>
              </w:rPr>
            </w:pPr>
            <w:r>
              <w:rPr>
                <w:rFonts w:hint="eastAsia" w:ascii="宋体" w:hAnsi="宋体" w:eastAsia="宋体" w:cs="宋体"/>
                <w:b/>
                <w:bCs/>
              </w:rPr>
              <w:t>二、配置要求：</w:t>
            </w:r>
          </w:p>
          <w:p>
            <w:pPr>
              <w:pStyle w:val="13"/>
              <w:spacing w:after="0"/>
              <w:ind w:left="0" w:leftChars="0" w:right="0" w:rightChars="0"/>
              <w:rPr>
                <w:rFonts w:ascii="宋体" w:hAnsi="宋体" w:eastAsia="宋体" w:cs="宋体"/>
              </w:rPr>
            </w:pPr>
            <w:r>
              <w:rPr>
                <w:rFonts w:hint="eastAsia" w:ascii="宋体" w:hAnsi="宋体" w:eastAsia="宋体" w:cs="宋体"/>
              </w:rPr>
              <w:t>电动移液器一套。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13</w:t>
            </w:r>
          </w:p>
        </w:tc>
        <w:tc>
          <w:tcPr>
            <w:tcW w:w="597" w:type="pct"/>
            <w:vAlign w:val="center"/>
          </w:tcPr>
          <w:p>
            <w:pPr>
              <w:jc w:val="center"/>
              <w:rPr>
                <w:rFonts w:ascii="宋体" w:hAnsi="宋体"/>
              </w:rPr>
            </w:pPr>
            <w:r>
              <w:rPr>
                <w:rFonts w:hint="eastAsia" w:ascii="宋体" w:hAnsi="宋体"/>
              </w:rPr>
              <w:t>带加热磁力搅拌器</w:t>
            </w:r>
          </w:p>
        </w:tc>
        <w:tc>
          <w:tcPr>
            <w:tcW w:w="512" w:type="pct"/>
            <w:vAlign w:val="center"/>
          </w:tcPr>
          <w:p>
            <w:pPr>
              <w:jc w:val="center"/>
              <w:rPr>
                <w:rFonts w:ascii="宋体" w:hAnsi="宋体"/>
              </w:rPr>
            </w:pPr>
            <w:r>
              <w:rPr>
                <w:rFonts w:hint="eastAsia" w:ascii="宋体" w:hAnsi="宋体"/>
              </w:rPr>
              <w:t>4</w:t>
            </w:r>
          </w:p>
        </w:tc>
        <w:tc>
          <w:tcPr>
            <w:tcW w:w="3467" w:type="pct"/>
            <w:vAlign w:val="center"/>
          </w:tcPr>
          <w:p>
            <w:pPr>
              <w:rPr>
                <w:rFonts w:ascii="宋体" w:hAnsi="宋体"/>
              </w:rPr>
            </w:pPr>
            <w:r>
              <w:rPr>
                <w:rFonts w:ascii="宋体" w:hAnsi="宋体"/>
              </w:rPr>
              <w:t>1</w:t>
            </w:r>
            <w:r>
              <w:rPr>
                <w:rFonts w:hint="eastAsia" w:ascii="宋体" w:hAnsi="宋体"/>
              </w:rPr>
              <w:t>、搅拌点位数目：</w:t>
            </w:r>
            <w:r>
              <w:rPr>
                <w:rFonts w:ascii="宋体" w:hAnsi="宋体"/>
              </w:rPr>
              <w:t>1</w:t>
            </w:r>
          </w:p>
          <w:p>
            <w:pPr>
              <w:rPr>
                <w:rFonts w:ascii="宋体" w:hAnsi="宋体"/>
              </w:rPr>
            </w:pPr>
            <w:r>
              <w:rPr>
                <w:rFonts w:ascii="宋体" w:hAnsi="宋体"/>
              </w:rPr>
              <w:t>2</w:t>
            </w:r>
            <w:r>
              <w:rPr>
                <w:rFonts w:hint="eastAsia" w:ascii="宋体" w:hAnsi="宋体"/>
              </w:rPr>
              <w:t>、每个搅拌点位最大搅拌量</w:t>
            </w:r>
            <w:r>
              <w:rPr>
                <w:rFonts w:ascii="宋体" w:hAnsi="宋体"/>
              </w:rPr>
              <w:t xml:space="preserve"> (H2O)</w:t>
            </w:r>
            <w:r>
              <w:rPr>
                <w:rFonts w:hint="eastAsia" w:ascii="宋体" w:hAnsi="宋体"/>
              </w:rPr>
              <w:t>：≥</w:t>
            </w:r>
            <w:r>
              <w:rPr>
                <w:rFonts w:ascii="宋体" w:hAnsi="宋体"/>
              </w:rPr>
              <w:t>10L</w:t>
            </w:r>
          </w:p>
          <w:p>
            <w:pPr>
              <w:rPr>
                <w:rFonts w:ascii="宋体" w:hAnsi="宋体"/>
              </w:rPr>
            </w:pPr>
            <w:r>
              <w:rPr>
                <w:rFonts w:ascii="宋体" w:hAnsi="宋体"/>
              </w:rPr>
              <w:t>3</w:t>
            </w:r>
            <w:r>
              <w:rPr>
                <w:rFonts w:hint="eastAsia" w:ascii="宋体" w:hAnsi="宋体"/>
              </w:rPr>
              <w:t>、最大搅拌量</w:t>
            </w:r>
            <w:r>
              <w:rPr>
                <w:rFonts w:ascii="宋体" w:hAnsi="宋体"/>
              </w:rPr>
              <w:t xml:space="preserve"> (H2O)</w:t>
            </w:r>
            <w:r>
              <w:rPr>
                <w:rFonts w:hint="eastAsia" w:ascii="宋体" w:hAnsi="宋体"/>
              </w:rPr>
              <w:t>：≥</w:t>
            </w:r>
            <w:r>
              <w:rPr>
                <w:rFonts w:ascii="宋体" w:hAnsi="宋体"/>
              </w:rPr>
              <w:t>10L</w:t>
            </w:r>
          </w:p>
          <w:p>
            <w:pPr>
              <w:rPr>
                <w:rFonts w:ascii="宋体" w:hAnsi="宋体"/>
              </w:rPr>
            </w:pPr>
            <w:r>
              <w:rPr>
                <w:rFonts w:hint="eastAsia" w:ascii="宋体" w:hAnsi="宋体"/>
              </w:rPr>
              <w:t>4、速度范围：100--2000 rpm</w:t>
            </w:r>
          </w:p>
          <w:p>
            <w:pPr>
              <w:rPr>
                <w:rFonts w:ascii="宋体" w:hAnsi="宋体"/>
              </w:rPr>
            </w:pPr>
            <w:r>
              <w:rPr>
                <w:rFonts w:hint="eastAsia" w:ascii="宋体" w:hAnsi="宋体"/>
              </w:rPr>
              <w:t>5、加热温度范围：室温--320 ℃</w:t>
            </w:r>
          </w:p>
          <w:p>
            <w:pPr>
              <w:rPr>
                <w:rFonts w:ascii="宋体" w:hAnsi="宋体"/>
              </w:rPr>
            </w:pPr>
            <w:r>
              <w:rPr>
                <w:rFonts w:hint="eastAsia" w:ascii="宋体" w:hAnsi="宋体"/>
              </w:rPr>
              <w:t>6、加热温度控制：刻度 1--6</w:t>
            </w:r>
          </w:p>
          <w:p>
            <w:pPr>
              <w:rPr>
                <w:rFonts w:ascii="宋体" w:hAnsi="宋体"/>
              </w:rPr>
            </w:pPr>
            <w:r>
              <w:rPr>
                <w:rFonts w:hint="eastAsia" w:ascii="宋体" w:hAnsi="宋体"/>
              </w:rPr>
              <w:t>7、转速控制：刻度 0--6</w:t>
            </w:r>
          </w:p>
          <w:p>
            <w:pPr>
              <w:rPr>
                <w:rFonts w:ascii="宋体" w:hAnsi="宋体"/>
              </w:rPr>
            </w:pPr>
            <w:r>
              <w:rPr>
                <w:rFonts w:hint="eastAsia" w:ascii="宋体" w:hAnsi="宋体"/>
              </w:rPr>
              <w:t>8、固定安全温度回路：400 ℃</w:t>
            </w:r>
          </w:p>
          <w:p>
            <w:pPr>
              <w:rPr>
                <w:rFonts w:ascii="宋体" w:hAnsi="宋体"/>
              </w:rPr>
            </w:pPr>
            <w:r>
              <w:rPr>
                <w:rFonts w:hint="eastAsia" w:ascii="宋体" w:hAnsi="宋体"/>
              </w:rPr>
              <w:t>9、工作盘材质：不锈钢</w:t>
            </w:r>
          </w:p>
          <w:p>
            <w:pPr>
              <w:rPr>
                <w:rFonts w:ascii="宋体" w:hAnsi="宋体"/>
              </w:rPr>
            </w:pPr>
            <w:r>
              <w:rPr>
                <w:rFonts w:ascii="宋体" w:hAnsi="宋体"/>
              </w:rPr>
              <w:t>10</w:t>
            </w:r>
            <w:r>
              <w:rPr>
                <w:rFonts w:hint="eastAsia" w:ascii="宋体" w:hAnsi="宋体"/>
              </w:rPr>
              <w:t>、工作盘外形尺寸：≥</w:t>
            </w:r>
            <w:r>
              <w:rPr>
                <w:rFonts w:ascii="宋体" w:hAnsi="宋体"/>
              </w:rPr>
              <w:t>125 mm</w:t>
            </w:r>
          </w:p>
          <w:p>
            <w:pPr>
              <w:rPr>
                <w:rFonts w:ascii="宋体" w:hAnsi="宋体"/>
              </w:rPr>
            </w:pPr>
            <w:r>
              <w:rPr>
                <w:rFonts w:ascii="宋体" w:hAnsi="宋体"/>
              </w:rPr>
              <w:t>11</w:t>
            </w:r>
            <w:r>
              <w:rPr>
                <w:rFonts w:hint="eastAsia" w:ascii="宋体" w:hAnsi="宋体"/>
              </w:rPr>
              <w:t>、外形尺寸：≥</w:t>
            </w:r>
            <w:r>
              <w:rPr>
                <w:rFonts w:ascii="宋体" w:hAnsi="宋体"/>
              </w:rPr>
              <w:t>168 x 105 x 220 mm</w:t>
            </w:r>
          </w:p>
          <w:p>
            <w:pPr>
              <w:rPr>
                <w:rFonts w:ascii="宋体" w:hAnsi="宋体"/>
              </w:rPr>
            </w:pPr>
            <w:r>
              <w:rPr>
                <w:rFonts w:hint="eastAsia" w:ascii="宋体" w:hAnsi="宋体"/>
              </w:rPr>
              <w:t>12、允许环境温度：5--40 ℃</w:t>
            </w:r>
          </w:p>
          <w:p>
            <w:pPr>
              <w:rPr>
                <w:rFonts w:ascii="宋体" w:hAnsi="宋体"/>
              </w:rPr>
            </w:pPr>
            <w:r>
              <w:rPr>
                <w:rFonts w:hint="eastAsia" w:ascii="宋体" w:hAnsi="宋体"/>
              </w:rPr>
              <w:t>13：允许相对湿度：80 %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14</w:t>
            </w:r>
          </w:p>
        </w:tc>
        <w:tc>
          <w:tcPr>
            <w:tcW w:w="597" w:type="pct"/>
            <w:vAlign w:val="center"/>
          </w:tcPr>
          <w:p>
            <w:pPr>
              <w:jc w:val="center"/>
              <w:rPr>
                <w:rFonts w:ascii="宋体" w:hAnsi="宋体"/>
              </w:rPr>
            </w:pPr>
            <w:r>
              <w:rPr>
                <w:rFonts w:hint="eastAsia" w:ascii="宋体" w:hAnsi="宋体"/>
              </w:rPr>
              <w:t>0.01g天平</w:t>
            </w:r>
          </w:p>
        </w:tc>
        <w:tc>
          <w:tcPr>
            <w:tcW w:w="512" w:type="pct"/>
            <w:vAlign w:val="center"/>
          </w:tcPr>
          <w:p>
            <w:pPr>
              <w:jc w:val="center"/>
              <w:rPr>
                <w:rFonts w:ascii="宋体" w:hAnsi="宋体"/>
              </w:rPr>
            </w:pPr>
            <w:r>
              <w:rPr>
                <w:rFonts w:hint="eastAsia" w:ascii="宋体" w:hAnsi="宋体"/>
              </w:rPr>
              <w:t>2</w:t>
            </w:r>
          </w:p>
        </w:tc>
        <w:tc>
          <w:tcPr>
            <w:tcW w:w="3467" w:type="pct"/>
            <w:vAlign w:val="center"/>
          </w:tcPr>
          <w:p>
            <w:pPr>
              <w:widowControl/>
              <w:shd w:val="clear" w:color="auto" w:fill="FFFFFF"/>
              <w:jc w:val="left"/>
              <w:rPr>
                <w:rFonts w:ascii="宋体" w:hAnsi="宋体"/>
              </w:rPr>
            </w:pPr>
            <w:r>
              <w:rPr>
                <w:rFonts w:hint="eastAsia" w:ascii="宋体" w:hAnsi="宋体"/>
              </w:rPr>
              <w:t>1、最大秤量：≥120 g</w:t>
            </w:r>
          </w:p>
          <w:p>
            <w:pPr>
              <w:widowControl/>
              <w:shd w:val="clear" w:color="auto" w:fill="FFFFFF"/>
              <w:jc w:val="left"/>
              <w:rPr>
                <w:rFonts w:ascii="宋体" w:hAnsi="宋体"/>
              </w:rPr>
            </w:pPr>
            <w:r>
              <w:rPr>
                <w:rFonts w:hint="eastAsia" w:ascii="宋体" w:hAnsi="宋体"/>
              </w:rPr>
              <w:t>2、可读性：0.1 mg</w:t>
            </w:r>
          </w:p>
          <w:p>
            <w:pPr>
              <w:widowControl/>
              <w:shd w:val="clear" w:color="auto" w:fill="FFFFFF"/>
              <w:jc w:val="left"/>
              <w:rPr>
                <w:rFonts w:ascii="宋体" w:hAnsi="宋体"/>
              </w:rPr>
            </w:pPr>
            <w:r>
              <w:rPr>
                <w:rFonts w:hint="eastAsia" w:ascii="宋体" w:hAnsi="宋体"/>
              </w:rPr>
              <w:t>3、最小称量值（USP, 0.1%，典型值)：0.16 g</w:t>
            </w:r>
          </w:p>
          <w:p>
            <w:pPr>
              <w:widowControl/>
              <w:shd w:val="clear" w:color="auto" w:fill="FFFFFF"/>
              <w:jc w:val="left"/>
              <w:rPr>
                <w:rFonts w:ascii="宋体" w:hAnsi="宋体"/>
              </w:rPr>
            </w:pPr>
            <w:r>
              <w:rPr>
                <w:rFonts w:hint="eastAsia" w:ascii="宋体" w:hAnsi="宋体"/>
              </w:rPr>
              <w:t>4、校正：外部</w:t>
            </w:r>
          </w:p>
          <w:p>
            <w:pPr>
              <w:widowControl/>
              <w:shd w:val="clear" w:color="auto" w:fill="FFFFFF"/>
              <w:jc w:val="left"/>
              <w:rPr>
                <w:rFonts w:ascii="宋体" w:hAnsi="宋体"/>
              </w:rPr>
            </w:pPr>
            <w:r>
              <w:rPr>
                <w:rFonts w:hint="eastAsia" w:ascii="宋体" w:hAnsi="宋体"/>
              </w:rPr>
              <w:t>5、稳定时间：2 s</w:t>
            </w:r>
          </w:p>
          <w:p>
            <w:pPr>
              <w:widowControl/>
              <w:shd w:val="clear" w:color="auto" w:fill="FFFFFF"/>
              <w:jc w:val="left"/>
              <w:rPr>
                <w:rFonts w:ascii="宋体" w:hAnsi="宋体"/>
              </w:rPr>
            </w:pPr>
            <w:r>
              <w:rPr>
                <w:rFonts w:hint="eastAsia" w:ascii="宋体" w:hAnsi="宋体"/>
              </w:rPr>
              <w:t>6、重复性（典型值）：0.08 mg</w:t>
            </w:r>
          </w:p>
          <w:p>
            <w:pPr>
              <w:widowControl/>
              <w:shd w:val="clear" w:color="auto" w:fill="FFFFFF"/>
              <w:jc w:val="left"/>
              <w:rPr>
                <w:rFonts w:ascii="宋体" w:hAnsi="宋体"/>
              </w:rPr>
            </w:pPr>
            <w:r>
              <w:rPr>
                <w:rFonts w:hint="eastAsia" w:ascii="宋体" w:hAnsi="宋体"/>
              </w:rPr>
              <w:t>7、接口：RS232</w:t>
            </w:r>
          </w:p>
          <w:p>
            <w:pPr>
              <w:widowControl/>
              <w:shd w:val="clear" w:color="auto" w:fill="FFFFFF"/>
              <w:jc w:val="left"/>
              <w:rPr>
                <w:rFonts w:ascii="宋体" w:hAnsi="宋体"/>
              </w:rPr>
            </w:pPr>
            <w:r>
              <w:rPr>
                <w:rFonts w:hint="eastAsia" w:ascii="宋体" w:hAnsi="宋体"/>
              </w:rPr>
              <w:t>8、尺寸 (高x宽)：344 mm x 210 mm</w:t>
            </w:r>
          </w:p>
          <w:p>
            <w:pPr>
              <w:widowControl/>
              <w:shd w:val="clear" w:color="auto" w:fill="FFFFFF"/>
              <w:jc w:val="left"/>
              <w:rPr>
                <w:rFonts w:ascii="宋体" w:hAnsi="宋体"/>
                <w:color w:val="333333"/>
                <w:shd w:val="clear" w:color="auto" w:fill="FFFFFF"/>
              </w:rPr>
            </w:pPr>
            <w:r>
              <w:rPr>
                <w:rFonts w:hint="eastAsia" w:ascii="宋体" w:hAnsi="宋体"/>
              </w:rPr>
              <w:t>9、线性误差：0.2 mg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15</w:t>
            </w:r>
          </w:p>
        </w:tc>
        <w:tc>
          <w:tcPr>
            <w:tcW w:w="597" w:type="pct"/>
            <w:vAlign w:val="center"/>
          </w:tcPr>
          <w:p>
            <w:pPr>
              <w:jc w:val="center"/>
              <w:rPr>
                <w:rFonts w:ascii="宋体" w:hAnsi="宋体"/>
              </w:rPr>
            </w:pPr>
            <w:r>
              <w:rPr>
                <w:rFonts w:hint="eastAsia" w:ascii="宋体" w:hAnsi="宋体"/>
              </w:rPr>
              <w:t>0.0001g天平</w:t>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rPr>
                <w:rFonts w:ascii="宋体" w:hAnsi="宋体"/>
              </w:rPr>
            </w:pPr>
            <w:r>
              <w:rPr>
                <w:rFonts w:hint="eastAsia" w:ascii="宋体" w:hAnsi="宋体"/>
              </w:rPr>
              <w:t>1、最大称量：≥620 g</w:t>
            </w:r>
          </w:p>
          <w:p>
            <w:pPr>
              <w:rPr>
                <w:rFonts w:ascii="宋体" w:hAnsi="宋体"/>
              </w:rPr>
            </w:pPr>
            <w:r>
              <w:rPr>
                <w:rFonts w:hint="eastAsia" w:ascii="宋体" w:hAnsi="宋体"/>
              </w:rPr>
              <w:t>2、可读性：0.01 g</w:t>
            </w:r>
          </w:p>
          <w:p>
            <w:pPr>
              <w:rPr>
                <w:rFonts w:ascii="宋体" w:hAnsi="宋体"/>
              </w:rPr>
            </w:pPr>
            <w:r>
              <w:rPr>
                <w:rFonts w:hint="eastAsia" w:ascii="宋体" w:hAnsi="宋体"/>
              </w:rPr>
              <w:t>3、最小称量值：0.01 g</w:t>
            </w:r>
          </w:p>
          <w:p>
            <w:pPr>
              <w:rPr>
                <w:rFonts w:ascii="宋体" w:hAnsi="宋体"/>
              </w:rPr>
            </w:pPr>
            <w:r>
              <w:rPr>
                <w:rFonts w:hint="eastAsia" w:ascii="宋体" w:hAnsi="宋体"/>
              </w:rPr>
              <w:t>4、接口：RS232</w:t>
            </w:r>
          </w:p>
          <w:p>
            <w:pPr>
              <w:pStyle w:val="23"/>
              <w:shd w:val="clear" w:color="auto" w:fill="FFFFFF"/>
              <w:spacing w:before="0" w:beforeAutospacing="0" w:after="0" w:afterAutospacing="0"/>
              <w:rPr>
                <w:kern w:val="2"/>
              </w:rPr>
            </w:pPr>
            <w:r>
              <w:rPr>
                <w:rFonts w:hint="eastAsia"/>
                <w:kern w:val="2"/>
              </w:rPr>
              <w:t>5、重复性：0.01g</w:t>
            </w:r>
          </w:p>
          <w:p>
            <w:pPr>
              <w:pStyle w:val="23"/>
              <w:shd w:val="clear" w:color="auto" w:fill="FFFFFF"/>
              <w:spacing w:before="0" w:beforeAutospacing="0" w:after="0" w:afterAutospacing="0"/>
              <w:rPr>
                <w:kern w:val="2"/>
              </w:rPr>
            </w:pPr>
            <w:r>
              <w:rPr>
                <w:rFonts w:hint="eastAsia"/>
                <w:kern w:val="2"/>
              </w:rPr>
              <w:t>6、线性误差：0.02 g</w:t>
            </w:r>
          </w:p>
          <w:p>
            <w:pPr>
              <w:rPr>
                <w:rFonts w:ascii="宋体" w:hAnsi="宋体"/>
              </w:rPr>
            </w:pPr>
            <w:r>
              <w:rPr>
                <w:rFonts w:hint="eastAsia" w:ascii="宋体" w:hAnsi="宋体"/>
              </w:rPr>
              <w:t>7、具有简单称量、百分比称量、计件称量、动态称量、加减称量等内置应用程序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16</w:t>
            </w:r>
          </w:p>
        </w:tc>
        <w:tc>
          <w:tcPr>
            <w:tcW w:w="597" w:type="pct"/>
            <w:vAlign w:val="center"/>
          </w:tcPr>
          <w:p>
            <w:pPr>
              <w:jc w:val="center"/>
              <w:rPr>
                <w:rFonts w:ascii="宋体" w:hAnsi="宋体"/>
              </w:rPr>
            </w:pPr>
            <w:r>
              <w:rPr>
                <w:rFonts w:hint="eastAsia" w:ascii="宋体" w:hAnsi="宋体"/>
              </w:rPr>
              <w:t>纯水</w:t>
            </w:r>
            <w:r>
              <w:commentReference w:id="0"/>
            </w:r>
          </w:p>
        </w:tc>
        <w:tc>
          <w:tcPr>
            <w:tcW w:w="512" w:type="pct"/>
            <w:vAlign w:val="center"/>
          </w:tcPr>
          <w:p>
            <w:pPr>
              <w:jc w:val="center"/>
              <w:rPr>
                <w:rFonts w:ascii="宋体" w:hAnsi="宋体"/>
              </w:rPr>
            </w:pPr>
            <w:r>
              <w:rPr>
                <w:rFonts w:hint="eastAsia" w:ascii="宋体" w:hAnsi="宋体"/>
              </w:rPr>
              <w:t>1</w:t>
            </w:r>
          </w:p>
        </w:tc>
        <w:tc>
          <w:tcPr>
            <w:tcW w:w="3467" w:type="pct"/>
            <w:vAlign w:val="center"/>
          </w:tcPr>
          <w:p>
            <w:pPr>
              <w:numPr>
                <w:ilvl w:val="0"/>
                <w:numId w:val="0"/>
              </w:numPr>
              <w:ind w:left="0" w:firstLine="0"/>
              <w:rPr>
                <w:rFonts w:ascii="宋体" w:hAnsi="宋体"/>
                <w:b/>
                <w:bCs/>
              </w:rPr>
            </w:pPr>
            <w:r>
              <w:rPr>
                <w:rFonts w:hint="eastAsia" w:ascii="宋体" w:hAnsi="宋体"/>
                <w:b/>
                <w:bCs/>
              </w:rPr>
              <w:t>一、工作条件</w:t>
            </w:r>
          </w:p>
          <w:p>
            <w:pPr>
              <w:numPr>
                <w:ilvl w:val="0"/>
                <w:numId w:val="2"/>
              </w:numPr>
              <w:ind w:left="0" w:firstLine="0"/>
              <w:rPr>
                <w:rFonts w:ascii="宋体" w:hAnsi="宋体"/>
              </w:rPr>
            </w:pPr>
            <w:r>
              <w:rPr>
                <w:rFonts w:hint="eastAsia" w:ascii="宋体" w:hAnsi="宋体"/>
              </w:rPr>
              <w:t>进水压力：0.1-6Bar</w:t>
            </w:r>
          </w:p>
          <w:p>
            <w:pPr>
              <w:numPr>
                <w:ilvl w:val="0"/>
                <w:numId w:val="2"/>
              </w:numPr>
              <w:ind w:left="0" w:firstLine="0"/>
              <w:rPr>
                <w:rFonts w:ascii="宋体" w:hAnsi="宋体"/>
              </w:rPr>
            </w:pPr>
            <w:r>
              <w:rPr>
                <w:rFonts w:hint="eastAsia" w:ascii="宋体" w:hAnsi="宋体"/>
              </w:rPr>
              <w:t>进水电导率：&lt;20μS/cm</w:t>
            </w:r>
          </w:p>
          <w:p>
            <w:pPr>
              <w:numPr>
                <w:ilvl w:val="0"/>
                <w:numId w:val="2"/>
              </w:numPr>
              <w:ind w:left="0" w:firstLine="0"/>
              <w:rPr>
                <w:rFonts w:ascii="宋体" w:hAnsi="宋体"/>
              </w:rPr>
            </w:pPr>
            <w:r>
              <w:rPr>
                <w:rFonts w:hint="eastAsia" w:ascii="宋体" w:hAnsi="宋体"/>
              </w:rPr>
              <w:t>进水温度：5-35℃</w:t>
            </w:r>
          </w:p>
          <w:p>
            <w:pPr>
              <w:numPr>
                <w:ilvl w:val="0"/>
                <w:numId w:val="2"/>
              </w:numPr>
              <w:ind w:left="0" w:firstLine="0"/>
              <w:rPr>
                <w:rFonts w:ascii="宋体" w:hAnsi="宋体"/>
              </w:rPr>
            </w:pPr>
            <w:r>
              <w:rPr>
                <w:rFonts w:hint="eastAsia" w:ascii="宋体" w:hAnsi="宋体"/>
              </w:rPr>
              <w:t>CO2：&lt;15mg/L</w:t>
            </w:r>
          </w:p>
          <w:p>
            <w:pPr>
              <w:numPr>
                <w:ilvl w:val="0"/>
                <w:numId w:val="2"/>
              </w:numPr>
              <w:ind w:left="0" w:firstLine="0"/>
              <w:rPr>
                <w:rFonts w:ascii="宋体" w:hAnsi="宋体"/>
              </w:rPr>
            </w:pPr>
            <w:r>
              <w:rPr>
                <w:rFonts w:hint="eastAsia" w:ascii="宋体" w:hAnsi="宋体"/>
                <w:lang w:val="en-GB"/>
              </w:rPr>
              <w:t>TOC：&lt;50ppb</w:t>
            </w:r>
          </w:p>
          <w:p>
            <w:pPr>
              <w:numPr>
                <w:ilvl w:val="0"/>
                <w:numId w:val="2"/>
              </w:numPr>
              <w:ind w:left="0" w:firstLine="0"/>
              <w:rPr>
                <w:rFonts w:ascii="宋体" w:hAnsi="宋体"/>
              </w:rPr>
            </w:pPr>
            <w:r>
              <w:rPr>
                <w:rFonts w:hint="eastAsia" w:ascii="宋体" w:hAnsi="宋体"/>
              </w:rPr>
              <w:t>电源：AC220V±10%</w:t>
            </w:r>
          </w:p>
          <w:p>
            <w:pPr>
              <w:numPr>
                <w:ilvl w:val="0"/>
                <w:numId w:val="0"/>
              </w:numPr>
              <w:ind w:left="0" w:firstLine="0"/>
              <w:rPr>
                <w:rFonts w:ascii="宋体" w:hAnsi="宋体"/>
                <w:b/>
                <w:bCs/>
              </w:rPr>
            </w:pPr>
            <w:r>
              <w:rPr>
                <w:rFonts w:hint="eastAsia" w:ascii="宋体" w:hAnsi="宋体"/>
                <w:b/>
                <w:bCs/>
              </w:rPr>
              <w:t>二、主要用途</w:t>
            </w:r>
          </w:p>
          <w:p>
            <w:pPr>
              <w:numPr>
                <w:ilvl w:val="0"/>
                <w:numId w:val="0"/>
              </w:numPr>
              <w:ind w:left="0" w:firstLine="0"/>
              <w:rPr>
                <w:rFonts w:ascii="宋体" w:hAnsi="宋体"/>
              </w:rPr>
            </w:pPr>
            <w:r>
              <w:rPr>
                <w:rFonts w:hint="eastAsia" w:ascii="宋体" w:hAnsi="宋体"/>
              </w:rPr>
              <w:t>1、一般分析</w:t>
            </w:r>
          </w:p>
          <w:p>
            <w:pPr>
              <w:numPr>
                <w:ilvl w:val="0"/>
                <w:numId w:val="0"/>
              </w:numPr>
              <w:ind w:left="0" w:firstLine="0"/>
              <w:rPr>
                <w:rFonts w:ascii="宋体" w:hAnsi="宋体"/>
              </w:rPr>
            </w:pPr>
            <w:r>
              <w:rPr>
                <w:rFonts w:hint="eastAsia" w:ascii="宋体" w:hAnsi="宋体"/>
              </w:rPr>
              <w:t>2、细胞和组织培养</w:t>
            </w:r>
          </w:p>
          <w:p>
            <w:pPr>
              <w:numPr>
                <w:ilvl w:val="0"/>
                <w:numId w:val="0"/>
              </w:numPr>
              <w:ind w:left="0" w:firstLine="0"/>
              <w:rPr>
                <w:rFonts w:ascii="宋体" w:hAnsi="宋体"/>
              </w:rPr>
            </w:pPr>
            <w:r>
              <w:rPr>
                <w:rFonts w:hint="eastAsia" w:ascii="宋体" w:hAnsi="宋体"/>
              </w:rPr>
              <w:t>3、PCR</w:t>
            </w:r>
          </w:p>
          <w:p>
            <w:pPr>
              <w:numPr>
                <w:ilvl w:val="0"/>
                <w:numId w:val="0"/>
              </w:numPr>
              <w:ind w:left="0" w:firstLine="0"/>
              <w:rPr>
                <w:rFonts w:ascii="宋体" w:hAnsi="宋体"/>
              </w:rPr>
            </w:pPr>
            <w:r>
              <w:rPr>
                <w:rFonts w:hint="eastAsia" w:ascii="宋体" w:hAnsi="宋体"/>
              </w:rPr>
              <w:t>4、HPLC、TOC分析</w:t>
            </w:r>
          </w:p>
          <w:p>
            <w:pPr>
              <w:numPr>
                <w:ilvl w:val="0"/>
                <w:numId w:val="0"/>
              </w:numPr>
              <w:ind w:left="0" w:firstLine="0"/>
              <w:rPr>
                <w:rFonts w:ascii="宋体" w:hAnsi="宋体"/>
                <w:b/>
                <w:bCs/>
              </w:rPr>
            </w:pPr>
            <w:r>
              <w:rPr>
                <w:rFonts w:hint="eastAsia" w:ascii="宋体" w:hAnsi="宋体"/>
                <w:b/>
                <w:bCs/>
              </w:rPr>
              <w:t>三、超纯水水质</w:t>
            </w:r>
          </w:p>
          <w:p>
            <w:pPr>
              <w:numPr>
                <w:ilvl w:val="0"/>
                <w:numId w:val="0"/>
              </w:numPr>
              <w:ind w:left="0" w:firstLine="0"/>
              <w:rPr>
                <w:rFonts w:ascii="宋体" w:hAnsi="宋体"/>
              </w:rPr>
            </w:pPr>
            <w:r>
              <w:rPr>
                <w:rFonts w:hint="eastAsia" w:ascii="宋体" w:hAnsi="宋体"/>
              </w:rPr>
              <w:t>1、★超纯水产水量为≥1.5L/min</w:t>
            </w:r>
          </w:p>
          <w:p>
            <w:pPr>
              <w:numPr>
                <w:ilvl w:val="0"/>
                <w:numId w:val="0"/>
              </w:numPr>
              <w:ind w:left="0" w:firstLine="0"/>
              <w:rPr>
                <w:rFonts w:ascii="宋体" w:hAnsi="宋体"/>
              </w:rPr>
            </w:pPr>
            <w:r>
              <w:rPr>
                <w:rFonts w:hint="eastAsia" w:ascii="宋体" w:hAnsi="宋体"/>
              </w:rPr>
              <w:t>2、电阻率：18.2 MΩ·cm@25℃</w:t>
            </w:r>
          </w:p>
          <w:p>
            <w:pPr>
              <w:numPr>
                <w:ilvl w:val="0"/>
                <w:numId w:val="0"/>
              </w:numPr>
              <w:ind w:left="0" w:firstLine="0"/>
              <w:rPr>
                <w:rFonts w:ascii="宋体" w:hAnsi="宋体"/>
              </w:rPr>
            </w:pPr>
            <w:r>
              <w:rPr>
                <w:rFonts w:hint="eastAsia" w:ascii="宋体" w:hAnsi="宋体"/>
              </w:rPr>
              <w:t>3、总有机碳（TOC）：&lt;5ppb</w:t>
            </w:r>
          </w:p>
          <w:p>
            <w:pPr>
              <w:numPr>
                <w:ilvl w:val="0"/>
                <w:numId w:val="0"/>
              </w:numPr>
              <w:ind w:left="0" w:firstLine="0"/>
              <w:rPr>
                <w:rFonts w:ascii="宋体" w:hAnsi="宋体"/>
              </w:rPr>
            </w:pPr>
            <w:r>
              <w:rPr>
                <w:rFonts w:hint="eastAsia" w:ascii="宋体" w:hAnsi="宋体"/>
              </w:rPr>
              <w:t>4、细菌：&lt;0.01 cfu/ml</w:t>
            </w:r>
          </w:p>
          <w:p>
            <w:pPr>
              <w:numPr>
                <w:ilvl w:val="0"/>
                <w:numId w:val="0"/>
              </w:numPr>
              <w:ind w:left="0" w:firstLine="0"/>
              <w:rPr>
                <w:rFonts w:ascii="宋体" w:hAnsi="宋体"/>
              </w:rPr>
            </w:pPr>
            <w:r>
              <w:rPr>
                <w:rFonts w:hint="eastAsia" w:ascii="宋体" w:hAnsi="宋体"/>
              </w:rPr>
              <w:t>5、内毒素：&lt;0.001Eu/ml</w:t>
            </w:r>
          </w:p>
          <w:p>
            <w:pPr>
              <w:numPr>
                <w:ilvl w:val="0"/>
                <w:numId w:val="0"/>
              </w:numPr>
              <w:ind w:left="0" w:firstLine="0"/>
              <w:rPr>
                <w:rFonts w:ascii="宋体" w:hAnsi="宋体"/>
              </w:rPr>
            </w:pPr>
            <w:r>
              <w:rPr>
                <w:rFonts w:hint="eastAsia" w:ascii="宋体" w:hAnsi="宋体"/>
              </w:rPr>
              <w:t>RNA酶：&lt;0.5pg/ml</w:t>
            </w:r>
          </w:p>
          <w:p>
            <w:pPr>
              <w:numPr>
                <w:ilvl w:val="0"/>
                <w:numId w:val="0"/>
              </w:numPr>
              <w:ind w:left="0" w:firstLine="0"/>
              <w:rPr>
                <w:rFonts w:ascii="宋体" w:hAnsi="宋体"/>
              </w:rPr>
            </w:pPr>
            <w:r>
              <w:rPr>
                <w:rFonts w:hint="eastAsia" w:ascii="宋体" w:hAnsi="宋体"/>
              </w:rPr>
              <w:t>7、DNA酶：&lt;5pg/ml</w:t>
            </w:r>
          </w:p>
          <w:p>
            <w:pPr>
              <w:numPr>
                <w:ilvl w:val="0"/>
                <w:numId w:val="0"/>
              </w:numPr>
              <w:ind w:left="0" w:firstLine="0"/>
              <w:rPr>
                <w:rFonts w:ascii="宋体" w:hAnsi="宋体"/>
              </w:rPr>
            </w:pPr>
            <w:r>
              <w:rPr>
                <w:rFonts w:hint="eastAsia" w:ascii="宋体" w:hAnsi="宋体"/>
              </w:rPr>
              <w:t>8、&gt;0.2μm的颗粒：&lt;1per/ml</w:t>
            </w:r>
          </w:p>
          <w:p>
            <w:pPr>
              <w:numPr>
                <w:ilvl w:val="0"/>
                <w:numId w:val="0"/>
              </w:numPr>
              <w:ind w:left="0" w:firstLine="0"/>
              <w:rPr>
                <w:rFonts w:ascii="宋体" w:hAnsi="宋体"/>
                <w:b/>
                <w:bCs/>
              </w:rPr>
            </w:pPr>
            <w:r>
              <w:rPr>
                <w:rFonts w:hint="eastAsia" w:ascii="宋体" w:hAnsi="宋体"/>
                <w:b/>
                <w:bCs/>
              </w:rPr>
              <w:t>四、操作系统</w:t>
            </w:r>
          </w:p>
          <w:p>
            <w:pPr>
              <w:rPr>
                <w:rFonts w:ascii="宋体" w:hAnsi="宋体"/>
              </w:rPr>
            </w:pPr>
            <w:r>
              <w:rPr>
                <w:rFonts w:hint="eastAsia" w:ascii="宋体" w:hAnsi="宋体"/>
              </w:rPr>
              <w:t>1、主机显示屏可实时显示，</w:t>
            </w:r>
            <w:r>
              <w:rPr>
                <w:rFonts w:hint="eastAsia" w:ascii="宋体" w:hAnsi="宋体"/>
                <w:lang w:val="en-GB"/>
              </w:rPr>
              <w:t>进水电导率Q1，</w:t>
            </w:r>
            <w:r>
              <w:rPr>
                <w:rFonts w:hint="eastAsia" w:ascii="宋体" w:hAnsi="宋体"/>
              </w:rPr>
              <w:t>超纯水电导率Q2值，管路水温，UV灯开启状态，机器运行状态等信息。</w:t>
            </w:r>
          </w:p>
          <w:p>
            <w:pPr>
              <w:rPr>
                <w:rFonts w:ascii="宋体" w:hAnsi="宋体"/>
              </w:rPr>
            </w:pPr>
            <w:r>
              <w:rPr>
                <w:rFonts w:hint="eastAsia" w:ascii="宋体" w:hAnsi="宋体"/>
              </w:rPr>
              <w:t>2、设置节能模式，可自由设置主机的运行间歇时间，并且可设定间歇期间的内循环频率。</w:t>
            </w:r>
          </w:p>
          <w:p>
            <w:pPr>
              <w:rPr>
                <w:rFonts w:ascii="宋体" w:hAnsi="宋体"/>
              </w:rPr>
            </w:pPr>
            <w:r>
              <w:rPr>
                <w:rFonts w:hint="eastAsia" w:ascii="宋体" w:hAnsi="宋体"/>
              </w:rPr>
              <w:t>3、报警提示功能，系统包含运行计时功能，定期提示机器维护信息，可查看主机、内置泵、紫外灯等运行时间，并有过期提醒功能。当出现水质不达标、温度过高等情况，机器报警，屏幕显示报警信息。</w:t>
            </w:r>
          </w:p>
          <w:p>
            <w:pPr>
              <w:rPr>
                <w:rFonts w:ascii="宋体" w:hAnsi="宋体"/>
              </w:rPr>
            </w:pPr>
            <w:r>
              <w:rPr>
                <w:rFonts w:hint="eastAsia" w:ascii="宋体" w:hAnsi="宋体"/>
              </w:rPr>
              <w:t>4、带有温度自动补偿功能。</w:t>
            </w:r>
          </w:p>
          <w:p>
            <w:pPr>
              <w:rPr>
                <w:rFonts w:ascii="宋体" w:hAnsi="宋体"/>
              </w:rPr>
            </w:pPr>
            <w:r>
              <w:rPr>
                <w:rFonts w:hint="eastAsia" w:ascii="宋体" w:hAnsi="宋体"/>
              </w:rPr>
              <w:t>5、重要信息密码保护功能。</w:t>
            </w:r>
          </w:p>
          <w:p>
            <w:pPr>
              <w:rPr>
                <w:rFonts w:ascii="宋体" w:hAnsi="宋体"/>
                <w:b/>
                <w:bCs/>
              </w:rPr>
            </w:pPr>
            <w:r>
              <w:rPr>
                <w:rFonts w:hint="eastAsia" w:ascii="宋体" w:hAnsi="宋体"/>
                <w:b/>
                <w:bCs/>
              </w:rPr>
              <w:t>五、功能</w:t>
            </w:r>
          </w:p>
          <w:p>
            <w:pPr>
              <w:rPr>
                <w:rFonts w:ascii="宋体" w:hAnsi="宋体"/>
              </w:rPr>
            </w:pPr>
            <w:r>
              <w:rPr>
                <w:rFonts w:hint="eastAsia" w:ascii="宋体" w:hAnsi="宋体"/>
              </w:rPr>
              <w:t>1、以纯水为进水，制备I类超纯水。</w:t>
            </w:r>
          </w:p>
          <w:p>
            <w:pPr>
              <w:rPr>
                <w:rFonts w:ascii="宋体" w:hAnsi="宋体"/>
              </w:rPr>
            </w:pPr>
            <w:r>
              <w:rPr>
                <w:rFonts w:hint="eastAsia" w:ascii="宋体" w:hAnsi="宋体"/>
              </w:rPr>
              <w:t>2、超纯水水质符合或优于ASTM、CAP、CLSI及ISO3696的一类水水质标准。</w:t>
            </w:r>
          </w:p>
          <w:p>
            <w:pPr>
              <w:rPr>
                <w:rFonts w:ascii="宋体" w:hAnsi="宋体"/>
              </w:rPr>
            </w:pPr>
            <w:r>
              <w:rPr>
                <w:rFonts w:hint="eastAsia" w:ascii="宋体" w:hAnsi="宋体"/>
              </w:rPr>
              <w:t>3、超纯水取水端位于主机正前方，方便取水，可根据取水时间和取水量来选择两种方式，终端标配除菌过滤器。</w:t>
            </w:r>
          </w:p>
          <w:p>
            <w:pPr>
              <w:rPr>
                <w:rFonts w:ascii="宋体" w:hAnsi="宋体"/>
              </w:rPr>
            </w:pPr>
            <w:r>
              <w:rPr>
                <w:rFonts w:hint="eastAsia" w:ascii="宋体" w:hAnsi="宋体"/>
              </w:rPr>
              <w:t>4、标配增压泵，为</w:t>
            </w:r>
            <w:r>
              <w:rPr>
                <w:rFonts w:hint="eastAsia" w:ascii="宋体" w:hAnsi="宋体"/>
                <w:lang w:val="en-GB"/>
              </w:rPr>
              <w:t>进水和</w:t>
            </w:r>
            <w:r>
              <w:rPr>
                <w:rFonts w:hint="eastAsia" w:ascii="宋体" w:hAnsi="宋体"/>
              </w:rPr>
              <w:t>超纯水内循环提供压力。</w:t>
            </w:r>
          </w:p>
          <w:p>
            <w:pPr>
              <w:rPr>
                <w:rFonts w:ascii="宋体" w:hAnsi="宋体"/>
              </w:rPr>
            </w:pPr>
            <w:r>
              <w:rPr>
                <w:rFonts w:hint="eastAsia" w:ascii="宋体" w:hAnsi="宋体"/>
              </w:rPr>
              <w:t>5、系统内循环设计，抑制细菌生长，防止水温过热。</w:t>
            </w:r>
          </w:p>
          <w:p>
            <w:pPr>
              <w:rPr>
                <w:rFonts w:ascii="宋体" w:hAnsi="宋体"/>
              </w:rPr>
            </w:pPr>
            <w:r>
              <w:rPr>
                <w:rFonts w:hint="eastAsia" w:ascii="宋体" w:hAnsi="宋体"/>
              </w:rPr>
              <w:t>6、★配有注射式杀菌组件，包含注射器和三通连接器，可对超纯水部分的所有管路进行清洗。</w:t>
            </w:r>
          </w:p>
          <w:p>
            <w:pPr>
              <w:rPr>
                <w:rFonts w:ascii="宋体" w:hAnsi="宋体"/>
              </w:rPr>
            </w:pPr>
            <w:r>
              <w:rPr>
                <w:rFonts w:hint="eastAsia" w:ascii="宋体" w:hAnsi="宋体"/>
              </w:rPr>
              <w:t>7、内置双电导率检测仪，分别检测进水和超纯水水质。</w:t>
            </w:r>
          </w:p>
          <w:p>
            <w:pPr>
              <w:rPr>
                <w:rFonts w:ascii="宋体" w:hAnsi="宋体"/>
              </w:rPr>
            </w:pPr>
            <w:r>
              <w:rPr>
                <w:rFonts w:hint="eastAsia" w:ascii="宋体" w:hAnsi="宋体"/>
              </w:rPr>
              <w:t>8、内置双波长紫外灯。</w:t>
            </w:r>
          </w:p>
          <w:p>
            <w:pPr>
              <w:rPr>
                <w:rFonts w:ascii="宋体" w:hAnsi="宋体"/>
              </w:rPr>
            </w:pPr>
            <w:r>
              <w:rPr>
                <w:rFonts w:hint="eastAsia" w:ascii="宋体" w:hAnsi="宋体"/>
              </w:rPr>
              <w:t>9、所有连接口插拔式设计，无需使用任何工具即可方便更换过滤柱，安装简便，配有启动耗材。</w:t>
            </w:r>
          </w:p>
          <w:p>
            <w:pPr>
              <w:rPr>
                <w:rFonts w:ascii="宋体" w:hAnsi="宋体"/>
              </w:rPr>
            </w:pPr>
            <w:r>
              <w:rPr>
                <w:rFonts w:hint="eastAsia" w:ascii="宋体" w:hAnsi="宋体"/>
              </w:rPr>
              <w:t>10、带壁挂组件，可选择放在台面上或挂在墙上。</w:t>
            </w:r>
          </w:p>
          <w:p>
            <w:pPr>
              <w:rPr>
                <w:rFonts w:ascii="宋体" w:hAnsi="宋体"/>
              </w:rPr>
            </w:pPr>
            <w:r>
              <w:rPr>
                <w:rFonts w:hint="eastAsia" w:ascii="宋体" w:hAnsi="宋体"/>
              </w:rPr>
              <w:t>11、★机器外壳采用阻燃级特殊ABS工程塑料，更安全，抗震、减压，对机器和电子元器件起到保护作用，厚度&gt;5mm。</w:t>
            </w:r>
          </w:p>
          <w:p>
            <w:pPr>
              <w:rPr>
                <w:rFonts w:ascii="宋体" w:hAnsi="宋体"/>
              </w:rPr>
            </w:pPr>
            <w:r>
              <w:rPr>
                <w:rFonts w:hint="eastAsia" w:ascii="宋体" w:hAnsi="宋体"/>
              </w:rPr>
              <w:t>12、★机器占地面积＜0.1㎡。</w:t>
            </w:r>
          </w:p>
          <w:p>
            <w:pPr>
              <w:rPr>
                <w:rFonts w:ascii="宋体" w:hAnsi="宋体"/>
              </w:rPr>
            </w:pPr>
          </w:p>
          <w:p>
            <w:pPr>
              <w:rPr>
                <w:rFonts w:ascii="宋体" w:hAnsi="宋体"/>
                <w:b/>
                <w:bCs/>
              </w:rPr>
            </w:pPr>
            <w:r>
              <w:rPr>
                <w:rFonts w:hint="eastAsia" w:ascii="宋体" w:hAnsi="宋体"/>
                <w:b/>
                <w:bCs/>
              </w:rPr>
              <w:t>六、配置</w:t>
            </w:r>
          </w:p>
          <w:p>
            <w:pPr>
              <w:rPr>
                <w:rFonts w:ascii="宋体" w:hAnsi="宋体"/>
              </w:rPr>
            </w:pPr>
            <w:r>
              <w:rPr>
                <w:rFonts w:hint="eastAsia" w:ascii="宋体" w:hAnsi="宋体"/>
              </w:rPr>
              <w:t>1、主机，，1 台</w:t>
            </w:r>
          </w:p>
          <w:p>
            <w:pPr>
              <w:rPr>
                <w:rFonts w:ascii="宋体" w:hAnsi="宋体"/>
              </w:rPr>
            </w:pPr>
            <w:r>
              <w:rPr>
                <w:rFonts w:hint="eastAsia" w:ascii="宋体" w:hAnsi="宋体"/>
              </w:rPr>
              <w:t>2、DI去离子滤芯1根</w:t>
            </w:r>
          </w:p>
          <w:p>
            <w:pPr>
              <w:rPr>
                <w:rFonts w:ascii="宋体" w:hAnsi="宋体"/>
              </w:rPr>
            </w:pPr>
            <w:r>
              <w:rPr>
                <w:rFonts w:hint="eastAsia" w:ascii="宋体" w:hAnsi="宋体"/>
              </w:rPr>
              <w:t>3、大容量抛光树脂滤芯1根</w:t>
            </w:r>
          </w:p>
          <w:p>
            <w:pPr>
              <w:rPr>
                <w:rFonts w:ascii="宋体" w:hAnsi="宋体"/>
              </w:rPr>
            </w:pPr>
            <w:r>
              <w:rPr>
                <w:rFonts w:hint="eastAsia" w:ascii="宋体" w:hAnsi="宋体"/>
              </w:rPr>
              <w:t>4、双波长紫外灯1根</w:t>
            </w:r>
          </w:p>
          <w:p>
            <w:pPr>
              <w:rPr>
                <w:rFonts w:ascii="宋体" w:hAnsi="宋体"/>
              </w:rPr>
            </w:pPr>
            <w:r>
              <w:rPr>
                <w:rFonts w:hint="eastAsia" w:ascii="宋体" w:hAnsi="宋体"/>
              </w:rPr>
              <w:t>5、 0.2um除菌过滤器 1根</w:t>
            </w:r>
          </w:p>
          <w:p>
            <w:pPr>
              <w:rPr>
                <w:rFonts w:ascii="宋体" w:hAnsi="宋体"/>
              </w:rPr>
            </w:pPr>
            <w:r>
              <w:rPr>
                <w:rFonts w:hint="eastAsia" w:ascii="宋体" w:hAnsi="宋体"/>
              </w:rPr>
              <w:t>6、</w:t>
            </w:r>
            <w:r>
              <w:rPr>
                <w:rFonts w:hint="eastAsia" w:ascii="宋体" w:hAnsi="宋体"/>
                <w:lang w:val="en-GB"/>
              </w:rPr>
              <w:t>注射式杀菌组件1套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17</w:t>
            </w:r>
          </w:p>
        </w:tc>
        <w:tc>
          <w:tcPr>
            <w:tcW w:w="597" w:type="pct"/>
            <w:vAlign w:val="center"/>
          </w:tcPr>
          <w:p>
            <w:pPr>
              <w:jc w:val="center"/>
              <w:rPr>
                <w:rFonts w:ascii="宋体" w:hAnsi="宋体"/>
              </w:rPr>
            </w:pPr>
            <w:r>
              <w:rPr>
                <w:rFonts w:hint="eastAsia" w:ascii="宋体" w:hAnsi="宋体"/>
              </w:rPr>
              <w:t>纯水</w:t>
            </w:r>
            <w:r>
              <w:commentReference w:id="1"/>
            </w:r>
          </w:p>
        </w:tc>
        <w:tc>
          <w:tcPr>
            <w:tcW w:w="512" w:type="pct"/>
            <w:vAlign w:val="center"/>
          </w:tcPr>
          <w:p>
            <w:pPr>
              <w:jc w:val="center"/>
              <w:rPr>
                <w:rFonts w:ascii="宋体" w:hAnsi="宋体"/>
              </w:rPr>
            </w:pPr>
          </w:p>
        </w:tc>
        <w:tc>
          <w:tcPr>
            <w:tcW w:w="3467" w:type="pct"/>
            <w:vAlign w:val="center"/>
          </w:tcPr>
          <w:p>
            <w:pPr>
              <w:rPr>
                <w:rFonts w:ascii="宋体" w:hAnsi="宋体"/>
                <w:b/>
              </w:rPr>
            </w:pPr>
            <w:r>
              <w:rPr>
                <w:rFonts w:hint="eastAsia" w:ascii="宋体" w:hAnsi="宋体"/>
                <w:b/>
              </w:rPr>
              <w:t>一、主要用途：</w:t>
            </w:r>
          </w:p>
          <w:p>
            <w:pPr>
              <w:tabs>
                <w:tab w:val="left" w:pos="180"/>
                <w:tab w:val="left" w:pos="540"/>
              </w:tabs>
              <w:rPr>
                <w:rFonts w:ascii="宋体" w:hAnsi="宋体"/>
                <w:b/>
              </w:rPr>
            </w:pPr>
            <w:r>
              <w:rPr>
                <w:rFonts w:hint="eastAsia" w:ascii="宋体" w:hAnsi="宋体"/>
              </w:rPr>
              <w:t>1、玻璃器皿的最后冲洗，化学/生化试剂配制</w:t>
            </w:r>
          </w:p>
          <w:p>
            <w:pPr>
              <w:tabs>
                <w:tab w:val="left" w:pos="180"/>
                <w:tab w:val="left" w:pos="540"/>
              </w:tabs>
              <w:rPr>
                <w:rFonts w:ascii="宋体" w:hAnsi="宋体"/>
                <w:b/>
              </w:rPr>
            </w:pPr>
            <w:r>
              <w:rPr>
                <w:rFonts w:hint="eastAsia" w:ascii="宋体" w:hAnsi="宋体"/>
              </w:rPr>
              <w:t>2、分析试剂及药品配制、稀释</w:t>
            </w:r>
          </w:p>
          <w:p>
            <w:pPr>
              <w:tabs>
                <w:tab w:val="left" w:pos="180"/>
                <w:tab w:val="left" w:pos="540"/>
              </w:tabs>
              <w:rPr>
                <w:rFonts w:ascii="宋体" w:hAnsi="宋体"/>
                <w:b/>
              </w:rPr>
            </w:pPr>
            <w:r>
              <w:rPr>
                <w:rFonts w:hint="eastAsia" w:ascii="宋体" w:hAnsi="宋体"/>
              </w:rPr>
              <w:t>3、精密分析仪器用水(HPLC, UPLC,AA,TOC等等)</w:t>
            </w:r>
          </w:p>
          <w:p>
            <w:pPr>
              <w:tabs>
                <w:tab w:val="left" w:pos="180"/>
                <w:tab w:val="left" w:pos="540"/>
              </w:tabs>
              <w:rPr>
                <w:rFonts w:ascii="宋体" w:hAnsi="宋体"/>
                <w:b/>
              </w:rPr>
            </w:pPr>
            <w:r>
              <w:rPr>
                <w:rFonts w:hint="eastAsia" w:ascii="宋体" w:hAnsi="宋体"/>
              </w:rPr>
              <w:t>4、动植物细胞培养，分子生物学研究等。</w:t>
            </w:r>
          </w:p>
          <w:p>
            <w:pPr>
              <w:rPr>
                <w:rFonts w:ascii="宋体" w:hAnsi="宋体"/>
                <w:b/>
              </w:rPr>
            </w:pPr>
            <w:r>
              <w:rPr>
                <w:rFonts w:hint="eastAsia" w:ascii="宋体" w:hAnsi="宋体"/>
                <w:b/>
              </w:rPr>
              <w:t>二、技术规格</w:t>
            </w:r>
          </w:p>
          <w:p>
            <w:pPr>
              <w:tabs>
                <w:tab w:val="left" w:pos="180"/>
                <w:tab w:val="left" w:pos="540"/>
              </w:tabs>
              <w:rPr>
                <w:rFonts w:ascii="宋体" w:hAnsi="宋体"/>
                <w:bCs/>
              </w:rPr>
            </w:pPr>
            <w:r>
              <w:rPr>
                <w:rFonts w:hint="eastAsia" w:ascii="宋体" w:hAnsi="宋体"/>
              </w:rPr>
              <w:t>1、系统为</w:t>
            </w:r>
            <w:r>
              <w:rPr>
                <w:rFonts w:hint="eastAsia" w:ascii="宋体" w:hAnsi="宋体"/>
                <w:b/>
              </w:rPr>
              <w:t>一体机</w:t>
            </w:r>
            <w:r>
              <w:rPr>
                <w:rFonts w:hint="eastAsia" w:ascii="宋体" w:hAnsi="宋体"/>
              </w:rPr>
              <w:t>，以城市自来水为进水，连续生产III级（纯）水和I级（超）纯水</w:t>
            </w:r>
            <w:r>
              <w:rPr>
                <w:rFonts w:hint="eastAsia" w:ascii="宋体" w:hAnsi="宋体"/>
                <w:bCs/>
              </w:rPr>
              <w:t xml:space="preserve"> </w:t>
            </w:r>
          </w:p>
          <w:p>
            <w:pPr>
              <w:tabs>
                <w:tab w:val="left" w:pos="180"/>
                <w:tab w:val="left" w:pos="540"/>
              </w:tabs>
              <w:rPr>
                <w:rFonts w:ascii="宋体" w:hAnsi="宋体"/>
                <w:bCs/>
              </w:rPr>
            </w:pPr>
            <w:r>
              <w:rPr>
                <w:rFonts w:hint="eastAsia" w:ascii="宋体" w:hAnsi="宋体"/>
                <w:bCs/>
              </w:rPr>
              <w:t>2、纯水产水水质</w:t>
            </w:r>
          </w:p>
          <w:p>
            <w:pPr>
              <w:rPr>
                <w:rFonts w:ascii="宋体" w:hAnsi="宋体"/>
                <w:bCs/>
                <w:color w:val="000000"/>
              </w:rPr>
            </w:pPr>
            <w:r>
              <w:rPr>
                <w:rFonts w:hint="eastAsia" w:ascii="宋体" w:hAnsi="宋体"/>
                <w:color w:val="000000"/>
                <w:kern w:val="0"/>
              </w:rPr>
              <w:t>2.1离子截留率 97-98%</w:t>
            </w:r>
          </w:p>
          <w:p>
            <w:pPr>
              <w:rPr>
                <w:rFonts w:ascii="宋体" w:hAnsi="宋体"/>
                <w:color w:val="000000"/>
                <w:kern w:val="0"/>
              </w:rPr>
            </w:pPr>
            <w:r>
              <w:rPr>
                <w:rFonts w:hint="eastAsia" w:ascii="宋体" w:hAnsi="宋体"/>
                <w:color w:val="000000"/>
                <w:kern w:val="0"/>
              </w:rPr>
              <w:t>2.2有机物截流率(MW &gt; 200 Dalton) &gt; 99%</w:t>
            </w:r>
          </w:p>
          <w:p>
            <w:pPr>
              <w:rPr>
                <w:rFonts w:ascii="宋体" w:hAnsi="宋体"/>
                <w:bCs/>
                <w:color w:val="000000"/>
              </w:rPr>
            </w:pPr>
            <w:r>
              <w:rPr>
                <w:rFonts w:hint="eastAsia" w:ascii="宋体" w:hAnsi="宋体"/>
                <w:color w:val="000000"/>
                <w:kern w:val="0"/>
              </w:rPr>
              <w:t>2.3细菌和颗粒 &gt; 99%</w:t>
            </w:r>
          </w:p>
          <w:p>
            <w:pPr>
              <w:rPr>
                <w:rFonts w:ascii="宋体" w:hAnsi="宋体"/>
                <w:color w:val="000000"/>
                <w:kern w:val="0"/>
              </w:rPr>
            </w:pPr>
            <w:r>
              <w:rPr>
                <w:rFonts w:hint="eastAsia" w:ascii="宋体" w:hAnsi="宋体"/>
                <w:color w:val="FF0000"/>
              </w:rPr>
              <w:t xml:space="preserve">2.4 </w:t>
            </w:r>
            <w:r>
              <w:rPr>
                <w:rFonts w:hint="eastAsia" w:ascii="宋体" w:hAnsi="宋体"/>
                <w:color w:val="000000"/>
                <w:kern w:val="0"/>
              </w:rPr>
              <w:t>系统可监测和显示反渗透膜的截留率</w:t>
            </w:r>
          </w:p>
          <w:p>
            <w:pPr>
              <w:rPr>
                <w:rFonts w:ascii="宋体" w:hAnsi="宋体"/>
                <w:bCs/>
                <w:color w:val="000000"/>
              </w:rPr>
            </w:pPr>
            <w:r>
              <w:rPr>
                <w:rFonts w:hint="eastAsia" w:ascii="宋体" w:hAnsi="宋体"/>
                <w:color w:val="000000"/>
                <w:kern w:val="0"/>
              </w:rPr>
              <w:t>2.5流速</w:t>
            </w:r>
            <w:r>
              <w:rPr>
                <w:rFonts w:hint="eastAsia" w:ascii="宋体" w:hAnsi="宋体"/>
              </w:rPr>
              <w:t>：8 L/h</w:t>
            </w:r>
          </w:p>
          <w:p>
            <w:pPr>
              <w:tabs>
                <w:tab w:val="left" w:pos="180"/>
                <w:tab w:val="left" w:pos="540"/>
              </w:tabs>
              <w:rPr>
                <w:rFonts w:ascii="宋体" w:hAnsi="宋体"/>
                <w:bCs/>
              </w:rPr>
            </w:pPr>
            <w:r>
              <w:rPr>
                <w:rFonts w:hint="eastAsia" w:ascii="宋体" w:hAnsi="宋体"/>
                <w:bCs/>
                <w:color w:val="000000"/>
              </w:rPr>
              <w:t>2、超纯水产水水质：</w:t>
            </w:r>
          </w:p>
          <w:p>
            <w:pPr>
              <w:rPr>
                <w:rFonts w:ascii="宋体" w:hAnsi="宋体"/>
                <w:color w:val="000000"/>
                <w:kern w:val="0"/>
              </w:rPr>
            </w:pPr>
            <w:r>
              <w:rPr>
                <w:rFonts w:hint="eastAsia" w:ascii="宋体" w:hAnsi="宋体"/>
                <w:color w:val="000000"/>
                <w:kern w:val="0"/>
              </w:rPr>
              <w:t>2.1电阻率：18.2MΩ.cm ＠25℃ （具有温度补偿和非温度补偿两种模式）</w:t>
            </w:r>
          </w:p>
          <w:p>
            <w:pPr>
              <w:rPr>
                <w:rFonts w:ascii="宋体" w:hAnsi="宋体"/>
                <w:color w:val="000000"/>
                <w:kern w:val="0"/>
              </w:rPr>
            </w:pPr>
            <w:r>
              <w:rPr>
                <w:rFonts w:hint="eastAsia" w:ascii="宋体" w:hAnsi="宋体"/>
                <w:color w:val="000000"/>
                <w:kern w:val="0"/>
              </w:rPr>
              <w:t>2.2 总有机碳含量(TOC)：≤ 5ppb（μg/L） ,可在线监测并显示</w:t>
            </w:r>
          </w:p>
          <w:p>
            <w:pPr>
              <w:rPr>
                <w:rFonts w:ascii="宋体" w:hAnsi="宋体"/>
                <w:color w:val="000000"/>
                <w:kern w:val="0"/>
              </w:rPr>
            </w:pPr>
            <w:bookmarkStart w:id="32" w:name="OLE_LINK1"/>
            <w:bookmarkStart w:id="33" w:name="OLE_LINK2"/>
            <w:r>
              <w:rPr>
                <w:rFonts w:hint="eastAsia" w:ascii="宋体" w:hAnsi="宋体"/>
                <w:color w:val="000000"/>
                <w:kern w:val="0"/>
              </w:rPr>
              <w:t xml:space="preserve">2.3 </w:t>
            </w:r>
            <w:bookmarkEnd w:id="32"/>
            <w:bookmarkEnd w:id="33"/>
            <w:r>
              <w:rPr>
                <w:rFonts w:hint="eastAsia" w:ascii="宋体" w:hAnsi="宋体"/>
                <w:color w:val="000000"/>
                <w:kern w:val="0"/>
              </w:rPr>
              <w:t>内毒素＜0.001EU／ml</w:t>
            </w:r>
          </w:p>
          <w:p>
            <w:pPr>
              <w:rPr>
                <w:rFonts w:ascii="宋体" w:hAnsi="宋体"/>
                <w:color w:val="000000"/>
                <w:kern w:val="0"/>
              </w:rPr>
            </w:pPr>
            <w:r>
              <w:rPr>
                <w:rFonts w:hint="eastAsia" w:ascii="宋体" w:hAnsi="宋体"/>
                <w:color w:val="000000"/>
                <w:kern w:val="0"/>
              </w:rPr>
              <w:t>2.4 细菌＜0.01cfu／ml</w:t>
            </w:r>
          </w:p>
          <w:p>
            <w:pPr>
              <w:rPr>
                <w:rFonts w:ascii="宋体" w:hAnsi="宋体"/>
                <w:color w:val="000000"/>
                <w:kern w:val="0"/>
              </w:rPr>
            </w:pPr>
            <w:r>
              <w:rPr>
                <w:rFonts w:hint="eastAsia" w:ascii="宋体" w:hAnsi="宋体"/>
                <w:color w:val="000000"/>
                <w:kern w:val="0"/>
              </w:rPr>
              <w:t>2.5 颗粒（＞0.22μm）＜1个／ml</w:t>
            </w:r>
          </w:p>
          <w:p>
            <w:pPr>
              <w:rPr>
                <w:rFonts w:ascii="宋体" w:hAnsi="宋体"/>
                <w:color w:val="000000"/>
                <w:kern w:val="0"/>
              </w:rPr>
            </w:pPr>
            <w:r>
              <w:rPr>
                <w:rFonts w:hint="eastAsia" w:ascii="宋体" w:hAnsi="宋体"/>
                <w:color w:val="000000"/>
                <w:kern w:val="0"/>
              </w:rPr>
              <w:t xml:space="preserve">2.6流速：2L /min </w:t>
            </w:r>
          </w:p>
          <w:p>
            <w:pPr>
              <w:tabs>
                <w:tab w:val="left" w:pos="180"/>
                <w:tab w:val="left" w:pos="540"/>
              </w:tabs>
              <w:rPr>
                <w:rFonts w:ascii="宋体" w:hAnsi="宋体"/>
              </w:rPr>
            </w:pPr>
            <w:r>
              <w:rPr>
                <w:rFonts w:hint="eastAsia" w:ascii="宋体" w:hAnsi="宋体"/>
              </w:rPr>
              <w:t>3、系统可对</w:t>
            </w:r>
            <w:r>
              <w:rPr>
                <w:rFonts w:hint="eastAsia" w:ascii="宋体" w:hAnsi="宋体"/>
                <w:color w:val="000000"/>
                <w:kern w:val="0"/>
              </w:rPr>
              <w:t>水质进行全程监控，分别检测和显示进水、纯水、超纯水电导率及RO膜截留率。</w:t>
            </w:r>
          </w:p>
          <w:p>
            <w:pPr>
              <w:tabs>
                <w:tab w:val="left" w:pos="180"/>
                <w:tab w:val="left" w:pos="540"/>
              </w:tabs>
              <w:rPr>
                <w:rFonts w:ascii="宋体" w:hAnsi="宋体"/>
              </w:rPr>
            </w:pPr>
            <w:r>
              <w:rPr>
                <w:rFonts w:hint="eastAsia" w:ascii="宋体" w:hAnsi="宋体"/>
              </w:rPr>
              <w:t>4、系统内置TOC显示仪，在线实时显示超纯水中的TOC水平</w:t>
            </w:r>
          </w:p>
          <w:p>
            <w:pPr>
              <w:tabs>
                <w:tab w:val="left" w:pos="180"/>
                <w:tab w:val="left" w:pos="540"/>
              </w:tabs>
              <w:rPr>
                <w:rFonts w:ascii="宋体" w:hAnsi="宋体"/>
                <w:color w:val="000000"/>
                <w:kern w:val="0"/>
              </w:rPr>
            </w:pPr>
            <w:r>
              <w:rPr>
                <w:rFonts w:hint="eastAsia" w:ascii="宋体" w:hAnsi="宋体"/>
                <w:color w:val="000000"/>
                <w:kern w:val="0"/>
              </w:rPr>
              <w:t xml:space="preserve">5、超纯水部分具有185nm紫外灯，用于降低产水TOC水平； </w:t>
            </w:r>
          </w:p>
          <w:p>
            <w:pPr>
              <w:tabs>
                <w:tab w:val="left" w:pos="180"/>
                <w:tab w:val="left" w:pos="540"/>
              </w:tabs>
              <w:rPr>
                <w:rFonts w:ascii="宋体" w:hAnsi="宋体"/>
                <w:color w:val="000000"/>
                <w:kern w:val="0"/>
              </w:rPr>
            </w:pPr>
            <w:r>
              <w:rPr>
                <w:rFonts w:hint="eastAsia" w:ascii="宋体" w:hAnsi="宋体"/>
                <w:color w:val="000000"/>
                <w:kern w:val="0"/>
              </w:rPr>
              <w:t>6、取水装置高度能够调节，在取水过程中无需用手固定容器，具有定量（0.1L~60L）自动取水功能。</w:t>
            </w:r>
          </w:p>
          <w:p>
            <w:pPr>
              <w:tabs>
                <w:tab w:val="left" w:pos="180"/>
                <w:tab w:val="left" w:pos="540"/>
              </w:tabs>
              <w:rPr>
                <w:rFonts w:ascii="宋体" w:hAnsi="宋体"/>
                <w:color w:val="000000"/>
                <w:kern w:val="0"/>
              </w:rPr>
            </w:pPr>
            <w:r>
              <w:rPr>
                <w:rFonts w:hint="eastAsia" w:ascii="宋体" w:hAnsi="宋体"/>
              </w:rPr>
              <w:t>7、系统配备30L PE型材吹塑制备的锥形底部避光水箱，水箱具有液位显示控制模块，水箱呼吸器；</w:t>
            </w:r>
            <w:r>
              <w:rPr>
                <w:rFonts w:hint="eastAsia" w:ascii="宋体" w:hAnsi="宋体"/>
                <w:color w:val="FF0000"/>
                <w:kern w:val="0"/>
              </w:rPr>
              <w:t xml:space="preserve"> </w:t>
            </w:r>
          </w:p>
          <w:p>
            <w:pPr>
              <w:tabs>
                <w:tab w:val="left" w:pos="180"/>
                <w:tab w:val="left" w:pos="540"/>
              </w:tabs>
              <w:rPr>
                <w:rFonts w:ascii="宋体" w:hAnsi="宋体"/>
              </w:rPr>
            </w:pPr>
            <w:r>
              <w:rPr>
                <w:rFonts w:hint="eastAsia" w:ascii="宋体" w:hAnsi="宋体"/>
              </w:rPr>
              <w:t>8、取水终端有多种纯化单元可供选择，如去除内毒素、内分泌干扰素EDS、挥发性有机物VOC等，以满足不同的实验需求</w:t>
            </w:r>
          </w:p>
          <w:p>
            <w:pPr>
              <w:tabs>
                <w:tab w:val="left" w:pos="180"/>
                <w:tab w:val="left" w:pos="540"/>
              </w:tabs>
              <w:rPr>
                <w:rFonts w:ascii="宋体" w:hAnsi="宋体"/>
              </w:rPr>
            </w:pPr>
            <w:r>
              <w:rPr>
                <w:rFonts w:hint="eastAsia" w:ascii="宋体" w:hAnsi="宋体"/>
                <w:color w:val="000000"/>
                <w:kern w:val="0"/>
              </w:rPr>
              <w:t>9、带中文等多国语言操作面板，具有更换预滤芯、滤膜、纯化柱和系统自动清洗等维护信息提示功能。</w:t>
            </w:r>
          </w:p>
          <w:p>
            <w:pPr>
              <w:tabs>
                <w:tab w:val="left" w:pos="180"/>
                <w:tab w:val="left" w:pos="540"/>
              </w:tabs>
              <w:rPr>
                <w:rFonts w:ascii="宋体" w:hAnsi="宋体"/>
              </w:rPr>
            </w:pPr>
            <w:r>
              <w:rPr>
                <w:rFonts w:hint="eastAsia" w:ascii="宋体" w:hAnsi="宋体"/>
                <w:color w:val="000000"/>
                <w:kern w:val="0"/>
              </w:rPr>
              <w:t>10、全系统符合UL标准，CE指令，GLP设计，USP要求，</w:t>
            </w:r>
            <w:r>
              <w:rPr>
                <w:rFonts w:hint="eastAsia" w:ascii="宋体" w:hAnsi="宋体"/>
                <w:color w:val="000000"/>
              </w:rPr>
              <w:t>ISO9001和ISO14001标准，</w:t>
            </w:r>
            <w:r>
              <w:rPr>
                <w:rFonts w:hint="eastAsia" w:ascii="宋体" w:hAnsi="宋体"/>
              </w:rPr>
              <w:t xml:space="preserve"> </w:t>
            </w:r>
          </w:p>
          <w:p>
            <w:pPr>
              <w:rPr>
                <w:rFonts w:ascii="宋体" w:hAnsi="宋体"/>
                <w:b/>
                <w:kern w:val="0"/>
              </w:rPr>
            </w:pPr>
            <w:r>
              <w:rPr>
                <w:rFonts w:hint="eastAsia" w:ascii="宋体" w:hAnsi="宋体"/>
                <w:b/>
                <w:kern w:val="0"/>
              </w:rPr>
              <w:t>三、基本配置:</w:t>
            </w:r>
          </w:p>
          <w:p>
            <w:pPr>
              <w:tabs>
                <w:tab w:val="left" w:pos="180"/>
                <w:tab w:val="left" w:pos="540"/>
              </w:tabs>
              <w:rPr>
                <w:rFonts w:ascii="宋体" w:hAnsi="宋体"/>
              </w:rPr>
            </w:pPr>
            <w:r>
              <w:rPr>
                <w:rFonts w:hint="eastAsia" w:ascii="宋体" w:hAnsi="宋体"/>
              </w:rPr>
              <w:t>1、主机系统</w:t>
            </w:r>
            <w:r>
              <w:rPr>
                <w:rFonts w:hint="eastAsia" w:ascii="宋体" w:hAnsi="宋体"/>
                <w:color w:val="000000"/>
                <w:kern w:val="0"/>
              </w:rPr>
              <w:t xml:space="preserve">                 </w:t>
            </w:r>
            <w:r>
              <w:rPr>
                <w:rFonts w:hint="eastAsia" w:ascii="宋体" w:hAnsi="宋体"/>
              </w:rPr>
              <w:t xml:space="preserve">          1 套</w:t>
            </w:r>
          </w:p>
          <w:p>
            <w:pPr>
              <w:tabs>
                <w:tab w:val="left" w:pos="180"/>
                <w:tab w:val="left" w:pos="540"/>
              </w:tabs>
              <w:rPr>
                <w:rFonts w:ascii="宋体" w:hAnsi="宋体"/>
              </w:rPr>
            </w:pPr>
            <w:r>
              <w:rPr>
                <w:rFonts w:hint="eastAsia" w:ascii="宋体" w:hAnsi="宋体"/>
                <w:color w:val="000000"/>
                <w:kern w:val="0"/>
              </w:rPr>
              <w:t xml:space="preserve">2、自来水预处理组件         </w:t>
            </w:r>
            <w:r>
              <w:rPr>
                <w:rFonts w:hint="eastAsia" w:ascii="宋体" w:hAnsi="宋体"/>
              </w:rPr>
              <w:t xml:space="preserve">          1 套</w:t>
            </w:r>
          </w:p>
          <w:p>
            <w:pPr>
              <w:tabs>
                <w:tab w:val="left" w:pos="180"/>
                <w:tab w:val="left" w:pos="540"/>
              </w:tabs>
              <w:rPr>
                <w:rFonts w:ascii="宋体" w:hAnsi="宋体"/>
              </w:rPr>
            </w:pPr>
            <w:r>
              <w:rPr>
                <w:rFonts w:hint="eastAsia" w:ascii="宋体" w:hAnsi="宋体"/>
                <w:color w:val="000000"/>
                <w:kern w:val="0"/>
              </w:rPr>
              <w:t xml:space="preserve">3、预处理柱                           </w:t>
            </w:r>
            <w:r>
              <w:rPr>
                <w:rFonts w:hint="eastAsia" w:ascii="宋体" w:hAnsi="宋体"/>
              </w:rPr>
              <w:t>1 套</w:t>
            </w:r>
          </w:p>
          <w:p>
            <w:pPr>
              <w:tabs>
                <w:tab w:val="left" w:pos="180"/>
                <w:tab w:val="left" w:pos="540"/>
              </w:tabs>
              <w:rPr>
                <w:rFonts w:ascii="宋体" w:hAnsi="宋体"/>
              </w:rPr>
            </w:pPr>
            <w:r>
              <w:rPr>
                <w:rFonts w:hint="eastAsia" w:ascii="宋体" w:hAnsi="宋体"/>
                <w:color w:val="000000"/>
                <w:kern w:val="0"/>
              </w:rPr>
              <w:t xml:space="preserve">4、超纯化柱  </w:t>
            </w:r>
            <w:r>
              <w:rPr>
                <w:rFonts w:hint="eastAsia" w:ascii="宋体" w:hAnsi="宋体"/>
              </w:rPr>
              <w:t xml:space="preserve">                         1 套</w:t>
            </w:r>
          </w:p>
          <w:p>
            <w:pPr>
              <w:tabs>
                <w:tab w:val="left" w:pos="180"/>
                <w:tab w:val="left" w:pos="540"/>
              </w:tabs>
              <w:rPr>
                <w:rFonts w:ascii="宋体" w:hAnsi="宋体"/>
              </w:rPr>
            </w:pPr>
            <w:r>
              <w:rPr>
                <w:rFonts w:hint="eastAsia" w:ascii="宋体" w:hAnsi="宋体"/>
              </w:rPr>
              <w:t>5、30Ｌ PE水箱                       1 个</w:t>
            </w:r>
          </w:p>
          <w:p>
            <w:pPr>
              <w:tabs>
                <w:tab w:val="left" w:pos="180"/>
                <w:tab w:val="left" w:pos="540"/>
              </w:tabs>
              <w:rPr>
                <w:rFonts w:ascii="宋体" w:hAnsi="宋体"/>
              </w:rPr>
            </w:pPr>
            <w:r>
              <w:rPr>
                <w:rFonts w:hint="eastAsia" w:ascii="宋体" w:hAnsi="宋体"/>
              </w:rPr>
              <w:t>6、水箱空气过滤器                     1个</w:t>
            </w:r>
          </w:p>
          <w:p>
            <w:pPr>
              <w:tabs>
                <w:tab w:val="left" w:pos="180"/>
                <w:tab w:val="left" w:pos="540"/>
              </w:tabs>
              <w:rPr>
                <w:rFonts w:ascii="宋体" w:hAnsi="宋体"/>
              </w:rPr>
            </w:pPr>
            <w:r>
              <w:rPr>
                <w:rFonts w:hint="eastAsia" w:ascii="宋体" w:hAnsi="宋体"/>
              </w:rPr>
              <w:t>7、系统清洗药片                       1盒</w:t>
            </w:r>
          </w:p>
          <w:p>
            <w:pPr>
              <w:tabs>
                <w:tab w:val="left" w:pos="180"/>
                <w:tab w:val="left" w:pos="540"/>
              </w:tabs>
              <w:rPr>
                <w:rFonts w:ascii="宋体" w:hAnsi="宋体"/>
              </w:rPr>
            </w:pPr>
            <w:r>
              <w:rPr>
                <w:rFonts w:hint="eastAsia" w:ascii="宋体" w:hAnsi="宋体"/>
                <w:color w:val="000000"/>
                <w:kern w:val="0"/>
              </w:rPr>
              <w:t>8、终端</w:t>
            </w:r>
            <w:r>
              <w:rPr>
                <w:rFonts w:hint="eastAsia" w:ascii="宋体" w:hAnsi="宋体"/>
              </w:rPr>
              <w:t>过滤器</w:t>
            </w:r>
            <w:r>
              <w:rPr>
                <w:rFonts w:hint="eastAsia" w:ascii="宋体" w:hAnsi="宋体"/>
                <w:color w:val="000000"/>
                <w:kern w:val="0"/>
              </w:rPr>
              <w:t xml:space="preserve">                         </w:t>
            </w:r>
            <w:r>
              <w:rPr>
                <w:rFonts w:hint="eastAsia" w:ascii="宋体" w:hAnsi="宋体"/>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22" w:type="pct"/>
            <w:vAlign w:val="center"/>
          </w:tcPr>
          <w:p>
            <w:pPr>
              <w:jc w:val="center"/>
              <w:rPr>
                <w:rFonts w:ascii="宋体" w:hAnsi="宋体"/>
              </w:rPr>
            </w:pPr>
            <w:r>
              <w:rPr>
                <w:rFonts w:hint="eastAsia" w:ascii="宋体" w:hAnsi="宋体"/>
              </w:rPr>
              <w:t>18</w:t>
            </w:r>
          </w:p>
        </w:tc>
        <w:tc>
          <w:tcPr>
            <w:tcW w:w="597" w:type="pct"/>
            <w:vAlign w:val="center"/>
          </w:tcPr>
          <w:p>
            <w:pPr>
              <w:jc w:val="center"/>
              <w:rPr>
                <w:rFonts w:ascii="宋体" w:hAnsi="宋体"/>
              </w:rPr>
            </w:pPr>
            <w:r>
              <w:rPr>
                <w:rFonts w:hint="eastAsia" w:ascii="宋体" w:hAnsi="宋体"/>
              </w:rPr>
              <w:t>纯水</w:t>
            </w:r>
            <w:r>
              <w:commentReference w:id="2"/>
            </w:r>
          </w:p>
        </w:tc>
        <w:tc>
          <w:tcPr>
            <w:tcW w:w="512" w:type="pct"/>
            <w:vAlign w:val="center"/>
          </w:tcPr>
          <w:p>
            <w:pPr>
              <w:jc w:val="center"/>
              <w:rPr>
                <w:rFonts w:ascii="宋体" w:hAnsi="宋体"/>
              </w:rPr>
            </w:pPr>
          </w:p>
        </w:tc>
        <w:tc>
          <w:tcPr>
            <w:tcW w:w="3467" w:type="pct"/>
            <w:vAlign w:val="center"/>
          </w:tcPr>
          <w:p>
            <w:pPr>
              <w:rPr>
                <w:rFonts w:ascii="宋体" w:hAnsi="宋体"/>
                <w:b/>
              </w:rPr>
            </w:pPr>
            <w:r>
              <w:rPr>
                <w:rFonts w:hint="eastAsia" w:ascii="宋体" w:hAnsi="宋体"/>
                <w:b/>
              </w:rPr>
              <w:t>一、应用</w:t>
            </w:r>
          </w:p>
          <w:p>
            <w:pPr>
              <w:widowControl/>
              <w:tabs>
                <w:tab w:val="left" w:pos="540"/>
              </w:tabs>
              <w:jc w:val="left"/>
              <w:rPr>
                <w:rFonts w:ascii="宋体" w:hAnsi="宋体"/>
              </w:rPr>
            </w:pPr>
            <w:r>
              <w:rPr>
                <w:rFonts w:hint="eastAsia" w:ascii="宋体" w:hAnsi="宋体"/>
              </w:rPr>
              <w:t>1、高精密分析设备用水（ICP、ICP-MS、HPLC 、HPLC-MS、TOC分析、GC-MS、AAS等）</w:t>
            </w:r>
          </w:p>
          <w:p>
            <w:pPr>
              <w:widowControl/>
              <w:tabs>
                <w:tab w:val="left" w:pos="540"/>
              </w:tabs>
              <w:jc w:val="left"/>
              <w:rPr>
                <w:rFonts w:ascii="宋体" w:hAnsi="宋体"/>
              </w:rPr>
            </w:pPr>
            <w:r>
              <w:rPr>
                <w:rFonts w:hint="eastAsia" w:ascii="宋体" w:hAnsi="宋体"/>
              </w:rPr>
              <w:t>2、电化学分析，痕量分析，Langmuir-Blodgett槽分析</w:t>
            </w:r>
          </w:p>
          <w:p>
            <w:pPr>
              <w:widowControl/>
              <w:tabs>
                <w:tab w:val="left" w:pos="540"/>
              </w:tabs>
              <w:jc w:val="left"/>
              <w:rPr>
                <w:rFonts w:ascii="宋体" w:hAnsi="宋体"/>
              </w:rPr>
            </w:pPr>
            <w:r>
              <w:rPr>
                <w:rFonts w:hint="eastAsia" w:ascii="宋体" w:hAnsi="宋体"/>
              </w:rPr>
              <w:t>3、分析试剂及药品配置、稀释</w:t>
            </w:r>
          </w:p>
          <w:p>
            <w:pPr>
              <w:widowControl/>
              <w:tabs>
                <w:tab w:val="left" w:pos="540"/>
              </w:tabs>
              <w:jc w:val="left"/>
              <w:rPr>
                <w:rFonts w:ascii="宋体" w:hAnsi="宋体"/>
              </w:rPr>
            </w:pPr>
            <w:r>
              <w:rPr>
                <w:rFonts w:hint="eastAsia" w:ascii="宋体" w:hAnsi="宋体"/>
              </w:rPr>
              <w:t>4、毒理学研究、环保实验分析等</w:t>
            </w:r>
          </w:p>
          <w:p>
            <w:pPr>
              <w:widowControl/>
              <w:tabs>
                <w:tab w:val="left" w:pos="540"/>
              </w:tabs>
              <w:jc w:val="left"/>
              <w:rPr>
                <w:rFonts w:ascii="宋体" w:hAnsi="宋体"/>
              </w:rPr>
            </w:pPr>
            <w:r>
              <w:rPr>
                <w:rFonts w:hint="eastAsia" w:ascii="宋体" w:hAnsi="宋体"/>
              </w:rPr>
              <w:t>5、PCR，电泳，测序，分子生物学，细胞培养，单克隆抗体研究，基因组学和蛋白质组学研究</w:t>
            </w:r>
          </w:p>
          <w:p>
            <w:pPr>
              <w:widowControl/>
              <w:tabs>
                <w:tab w:val="left" w:pos="540"/>
              </w:tabs>
              <w:jc w:val="left"/>
              <w:rPr>
                <w:rFonts w:ascii="宋体" w:hAnsi="宋体"/>
              </w:rPr>
            </w:pPr>
            <w:r>
              <w:rPr>
                <w:rFonts w:hint="eastAsia" w:ascii="宋体" w:hAnsi="宋体"/>
              </w:rPr>
              <w:t>6、各种组织/细胞培养，试管婴儿</w:t>
            </w:r>
          </w:p>
          <w:p>
            <w:pPr>
              <w:widowControl/>
              <w:tabs>
                <w:tab w:val="left" w:pos="540"/>
              </w:tabs>
              <w:jc w:val="left"/>
              <w:rPr>
                <w:rFonts w:ascii="宋体" w:hAnsi="宋体"/>
              </w:rPr>
            </w:pPr>
            <w:r>
              <w:rPr>
                <w:rFonts w:hint="eastAsia" w:ascii="宋体" w:hAnsi="宋体"/>
              </w:rPr>
              <w:t>7、单抗制备，血清稀释等</w:t>
            </w:r>
          </w:p>
          <w:p>
            <w:pPr>
              <w:rPr>
                <w:rFonts w:ascii="宋体" w:hAnsi="宋体"/>
                <w:b/>
              </w:rPr>
            </w:pPr>
            <w:r>
              <w:rPr>
                <w:rFonts w:hint="eastAsia" w:ascii="宋体" w:hAnsi="宋体"/>
                <w:b/>
              </w:rPr>
              <w:t>二、技术指标</w:t>
            </w:r>
          </w:p>
          <w:p>
            <w:pPr>
              <w:rPr>
                <w:rFonts w:ascii="宋体" w:hAnsi="宋体"/>
              </w:rPr>
            </w:pPr>
            <w:r>
              <w:rPr>
                <w:rFonts w:hint="eastAsia" w:ascii="宋体" w:hAnsi="宋体"/>
              </w:rPr>
              <w:t>1、进水要求：城市自来水</w:t>
            </w:r>
          </w:p>
          <w:p>
            <w:pPr>
              <w:ind w:firstLine="480" w:firstLineChars="200"/>
              <w:rPr>
                <w:rFonts w:ascii="宋体" w:hAnsi="宋体"/>
              </w:rPr>
            </w:pPr>
            <w:r>
              <w:rPr>
                <w:rFonts w:hint="eastAsia" w:ascii="宋体" w:hAnsi="宋体"/>
              </w:rPr>
              <w:t>纯水产量：≥ 3L/hr</w:t>
            </w:r>
          </w:p>
          <w:p>
            <w:pPr>
              <w:rPr>
                <w:rFonts w:ascii="宋体" w:hAnsi="宋体"/>
              </w:rPr>
            </w:pPr>
            <w:r>
              <w:rPr>
                <w:rFonts w:hint="eastAsia" w:ascii="宋体" w:hAnsi="宋体"/>
              </w:rPr>
              <w:t>2、 ASTM TYPE I 超纯水水质：</w:t>
            </w:r>
          </w:p>
          <w:p>
            <w:pPr>
              <w:rPr>
                <w:rFonts w:ascii="宋体" w:hAnsi="宋体"/>
              </w:rPr>
            </w:pPr>
            <w:r>
              <w:rPr>
                <w:rFonts w:hint="eastAsia" w:ascii="宋体" w:hAnsi="宋体"/>
              </w:rPr>
              <w:t>电阻率：18.2 MΩ-cm @25℃</w:t>
            </w:r>
          </w:p>
          <w:p>
            <w:pPr>
              <w:rPr>
                <w:rFonts w:ascii="宋体" w:hAnsi="宋体"/>
              </w:rPr>
            </w:pPr>
            <w:r>
              <w:rPr>
                <w:rFonts w:hint="eastAsia" w:ascii="宋体" w:hAnsi="宋体"/>
              </w:rPr>
              <w:t>电导率：0.055μs/cm@25℃</w:t>
            </w:r>
          </w:p>
          <w:p>
            <w:pPr>
              <w:rPr>
                <w:rFonts w:ascii="宋体" w:hAnsi="宋体"/>
              </w:rPr>
            </w:pPr>
            <w:r>
              <w:rPr>
                <w:rFonts w:hint="eastAsia" w:ascii="宋体" w:hAnsi="宋体"/>
              </w:rPr>
              <w:t>ASTM TYPE II 纯水水质：</w:t>
            </w:r>
          </w:p>
          <w:p>
            <w:pPr>
              <w:rPr>
                <w:rFonts w:ascii="宋体" w:hAnsi="宋体"/>
              </w:rPr>
            </w:pPr>
            <w:r>
              <w:rPr>
                <w:rFonts w:hint="eastAsia" w:ascii="宋体" w:hAnsi="宋体"/>
              </w:rPr>
              <w:t>电阻率：&gt; 10 MΩ-cm @25℃</w:t>
            </w:r>
          </w:p>
          <w:p>
            <w:pPr>
              <w:rPr>
                <w:rFonts w:ascii="宋体" w:hAnsi="宋体"/>
              </w:rPr>
            </w:pPr>
            <w:r>
              <w:rPr>
                <w:rFonts w:hint="eastAsia" w:ascii="宋体" w:hAnsi="宋体"/>
              </w:rPr>
              <w:t>电导率：&lt; 0.1 μs/cm@25℃</w:t>
            </w:r>
          </w:p>
          <w:p>
            <w:pPr>
              <w:rPr>
                <w:rFonts w:ascii="宋体" w:hAnsi="宋体"/>
              </w:rPr>
            </w:pPr>
            <w:r>
              <w:rPr>
                <w:rFonts w:hint="eastAsia" w:ascii="宋体" w:hAnsi="宋体"/>
              </w:rPr>
              <w:t>3、 TOC水平：5 ppb</w:t>
            </w:r>
          </w:p>
          <w:p>
            <w:pPr>
              <w:rPr>
                <w:rFonts w:ascii="宋体" w:hAnsi="宋体"/>
              </w:rPr>
            </w:pPr>
            <w:r>
              <w:rPr>
                <w:rFonts w:hint="eastAsia" w:ascii="宋体" w:hAnsi="宋体"/>
              </w:rPr>
              <w:t>4、 热源：≤ 0.001 EU/ml</w:t>
            </w:r>
          </w:p>
          <w:p>
            <w:pPr>
              <w:rPr>
                <w:rFonts w:ascii="宋体" w:hAnsi="宋体"/>
              </w:rPr>
            </w:pPr>
            <w:r>
              <w:rPr>
                <w:rFonts w:hint="eastAsia" w:ascii="宋体" w:hAnsi="宋体"/>
              </w:rPr>
              <w:t>RNase:  Remove</w:t>
            </w:r>
          </w:p>
          <w:p>
            <w:pPr>
              <w:rPr>
                <w:rFonts w:ascii="宋体" w:hAnsi="宋体"/>
              </w:rPr>
            </w:pPr>
            <w:r>
              <w:rPr>
                <w:rFonts w:hint="eastAsia" w:ascii="宋体" w:hAnsi="宋体"/>
              </w:rPr>
              <w:t>DNase:  Remove</w:t>
            </w:r>
          </w:p>
          <w:p>
            <w:pPr>
              <w:rPr>
                <w:rFonts w:ascii="宋体" w:hAnsi="宋体"/>
              </w:rPr>
            </w:pPr>
            <w:r>
              <w:rPr>
                <w:rFonts w:hint="eastAsia" w:ascii="宋体" w:hAnsi="宋体"/>
              </w:rPr>
              <w:t>5、 微生物：≤ 1 CFU/ml，颗粒≤ 1/ml (&gt;0.2μm)</w:t>
            </w:r>
          </w:p>
          <w:p>
            <w:pPr>
              <w:rPr>
                <w:rFonts w:ascii="宋体" w:hAnsi="宋体"/>
              </w:rPr>
            </w:pPr>
            <w:r>
              <w:rPr>
                <w:rFonts w:hint="eastAsia" w:ascii="宋体" w:hAnsi="宋体"/>
              </w:rPr>
              <w:t>6、 出水流速：0 – 1.0 L/min，连续可调</w:t>
            </w:r>
          </w:p>
          <w:p>
            <w:pPr>
              <w:rPr>
                <w:rFonts w:ascii="宋体" w:hAnsi="宋体"/>
              </w:rPr>
            </w:pPr>
            <w:r>
              <w:rPr>
                <w:rFonts w:hint="eastAsia" w:ascii="宋体" w:hAnsi="宋体"/>
              </w:rPr>
              <w:t>7、 185/254 nm 双波长紫外灯</w:t>
            </w:r>
          </w:p>
          <w:p>
            <w:pPr>
              <w:rPr>
                <w:rFonts w:ascii="宋体" w:hAnsi="宋体"/>
              </w:rPr>
            </w:pPr>
            <w:r>
              <w:rPr>
                <w:rFonts w:hint="eastAsia" w:ascii="宋体" w:hAnsi="宋体"/>
              </w:rPr>
              <w:t xml:space="preserve">8、 </w:t>
            </w:r>
            <w:r>
              <w:rPr>
                <w:rFonts w:hint="eastAsia" w:ascii="宋体" w:hAnsi="宋体"/>
                <w:color w:val="404040"/>
              </w:rPr>
              <w:t>可反复消毒</w:t>
            </w:r>
            <w:r>
              <w:rPr>
                <w:rFonts w:hint="eastAsia" w:ascii="宋体" w:hAnsi="宋体"/>
              </w:rPr>
              <w:t>≥</w:t>
            </w:r>
            <w:r>
              <w:rPr>
                <w:rFonts w:hint="eastAsia" w:ascii="宋体" w:hAnsi="宋体"/>
                <w:color w:val="404040"/>
              </w:rPr>
              <w:t>5次的终端过滤器</w:t>
            </w:r>
          </w:p>
          <w:p>
            <w:pPr>
              <w:rPr>
                <w:rFonts w:ascii="宋体" w:hAnsi="宋体"/>
              </w:rPr>
            </w:pPr>
            <w:r>
              <w:rPr>
                <w:rFonts w:hint="eastAsia" w:ascii="宋体" w:hAnsi="宋体"/>
              </w:rPr>
              <w:t>9、 内置超滤膜UF，可自动冲洗</w:t>
            </w:r>
          </w:p>
          <w:p>
            <w:pPr>
              <w:rPr>
                <w:rFonts w:ascii="宋体" w:hAnsi="宋体"/>
              </w:rPr>
            </w:pPr>
            <w:r>
              <w:rPr>
                <w:rFonts w:hint="eastAsia" w:ascii="宋体" w:hAnsi="宋体"/>
              </w:rPr>
              <w:t xml:space="preserve">10、 </w:t>
            </w:r>
            <w:r>
              <w:rPr>
                <w:rFonts w:hint="eastAsia" w:ascii="宋体" w:hAnsi="宋体"/>
                <w:color w:val="000000"/>
              </w:rPr>
              <w:t>全系统湿管道消毒，不是只消毒(UF)</w:t>
            </w:r>
            <w:r>
              <w:rPr>
                <w:rFonts w:hint="eastAsia" w:ascii="宋体" w:hAnsi="宋体"/>
              </w:rPr>
              <w:t>超滤装置</w:t>
            </w:r>
          </w:p>
          <w:p>
            <w:pPr>
              <w:rPr>
                <w:rFonts w:ascii="宋体" w:hAnsi="宋体"/>
              </w:rPr>
            </w:pPr>
            <w:r>
              <w:rPr>
                <w:rFonts w:hint="eastAsia" w:ascii="宋体" w:hAnsi="宋体"/>
              </w:rPr>
              <w:t>11、 RO膜和超纯化柱可根据实际使用情况分别更换</w:t>
            </w:r>
          </w:p>
          <w:p>
            <w:pPr>
              <w:rPr>
                <w:rFonts w:ascii="宋体" w:hAnsi="宋体"/>
                <w:bCs/>
                <w:color w:val="000000"/>
              </w:rPr>
            </w:pPr>
            <w:r>
              <w:rPr>
                <w:rFonts w:hint="eastAsia" w:ascii="宋体" w:hAnsi="宋体"/>
                <w:bCs/>
                <w:color w:val="000000"/>
              </w:rPr>
              <w:t>12、 显示面板角度可调节，自动检测，自动维护提示，自动报警等功能</w:t>
            </w:r>
          </w:p>
          <w:p>
            <w:pPr>
              <w:rPr>
                <w:rFonts w:ascii="宋体" w:hAnsi="宋体"/>
              </w:rPr>
            </w:pPr>
            <w:r>
              <w:rPr>
                <w:rFonts w:hint="eastAsia" w:ascii="宋体" w:hAnsi="宋体"/>
                <w:bCs/>
              </w:rPr>
              <w:t xml:space="preserve">13. </w:t>
            </w:r>
            <w:r>
              <w:rPr>
                <w:rFonts w:hint="eastAsia" w:ascii="宋体" w:hAnsi="宋体"/>
              </w:rPr>
              <w:t>有RS232接口可与计算机或专用打印机相联记录水质资料</w:t>
            </w:r>
          </w:p>
          <w:p>
            <w:pPr>
              <w:rPr>
                <w:rFonts w:ascii="宋体" w:hAnsi="宋体"/>
                <w:bCs/>
                <w:color w:val="000000"/>
              </w:rPr>
            </w:pPr>
            <w:r>
              <w:rPr>
                <w:rFonts w:hint="eastAsia" w:ascii="宋体" w:hAnsi="宋体"/>
                <w:bCs/>
                <w:color w:val="000000"/>
              </w:rPr>
              <w:t>14. 水箱带CO2吸收和隔绝细菌0.2</w:t>
            </w:r>
            <w:r>
              <w:rPr>
                <w:rFonts w:hint="eastAsia" w:ascii="宋体" w:hAnsi="宋体"/>
              </w:rPr>
              <w:t>μm滤膜的呼吸器，可根据颜色变化更换呼吸器</w:t>
            </w:r>
          </w:p>
          <w:p>
            <w:pPr>
              <w:rPr>
                <w:rFonts w:ascii="宋体" w:hAnsi="宋体"/>
                <w:b/>
                <w:bCs/>
              </w:rPr>
            </w:pPr>
            <w:r>
              <w:rPr>
                <w:rFonts w:hint="eastAsia" w:ascii="宋体" w:hAnsi="宋体"/>
                <w:b/>
                <w:bCs/>
              </w:rPr>
              <w:t>三、 配置：</w:t>
            </w:r>
          </w:p>
          <w:p>
            <w:pPr>
              <w:rPr>
                <w:rFonts w:ascii="宋体" w:hAnsi="宋体"/>
                <w:color w:val="333333"/>
                <w:shd w:val="clear" w:color="auto" w:fill="FFFFFF"/>
              </w:rPr>
            </w:pPr>
            <w:r>
              <w:rPr>
                <w:rFonts w:hint="eastAsia" w:ascii="宋体" w:hAnsi="宋体"/>
              </w:rPr>
              <w:t>主机（包含水质监测器，，内置超滤装置，，超纯化柱一套，终端微滤器，6升水箱）</w:t>
            </w:r>
          </w:p>
        </w:tc>
      </w:tr>
    </w:tbl>
    <w:p>
      <w:pPr>
        <w:ind w:firstLine="240" w:firstLineChars="100"/>
        <w:rPr>
          <w:rFonts w:ascii="宋体" w:hAnsi="宋体"/>
        </w:rPr>
      </w:pPr>
    </w:p>
    <w:bookmarkEnd w:id="30"/>
    <w:p>
      <w:pPr>
        <w:pStyle w:val="5"/>
        <w:jc w:val="left"/>
        <w:rPr>
          <w:rFonts w:ascii="宋体" w:hAnsi="宋体" w:cs="宋体"/>
          <w:color w:val="auto"/>
        </w:rPr>
      </w:pPr>
      <w:bookmarkStart w:id="34" w:name="_Toc4802"/>
      <w:bookmarkStart w:id="35" w:name="_Toc4822"/>
      <w:bookmarkStart w:id="36" w:name="_Toc6282"/>
      <w:r>
        <w:rPr>
          <w:rFonts w:hint="eastAsia" w:ascii="宋体" w:hAnsi="宋体" w:cs="宋体"/>
          <w:color w:val="auto"/>
          <w:sz w:val="24"/>
          <w:szCs w:val="40"/>
        </w:rPr>
        <w:t>二、商务要求</w:t>
      </w:r>
      <w:bookmarkEnd w:id="34"/>
      <w:bookmarkEnd w:id="35"/>
      <w:bookmarkEnd w:id="36"/>
    </w:p>
    <w:p>
      <w:pPr>
        <w:pStyle w:val="6"/>
        <w:rPr>
          <w:rFonts w:ascii="宋体" w:hAnsi="宋体" w:cs="宋体"/>
        </w:rPr>
      </w:pPr>
      <w:bookmarkStart w:id="37" w:name="_Toc3405"/>
      <w:bookmarkStart w:id="38" w:name="_Toc501022792"/>
      <w:r>
        <w:rPr>
          <w:rFonts w:hint="eastAsia" w:ascii="宋体" w:hAnsi="宋体" w:cs="宋体"/>
        </w:rPr>
        <w:t>（一）交货时间</w:t>
      </w:r>
    </w:p>
    <w:p>
      <w:pPr>
        <w:ind w:firstLine="480" w:firstLineChars="200"/>
        <w:rPr>
          <w:rFonts w:ascii="宋体" w:hAnsi="宋体"/>
        </w:rPr>
      </w:pPr>
      <w:r>
        <w:rPr>
          <w:rFonts w:hint="eastAsia" w:ascii="宋体" w:hAnsi="宋体"/>
          <w:szCs w:val="22"/>
        </w:rPr>
        <w:t>成交供应商</w:t>
      </w:r>
      <w:r>
        <w:rPr>
          <w:rFonts w:hint="eastAsia" w:ascii="宋体" w:hAnsi="宋体"/>
        </w:rPr>
        <w:t>应于进口产品3个月、国产产品1个月内将所供商品按时、安全运至需方指定地点，并于15天内安装调试完毕。</w:t>
      </w:r>
    </w:p>
    <w:p>
      <w:pPr>
        <w:pStyle w:val="6"/>
        <w:rPr>
          <w:rFonts w:ascii="宋体" w:hAnsi="宋体" w:cs="宋体"/>
        </w:rPr>
      </w:pPr>
      <w:r>
        <w:rPr>
          <w:rFonts w:hint="eastAsia" w:ascii="宋体" w:hAnsi="宋体" w:cs="宋体"/>
        </w:rPr>
        <w:t>（二）交付地点</w:t>
      </w:r>
    </w:p>
    <w:p>
      <w:pPr>
        <w:spacing w:line="336" w:lineRule="auto"/>
        <w:ind w:firstLine="480"/>
        <w:rPr>
          <w:rFonts w:ascii="宋体" w:hAnsi="宋体"/>
        </w:rPr>
      </w:pPr>
      <w:r>
        <w:rPr>
          <w:rFonts w:hint="eastAsia" w:ascii="宋体" w:hAnsi="宋体"/>
        </w:rPr>
        <w:t>浙江大学采购人指定地点。</w:t>
      </w:r>
    </w:p>
    <w:p>
      <w:pPr>
        <w:pStyle w:val="6"/>
        <w:rPr>
          <w:rFonts w:ascii="宋体" w:hAnsi="宋体" w:cs="宋体"/>
        </w:rPr>
      </w:pPr>
      <w:r>
        <w:rPr>
          <w:rFonts w:hint="eastAsia" w:ascii="宋体" w:hAnsi="宋体" w:cs="宋体"/>
        </w:rPr>
        <w:t>（三）质保期</w:t>
      </w:r>
    </w:p>
    <w:p>
      <w:pPr>
        <w:pStyle w:val="2"/>
        <w:snapToGrid w:val="0"/>
        <w:spacing w:line="360" w:lineRule="auto"/>
        <w:ind w:firstLine="480" w:firstLineChars="200"/>
        <w:rPr>
          <w:rFonts w:ascii="宋体" w:hAnsi="宋体" w:eastAsia="宋体" w:cs="宋体"/>
          <w:color w:val="auto"/>
        </w:rPr>
      </w:pPr>
      <w:r>
        <w:rPr>
          <w:rFonts w:hint="eastAsia" w:ascii="宋体" w:hAnsi="宋体" w:eastAsia="宋体" w:cs="宋体"/>
          <w:color w:val="auto"/>
          <w:kern w:val="2"/>
          <w:szCs w:val="22"/>
        </w:rPr>
        <w:t>双方签署最终验收报告后1年。</w:t>
      </w:r>
    </w:p>
    <w:p>
      <w:pPr>
        <w:pStyle w:val="6"/>
        <w:rPr>
          <w:rFonts w:ascii="宋体" w:hAnsi="宋体" w:cs="宋体"/>
        </w:rPr>
      </w:pPr>
      <w:r>
        <w:rPr>
          <w:rFonts w:hint="eastAsia" w:ascii="宋体" w:hAnsi="宋体" w:cs="宋体"/>
        </w:rPr>
        <w:t>（四）履约保证金</w:t>
      </w:r>
    </w:p>
    <w:p>
      <w:pPr>
        <w:ind w:firstLine="480" w:firstLineChars="200"/>
      </w:pPr>
      <w:r>
        <w:rPr>
          <w:rFonts w:hint="eastAsia" w:ascii="宋体" w:hAnsi="宋体"/>
          <w:szCs w:val="22"/>
        </w:rPr>
        <w:t>无</w:t>
      </w:r>
    </w:p>
    <w:p>
      <w:pPr>
        <w:pStyle w:val="6"/>
        <w:rPr>
          <w:rFonts w:ascii="宋体" w:hAnsi="宋体" w:cs="宋体"/>
        </w:rPr>
      </w:pPr>
      <w:r>
        <w:rPr>
          <w:rFonts w:hint="eastAsia" w:ascii="宋体" w:hAnsi="宋体" w:cs="宋体"/>
        </w:rPr>
        <w:t>（五）项目验收</w:t>
      </w:r>
    </w:p>
    <w:p>
      <w:pPr>
        <w:ind w:firstLine="456" w:firstLineChars="200"/>
        <w:rPr>
          <w:rFonts w:ascii="宋体" w:hAnsi="宋体"/>
          <w:spacing w:val="-6"/>
        </w:rPr>
      </w:pPr>
      <w:r>
        <w:rPr>
          <w:rFonts w:hint="eastAsia" w:ascii="宋体" w:hAnsi="宋体"/>
          <w:spacing w:val="-6"/>
        </w:rPr>
        <w:t>1、验收条件和规格：根据出厂和现场验收方案验收所有的硬件配置、功能和工艺指标。</w:t>
      </w:r>
    </w:p>
    <w:p>
      <w:pPr>
        <w:ind w:firstLine="456" w:firstLineChars="200"/>
        <w:rPr>
          <w:rFonts w:ascii="宋体" w:hAnsi="宋体"/>
          <w:spacing w:val="-6"/>
        </w:rPr>
      </w:pPr>
      <w:r>
        <w:rPr>
          <w:rFonts w:hint="eastAsia" w:ascii="宋体" w:hAnsi="宋体"/>
          <w:spacing w:val="-6"/>
        </w:rPr>
        <w:t>2、设备出厂验收在成交供应商工厂进行，成交供应商须提供出厂验收报告，经采购人确认后方可发货。</w:t>
      </w:r>
    </w:p>
    <w:p>
      <w:pPr>
        <w:ind w:firstLine="456" w:firstLineChars="200"/>
        <w:rPr>
          <w:rFonts w:ascii="宋体" w:hAnsi="宋体"/>
          <w:spacing w:val="-6"/>
        </w:rPr>
      </w:pPr>
      <w:r>
        <w:rPr>
          <w:rFonts w:hint="eastAsia" w:ascii="宋体" w:hAnsi="宋体"/>
          <w:spacing w:val="-6"/>
        </w:rPr>
        <w:t>3、设备在采购人现场场地安装调试后进行最终验收。</w:t>
      </w:r>
    </w:p>
    <w:p>
      <w:pPr>
        <w:ind w:firstLine="456" w:firstLineChars="200"/>
        <w:rPr>
          <w:rFonts w:ascii="宋体" w:hAnsi="宋体"/>
          <w:spacing w:val="-6"/>
        </w:rPr>
      </w:pPr>
      <w:r>
        <w:rPr>
          <w:rFonts w:hint="eastAsia" w:ascii="宋体" w:hAnsi="宋体"/>
          <w:spacing w:val="-6"/>
        </w:rPr>
        <w:t>4、最终验收在双方受权代表均在场的情况下按照现场验收方案逐项进行。成交供应商须提供详细的最终验收报告，由双方签署后证明完成设备最终验收。</w:t>
      </w:r>
    </w:p>
    <w:p>
      <w:pPr>
        <w:ind w:firstLine="456" w:firstLineChars="200"/>
        <w:rPr>
          <w:rFonts w:ascii="宋体" w:hAnsi="宋体"/>
          <w:spacing w:val="-6"/>
        </w:rPr>
      </w:pPr>
      <w:r>
        <w:rPr>
          <w:rFonts w:hint="eastAsia" w:ascii="宋体" w:hAnsi="宋体"/>
          <w:spacing w:val="-6"/>
        </w:rPr>
        <w:t>5、出厂验收和最终验收时，成交供应商应提供产品质量标准、说明书、质量保证书、保修卡等必备的资料；同时需提供配套的软件产品。如发现有质量问题，双方均同意提请由成交供应商挑选的具备相应资质的国家法定检测机构鉴定，如检测结果证明产品无质量问题，由采购人承担检测费用；如检测结果证明产品有质量问题，由成交供应商承担检测费用，同时成交供应商同意需方无条件退货并支付给采购人货款总价10%的赔偿金。</w:t>
      </w:r>
    </w:p>
    <w:p>
      <w:pPr>
        <w:pStyle w:val="6"/>
        <w:rPr>
          <w:rFonts w:ascii="宋体" w:hAnsi="宋体" w:cs="宋体"/>
        </w:rPr>
      </w:pPr>
      <w:r>
        <w:rPr>
          <w:rFonts w:hint="eastAsia" w:ascii="宋体" w:hAnsi="宋体" w:cs="宋体"/>
        </w:rPr>
        <w:t>（六）售后服务</w:t>
      </w:r>
    </w:p>
    <w:p>
      <w:pPr>
        <w:widowControl/>
        <w:ind w:firstLine="480" w:firstLineChars="200"/>
        <w:rPr>
          <w:rFonts w:ascii="宋体" w:hAnsi="宋体"/>
          <w:szCs w:val="21"/>
        </w:rPr>
      </w:pPr>
      <w:r>
        <w:rPr>
          <w:rFonts w:hint="eastAsia" w:ascii="宋体" w:hAnsi="宋体"/>
        </w:rPr>
        <w:t>1.</w:t>
      </w:r>
      <w:r>
        <w:rPr>
          <w:rFonts w:hint="eastAsia" w:ascii="宋体" w:hAnsi="宋体"/>
          <w:szCs w:val="21"/>
        </w:rPr>
        <w:t>在质保期内，免收上门服务费，</w:t>
      </w:r>
      <w:r>
        <w:rPr>
          <w:rFonts w:hint="eastAsia" w:ascii="宋体" w:hAnsi="宋体"/>
        </w:rPr>
        <w:t>若设备发生故障，则维修换件和人工均为免费。</w:t>
      </w:r>
      <w:r>
        <w:rPr>
          <w:rFonts w:hint="eastAsia" w:ascii="宋体" w:hAnsi="宋体"/>
          <w:szCs w:val="21"/>
        </w:rPr>
        <w:t>在维修过程中，若因特殊原因严重延误维修时间，成交供应商必须提前说明，并相应延长保修期，具体延长时间由采购人与成交供应商根据实际情况确定。</w:t>
      </w:r>
    </w:p>
    <w:p>
      <w:pPr>
        <w:ind w:firstLine="480" w:firstLineChars="200"/>
        <w:rPr>
          <w:rFonts w:ascii="宋体" w:hAnsi="宋体"/>
          <w:szCs w:val="21"/>
        </w:rPr>
      </w:pPr>
      <w:r>
        <w:rPr>
          <w:rFonts w:hint="eastAsia" w:ascii="宋体" w:hAnsi="宋体"/>
          <w:szCs w:val="21"/>
        </w:rPr>
        <w:t>2.</w:t>
      </w:r>
      <w:r>
        <w:rPr>
          <w:rFonts w:hint="eastAsia" w:ascii="宋体" w:hAnsi="宋体"/>
        </w:rPr>
        <w:t>承诺提供终生维修服务，提供最优惠的维修价格，具体价格根据实际情况由双方协商确定，保证10年以上备件供应。</w:t>
      </w:r>
    </w:p>
    <w:p>
      <w:pPr>
        <w:ind w:firstLine="480" w:firstLineChars="200"/>
        <w:rPr>
          <w:rFonts w:ascii="宋体" w:hAnsi="宋体"/>
        </w:rPr>
      </w:pPr>
      <w:r>
        <w:rPr>
          <w:rFonts w:hint="eastAsia" w:ascii="宋体" w:hAnsi="宋体"/>
        </w:rPr>
        <w:t>3.所提供的货物（包括主机、配件和耗材）是全新的，未使用的，是最新的版本型号，完全符合合同规定的质量和规格要求。</w:t>
      </w:r>
    </w:p>
    <w:p>
      <w:pPr>
        <w:ind w:firstLine="480" w:firstLineChars="200"/>
        <w:rPr>
          <w:rFonts w:ascii="宋体" w:hAnsi="宋体"/>
        </w:rPr>
      </w:pPr>
      <w:r>
        <w:rPr>
          <w:rFonts w:hint="eastAsia" w:ascii="宋体" w:hAnsi="宋体"/>
        </w:rPr>
        <w:t>4.提供不少于3年的原厂整机免费保修。质保范围包括仪器整机和其所有附属配件（不含消耗品）。质保期外，提供免费的维修服务，零配件以7折收取费用。</w:t>
      </w:r>
    </w:p>
    <w:p>
      <w:pPr>
        <w:ind w:firstLine="480" w:firstLineChars="200"/>
        <w:rPr>
          <w:rFonts w:ascii="宋体" w:hAnsi="宋体"/>
        </w:rPr>
      </w:pPr>
      <w:r>
        <w:rPr>
          <w:rFonts w:hint="eastAsia" w:ascii="宋体" w:hAnsi="宋体"/>
        </w:rPr>
        <w:t>5.为用户提供终身免费升级软件的服务。</w:t>
      </w:r>
    </w:p>
    <w:p>
      <w:pPr>
        <w:pStyle w:val="11"/>
        <w:ind w:firstLine="480" w:firstLineChars="200"/>
        <w:rPr>
          <w:rFonts w:ascii="宋体" w:hAnsi="宋体" w:eastAsia="宋体"/>
        </w:rPr>
      </w:pPr>
      <w:r>
        <w:rPr>
          <w:rFonts w:hint="eastAsia" w:ascii="宋体" w:hAnsi="宋体" w:eastAsia="宋体"/>
          <w:b w:val="0"/>
          <w:spacing w:val="0"/>
          <w:sz w:val="24"/>
          <w:szCs w:val="24"/>
        </w:rPr>
        <w:t>6.维修响应时间：供方应在接到需方设备故障的通知后，在接到需方故障电话后4小时内响应（工作日内），2个工作日内到现场进行故障解决。</w:t>
      </w:r>
    </w:p>
    <w:p>
      <w:pPr>
        <w:pStyle w:val="6"/>
        <w:rPr>
          <w:rFonts w:ascii="宋体" w:hAnsi="宋体" w:cs="宋体"/>
        </w:rPr>
      </w:pPr>
      <w:r>
        <w:rPr>
          <w:rFonts w:hint="eastAsia" w:ascii="宋体" w:hAnsi="宋体" w:cs="宋体"/>
        </w:rPr>
        <w:t>（七）安装调试</w:t>
      </w:r>
    </w:p>
    <w:p>
      <w:pPr>
        <w:ind w:firstLine="480" w:firstLineChars="200"/>
        <w:rPr>
          <w:rFonts w:ascii="宋体" w:hAnsi="宋体"/>
        </w:rPr>
      </w:pPr>
      <w:r>
        <w:rPr>
          <w:rFonts w:hint="eastAsia" w:ascii="宋体" w:hAnsi="宋体"/>
        </w:rPr>
        <w:t>1.安装地点：使用单位指定地点。</w:t>
      </w:r>
    </w:p>
    <w:p>
      <w:pPr>
        <w:ind w:firstLine="480" w:firstLineChars="200"/>
        <w:rPr>
          <w:rFonts w:ascii="宋体" w:hAnsi="宋体"/>
        </w:rPr>
      </w:pPr>
      <w:r>
        <w:rPr>
          <w:rFonts w:hint="eastAsia" w:ascii="宋体" w:hAnsi="宋体"/>
        </w:rPr>
        <w:t>2.安装及完成时间：</w:t>
      </w:r>
    </w:p>
    <w:p>
      <w:pPr>
        <w:ind w:firstLine="480" w:firstLineChars="200"/>
        <w:rPr>
          <w:rFonts w:ascii="宋体" w:hAnsi="宋体"/>
        </w:rPr>
      </w:pPr>
      <w:r>
        <w:rPr>
          <w:rFonts w:hint="eastAsia" w:ascii="宋体" w:hAnsi="宋体"/>
          <w:szCs w:val="21"/>
        </w:rPr>
        <w:t>（1）</w:t>
      </w:r>
      <w:bookmarkStart w:id="39" w:name="OLE_LINK17"/>
      <w:bookmarkStart w:id="40" w:name="OLE_LINK20"/>
      <w:bookmarkStart w:id="41" w:name="OLE_LINK16"/>
      <w:r>
        <w:rPr>
          <w:rFonts w:hint="eastAsia" w:ascii="宋体" w:hAnsi="宋体"/>
        </w:rPr>
        <w:t>设备到达采购方前，成交供应商应提前一周提供详细的安装说明文件，并协助采购方做好安装前准备。</w:t>
      </w:r>
      <w:bookmarkEnd w:id="39"/>
      <w:bookmarkEnd w:id="40"/>
      <w:bookmarkEnd w:id="41"/>
    </w:p>
    <w:p>
      <w:pPr>
        <w:ind w:firstLine="480" w:firstLineChars="200"/>
        <w:rPr>
          <w:rFonts w:ascii="宋体" w:hAnsi="宋体"/>
        </w:rPr>
      </w:pPr>
      <w:r>
        <w:rPr>
          <w:rFonts w:hint="eastAsia" w:ascii="宋体" w:hAnsi="宋体"/>
        </w:rPr>
        <w:t>（2）</w:t>
      </w:r>
      <w:r>
        <w:rPr>
          <w:rFonts w:hint="eastAsia" w:ascii="宋体" w:hAnsi="宋体"/>
          <w:szCs w:val="21"/>
        </w:rPr>
        <w:t>设备到达采购人指定所在地后,由</w:t>
      </w:r>
      <w:r>
        <w:rPr>
          <w:rFonts w:hint="eastAsia" w:ascii="宋体" w:hAnsi="宋体"/>
        </w:rPr>
        <w:t>成交供应商</w:t>
      </w:r>
      <w:r>
        <w:rPr>
          <w:rFonts w:hint="eastAsia" w:ascii="宋体" w:hAnsi="宋体"/>
          <w:szCs w:val="21"/>
        </w:rPr>
        <w:t>派出工程师与采购人共同开箱、清点、验收后免费安装、调试，</w:t>
      </w:r>
      <w:r>
        <w:rPr>
          <w:rFonts w:hint="eastAsia" w:ascii="宋体" w:hAnsi="宋体"/>
        </w:rPr>
        <w:t>成交供应商将所供商品按时、安全运至需方指定地点后，应于在收到采购人通知后2周内安装调试完毕</w:t>
      </w:r>
      <w:r>
        <w:rPr>
          <w:rFonts w:hint="eastAsia" w:ascii="宋体" w:hAnsi="宋体"/>
          <w:szCs w:val="21"/>
        </w:rPr>
        <w:t>并达到验收指标。</w:t>
      </w:r>
    </w:p>
    <w:p>
      <w:pPr>
        <w:ind w:firstLine="480" w:firstLineChars="200"/>
        <w:rPr>
          <w:rFonts w:ascii="宋体" w:hAnsi="宋体"/>
        </w:rPr>
      </w:pPr>
      <w:r>
        <w:rPr>
          <w:rFonts w:hint="eastAsia" w:ascii="宋体" w:hAnsi="宋体"/>
        </w:rPr>
        <w:t>（3）成交供应商免费负责整套设备采购人现场安装、调试，并需遵守采购人的规章制度。</w:t>
      </w:r>
    </w:p>
    <w:p>
      <w:pPr>
        <w:pStyle w:val="6"/>
        <w:rPr>
          <w:rFonts w:ascii="宋体" w:hAnsi="宋体" w:cs="宋体"/>
        </w:rPr>
      </w:pPr>
      <w:bookmarkStart w:id="42" w:name="_Toc28352"/>
      <w:bookmarkStart w:id="43" w:name="_Toc26669"/>
      <w:r>
        <w:rPr>
          <w:rFonts w:hint="eastAsia" w:ascii="宋体" w:hAnsi="宋体" w:cs="宋体"/>
        </w:rPr>
        <w:t>（八）培训</w:t>
      </w:r>
      <w:bookmarkEnd w:id="42"/>
      <w:bookmarkEnd w:id="43"/>
    </w:p>
    <w:p>
      <w:pPr>
        <w:ind w:firstLine="480" w:firstLineChars="200"/>
        <w:rPr>
          <w:rFonts w:ascii="宋体" w:hAnsi="宋体"/>
        </w:rPr>
      </w:pPr>
      <w:r>
        <w:rPr>
          <w:rFonts w:hint="eastAsia" w:ascii="宋体" w:hAnsi="宋体"/>
        </w:rPr>
        <w:t>1、成交供应商在完成安装调试后，在采购人现场负责对采购人的工作人员进行不少于1天的原理、操作、维护等培训。质保期内每年不少于1次的用户培训。</w:t>
      </w:r>
    </w:p>
    <w:p>
      <w:pPr>
        <w:ind w:firstLine="480" w:firstLineChars="200"/>
        <w:rPr>
          <w:rFonts w:ascii="宋体" w:hAnsi="宋体"/>
        </w:rPr>
      </w:pPr>
      <w:r>
        <w:rPr>
          <w:rFonts w:hint="eastAsia" w:ascii="宋体" w:hAnsi="宋体"/>
        </w:rPr>
        <w:t>2、成交供应商免费负责整套设备培训，并需遵守采购人的规章制度。</w:t>
      </w:r>
    </w:p>
    <w:p>
      <w:pPr>
        <w:pStyle w:val="2"/>
        <w:spacing w:line="360" w:lineRule="auto"/>
        <w:outlineLvl w:val="2"/>
        <w:rPr>
          <w:rFonts w:ascii="宋体" w:hAnsi="宋体" w:eastAsia="宋体" w:cs="宋体"/>
          <w:b/>
          <w:bCs/>
          <w:color w:val="auto"/>
        </w:rPr>
      </w:pPr>
      <w:r>
        <w:rPr>
          <w:rFonts w:hint="eastAsia" w:ascii="宋体" w:hAnsi="宋体" w:eastAsia="宋体" w:cs="宋体"/>
          <w:b/>
          <w:bCs/>
          <w:color w:val="auto"/>
        </w:rPr>
        <w:t>（九）备品备件及耗材等要求</w:t>
      </w:r>
    </w:p>
    <w:p>
      <w:pPr>
        <w:pStyle w:val="2"/>
        <w:spacing w:line="360" w:lineRule="auto"/>
        <w:ind w:firstLine="720" w:firstLineChars="300"/>
        <w:rPr>
          <w:rFonts w:ascii="宋体" w:hAnsi="宋体" w:eastAsia="宋体" w:cs="宋体"/>
          <w:color w:val="auto"/>
        </w:rPr>
      </w:pPr>
      <w:r>
        <w:rPr>
          <w:rFonts w:hint="eastAsia" w:ascii="宋体" w:hAnsi="宋体" w:eastAsia="宋体" w:cs="宋体"/>
          <w:color w:val="auto"/>
        </w:rPr>
        <w:t>响应时标明常用备品备件及耗材的响应价，并承诺所报价格不高于市场价格。</w:t>
      </w:r>
    </w:p>
    <w:p>
      <w:pPr>
        <w:pStyle w:val="6"/>
        <w:rPr>
          <w:rFonts w:ascii="宋体" w:hAnsi="宋体" w:cs="宋体"/>
        </w:rPr>
      </w:pPr>
      <w:r>
        <w:rPr>
          <w:rFonts w:hint="eastAsia" w:ascii="宋体" w:hAnsi="宋体" w:cs="宋体"/>
        </w:rPr>
        <w:t>（十）付款方式</w:t>
      </w:r>
      <w:bookmarkEnd w:id="37"/>
      <w:bookmarkEnd w:id="38"/>
    </w:p>
    <w:p>
      <w:pPr>
        <w:tabs>
          <w:tab w:val="left" w:pos="709"/>
        </w:tabs>
        <w:ind w:firstLine="592" w:firstLineChars="247"/>
        <w:rPr>
          <w:rFonts w:ascii="宋体" w:hAnsi="宋体"/>
          <w:szCs w:val="22"/>
        </w:rPr>
      </w:pPr>
      <w:r>
        <w:rPr>
          <w:rFonts w:hint="eastAsia" w:ascii="宋体" w:hAnsi="宋体"/>
          <w:szCs w:val="22"/>
        </w:rPr>
        <w:t>国产设备及境内直接供货的进口设备：货到验收合格后，凭验收报告支付100%合同款项。</w:t>
      </w:r>
    </w:p>
    <w:p>
      <w:pPr>
        <w:tabs>
          <w:tab w:val="left" w:pos="709"/>
        </w:tabs>
        <w:ind w:firstLine="592" w:firstLineChars="247"/>
        <w:rPr>
          <w:rFonts w:ascii="宋体" w:hAnsi="宋体"/>
          <w:szCs w:val="22"/>
        </w:rPr>
      </w:pPr>
      <w:r>
        <w:rPr>
          <w:rFonts w:hint="eastAsia" w:ascii="宋体" w:hAnsi="宋体"/>
          <w:szCs w:val="22"/>
        </w:rPr>
        <w:t>境外供货的设备：见单付 90%的货款，余款凭用户签字确认且加盖单位公章的验收报告议付。</w:t>
      </w:r>
    </w:p>
    <w:p>
      <w:pPr>
        <w:pStyle w:val="6"/>
        <w:rPr>
          <w:rFonts w:ascii="宋体" w:hAnsi="宋体" w:cs="宋体"/>
        </w:rPr>
      </w:pPr>
      <w:bookmarkStart w:id="44" w:name="_Toc23976"/>
      <w:r>
        <w:rPr>
          <w:rFonts w:hint="eastAsia" w:ascii="宋体" w:hAnsi="宋体" w:cs="宋体"/>
        </w:rPr>
        <w:t>（十一）合同履行</w:t>
      </w:r>
      <w:bookmarkEnd w:id="44"/>
    </w:p>
    <w:p>
      <w:pPr>
        <w:ind w:firstLine="480" w:firstLineChars="200"/>
        <w:rPr>
          <w:rFonts w:ascii="宋体" w:hAnsi="宋体"/>
          <w:snapToGrid w:val="0"/>
          <w:szCs w:val="21"/>
        </w:rPr>
        <w:sectPr>
          <w:headerReference r:id="rId12" w:type="default"/>
          <w:footerReference r:id="rId13" w:type="default"/>
          <w:pgSz w:w="11906" w:h="16838"/>
          <w:pgMar w:top="1247" w:right="1247" w:bottom="1247" w:left="1247" w:header="170" w:footer="567" w:gutter="0"/>
          <w:cols w:space="720" w:num="1"/>
          <w:docGrid w:linePitch="381" w:charSpace="0"/>
        </w:sectPr>
      </w:pPr>
      <w:r>
        <w:rPr>
          <w:rFonts w:hint="eastAsia" w:ascii="宋体" w:hAnsi="宋体"/>
          <w:snapToGrid w:val="0"/>
          <w:szCs w:val="21"/>
        </w:rPr>
        <w:t>必须由响应主体履行合同</w:t>
      </w:r>
    </w:p>
    <w:p>
      <w:pPr>
        <w:pStyle w:val="4"/>
        <w:spacing w:line="360" w:lineRule="auto"/>
        <w:rPr>
          <w:color w:val="auto"/>
        </w:rPr>
      </w:pPr>
      <w:r>
        <w:rPr>
          <w:rFonts w:hint="eastAsia"/>
          <w:color w:val="auto"/>
        </w:rPr>
        <w:t>第三章  磋商响应供应商须知</w:t>
      </w:r>
      <w:bookmarkEnd w:id="26"/>
      <w:bookmarkEnd w:id="28"/>
      <w:bookmarkEnd w:id="29"/>
      <w:bookmarkEnd w:id="31"/>
    </w:p>
    <w:p>
      <w:pPr>
        <w:pStyle w:val="5"/>
        <w:rPr>
          <w:rFonts w:ascii="宋体" w:hAnsi="宋体" w:cs="宋体"/>
          <w:color w:val="auto"/>
        </w:rPr>
      </w:pPr>
      <w:bookmarkStart w:id="45" w:name="_Toc2064"/>
      <w:bookmarkStart w:id="46" w:name="_Toc27144"/>
      <w:r>
        <w:rPr>
          <w:rFonts w:hint="eastAsia" w:ascii="宋体" w:hAnsi="宋体" w:cs="宋体"/>
          <w:color w:val="auto"/>
        </w:rPr>
        <w:t>前附表</w:t>
      </w:r>
      <w:bookmarkEnd w:id="45"/>
      <w:bookmarkEnd w:id="46"/>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250"/>
        <w:gridCol w:w="6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rPr>
                <w:rFonts w:ascii="宋体" w:hAnsi="宋体"/>
              </w:rPr>
            </w:pPr>
            <w:r>
              <w:rPr>
                <w:rFonts w:hint="eastAsia" w:ascii="宋体" w:hAnsi="宋体"/>
              </w:rPr>
              <w:t>序号</w:t>
            </w:r>
          </w:p>
        </w:tc>
        <w:tc>
          <w:tcPr>
            <w:tcW w:w="2250" w:type="dxa"/>
            <w:vAlign w:val="center"/>
          </w:tcPr>
          <w:p>
            <w:pPr>
              <w:adjustRightInd/>
              <w:snapToGrid/>
              <w:spacing w:line="324" w:lineRule="auto"/>
              <w:rPr>
                <w:rFonts w:ascii="宋体" w:hAnsi="宋体"/>
                <w:lang w:val="zh-CN"/>
              </w:rPr>
            </w:pPr>
            <w:r>
              <w:rPr>
                <w:rFonts w:hint="eastAsia" w:ascii="宋体" w:hAnsi="宋体"/>
                <w:lang w:val="zh-CN"/>
              </w:rPr>
              <w:t>事项</w:t>
            </w:r>
          </w:p>
        </w:tc>
        <w:tc>
          <w:tcPr>
            <w:tcW w:w="6364" w:type="dxa"/>
            <w:vAlign w:val="center"/>
          </w:tcPr>
          <w:p>
            <w:pPr>
              <w:adjustRightInd/>
              <w:snapToGrid/>
              <w:spacing w:line="324" w:lineRule="auto"/>
              <w:rPr>
                <w:rFonts w:ascii="宋体" w:hAnsi="宋体"/>
                <w:lang w:val="zh-CN"/>
              </w:rPr>
            </w:pPr>
            <w:r>
              <w:rPr>
                <w:rFonts w:hint="eastAsia" w:ascii="宋体" w:hAnsi="宋体"/>
                <w:lang w:val="zh-CN"/>
              </w:rPr>
              <w:t>本项目的特别规定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rPr>
            </w:pPr>
            <w:r>
              <w:rPr>
                <w:rFonts w:hint="eastAsia" w:ascii="宋体" w:hAnsi="宋体"/>
              </w:rPr>
              <w:t>1</w:t>
            </w:r>
          </w:p>
        </w:tc>
        <w:tc>
          <w:tcPr>
            <w:tcW w:w="2250" w:type="dxa"/>
            <w:vAlign w:val="center"/>
          </w:tcPr>
          <w:p>
            <w:pPr>
              <w:adjustRightInd/>
              <w:snapToGrid/>
              <w:spacing w:line="324" w:lineRule="auto"/>
              <w:rPr>
                <w:rFonts w:ascii="宋体" w:hAnsi="宋体"/>
                <w:lang w:val="zh-CN"/>
              </w:rPr>
            </w:pPr>
            <w:r>
              <w:rPr>
                <w:rFonts w:hint="eastAsia" w:ascii="宋体" w:hAnsi="宋体"/>
              </w:rPr>
              <w:t>信息公告及评标结果公告媒体</w:t>
            </w:r>
          </w:p>
        </w:tc>
        <w:tc>
          <w:tcPr>
            <w:tcW w:w="6364" w:type="dxa"/>
            <w:vAlign w:val="center"/>
          </w:tcPr>
          <w:p>
            <w:pPr>
              <w:adjustRightInd/>
              <w:snapToGrid/>
              <w:spacing w:line="324" w:lineRule="auto"/>
              <w:rPr>
                <w:rFonts w:ascii="宋体" w:hAnsi="宋体"/>
                <w:lang w:val="zh-CN"/>
              </w:rPr>
            </w:pPr>
            <w:r>
              <w:rPr>
                <w:rFonts w:hint="eastAsia" w:ascii="宋体" w:hAnsi="宋体"/>
              </w:rPr>
              <w:t>浙江大学采购网等发布。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rPr>
            </w:pPr>
            <w:r>
              <w:rPr>
                <w:rFonts w:hint="eastAsia" w:ascii="宋体" w:hAnsi="宋体"/>
                <w:kern w:val="0"/>
              </w:rPr>
              <w:t>2</w:t>
            </w:r>
          </w:p>
        </w:tc>
        <w:tc>
          <w:tcPr>
            <w:tcW w:w="2250" w:type="dxa"/>
            <w:vAlign w:val="center"/>
          </w:tcPr>
          <w:p>
            <w:pPr>
              <w:adjustRightInd/>
              <w:snapToGrid/>
              <w:spacing w:line="324" w:lineRule="auto"/>
              <w:jc w:val="center"/>
              <w:rPr>
                <w:rFonts w:ascii="宋体" w:hAnsi="宋体"/>
              </w:rPr>
            </w:pPr>
            <w:r>
              <w:rPr>
                <w:rFonts w:hint="eastAsia" w:ascii="宋体" w:hAnsi="宋体"/>
                <w:szCs w:val="21"/>
              </w:rPr>
              <w:t>▲</w:t>
            </w:r>
            <w:r>
              <w:rPr>
                <w:rFonts w:hint="eastAsia" w:ascii="宋体" w:hAnsi="宋体"/>
              </w:rPr>
              <w:t>报价</w:t>
            </w:r>
          </w:p>
        </w:tc>
        <w:tc>
          <w:tcPr>
            <w:tcW w:w="6364" w:type="dxa"/>
            <w:vAlign w:val="center"/>
          </w:tcPr>
          <w:p>
            <w:pPr>
              <w:rPr>
                <w:rFonts w:ascii="宋体" w:hAnsi="宋体"/>
              </w:rPr>
            </w:pPr>
            <w:r>
              <w:rPr>
                <w:rFonts w:hint="eastAsia" w:ascii="宋体" w:hAnsi="宋体"/>
              </w:rPr>
              <w:t>1.磋商响应报价方式：设备费须包含设备（包括主机、标准附件、标准备品备件、专用工具、设备主体、关键部件、主要配件、特殊工具、消耗件等）价、设备运杂费、保险费、利润、关税（若有）、税金等；</w:t>
            </w:r>
            <w:r>
              <w:rPr>
                <w:rFonts w:hint="eastAsia" w:ascii="宋体" w:hAnsi="宋体"/>
                <w:b/>
                <w:bCs/>
              </w:rPr>
              <w:t>不管是否为进口产品，供应商均应以人民币报价，人民币报价直接作为价格分计算依据</w:t>
            </w:r>
            <w:r>
              <w:rPr>
                <w:rFonts w:hint="eastAsia" w:ascii="宋体" w:hAnsi="宋体"/>
              </w:rPr>
              <w:t>。磋商响应供应商根据磋商文件的要求，将产品供货、包装、安装、调试、检验、检测、通过验收直至交付使用单位，达到使用要求及质量标准、质保期服务所需的全部费用及招标代理服务费均包含在总价之中（货物类适用），</w:t>
            </w:r>
            <w:r>
              <w:rPr>
                <w:rFonts w:hint="eastAsia" w:ascii="宋体" w:hAnsi="宋体"/>
                <w:lang w:val="zh-CN"/>
              </w:rPr>
              <w:t>不需要</w:t>
            </w:r>
            <w:r>
              <w:rPr>
                <w:rFonts w:hint="eastAsia" w:ascii="宋体" w:hAnsi="宋体"/>
              </w:rPr>
              <w:t>采购方</w:t>
            </w:r>
            <w:r>
              <w:rPr>
                <w:rFonts w:hint="eastAsia" w:ascii="宋体" w:hAnsi="宋体"/>
                <w:lang w:val="zh-CN"/>
              </w:rPr>
              <w:t>额外支付其他费用。</w:t>
            </w:r>
            <w:r>
              <w:rPr>
                <w:rFonts w:hint="eastAsia" w:ascii="宋体" w:hAnsi="宋体"/>
              </w:rPr>
              <w:t>磋商响应供应商的报价应按磋商文件要求的格式、顺序编制。</w:t>
            </w:r>
          </w:p>
          <w:p>
            <w:pPr>
              <w:rPr>
                <w:rFonts w:ascii="宋体" w:hAnsi="宋体"/>
              </w:rPr>
            </w:pPr>
            <w:r>
              <w:rPr>
                <w:rFonts w:hint="eastAsia" w:ascii="宋体" w:hAnsi="宋体"/>
              </w:rPr>
              <w:t>2.磋商响应报价应按不同费用类别分开填写，详见响应文件附件格式。</w:t>
            </w:r>
          </w:p>
          <w:p>
            <w:pPr>
              <w:rPr>
                <w:rFonts w:ascii="宋体" w:hAnsi="宋体"/>
              </w:rPr>
            </w:pPr>
            <w:r>
              <w:rPr>
                <w:rFonts w:hint="eastAsia" w:ascii="宋体" w:hAnsi="宋体"/>
              </w:rPr>
              <w:t>3.本次标项只允许有一个报价，响应</w:t>
            </w:r>
            <w:r>
              <w:rPr>
                <w:rFonts w:hint="eastAsia" w:ascii="宋体" w:hAnsi="宋体"/>
                <w:lang w:val="zh-CN"/>
              </w:rPr>
              <w:t>报价</w:t>
            </w:r>
            <w:r>
              <w:rPr>
                <w:rFonts w:hint="eastAsia" w:ascii="宋体" w:hAnsi="宋体"/>
              </w:rPr>
              <w:t>必须为人民币报价且</w:t>
            </w:r>
            <w:r>
              <w:rPr>
                <w:rFonts w:hint="eastAsia" w:ascii="宋体" w:hAnsi="宋体"/>
                <w:lang w:val="zh-CN"/>
              </w:rPr>
              <w:t>应在项目预算之内，</w:t>
            </w:r>
            <w:r>
              <w:rPr>
                <w:rFonts w:hint="eastAsia" w:ascii="宋体" w:hAnsi="宋体"/>
              </w:rPr>
              <w:t>以</w:t>
            </w:r>
            <w:r>
              <w:rPr>
                <w:rFonts w:hint="eastAsia" w:ascii="宋体" w:hAnsi="宋体"/>
                <w:lang w:val="zh-CN"/>
              </w:rPr>
              <w:t>人民币</w:t>
            </w:r>
            <w:r>
              <w:rPr>
                <w:rFonts w:hint="eastAsia" w:ascii="宋体" w:hAnsi="宋体"/>
              </w:rPr>
              <w:t>所报的</w:t>
            </w:r>
            <w:r>
              <w:rPr>
                <w:rFonts w:hint="eastAsia" w:ascii="宋体" w:hAnsi="宋体"/>
                <w:lang w:val="zh-CN"/>
              </w:rPr>
              <w:t>价</w:t>
            </w:r>
            <w:r>
              <w:rPr>
                <w:rFonts w:hint="eastAsia" w:ascii="宋体" w:hAnsi="宋体"/>
              </w:rPr>
              <w:t>格</w:t>
            </w:r>
            <w:r>
              <w:rPr>
                <w:rFonts w:hint="eastAsia" w:ascii="宋体" w:hAnsi="宋体"/>
                <w:lang w:val="zh-CN"/>
              </w:rPr>
              <w:t>直接作为价格分计算依据。不</w:t>
            </w:r>
            <w:r>
              <w:rPr>
                <w:rFonts w:hint="eastAsia" w:ascii="宋体" w:hAnsi="宋体"/>
              </w:rPr>
              <w:t>符合此要求</w:t>
            </w:r>
            <w:r>
              <w:rPr>
                <w:rFonts w:hint="eastAsia" w:ascii="宋体" w:hAnsi="宋体"/>
                <w:lang w:val="zh-CN"/>
              </w:rPr>
              <w:t>的竞争性磋商文件按无效标处理。</w:t>
            </w:r>
          </w:p>
          <w:p>
            <w:pPr>
              <w:numPr>
                <w:ilvl w:val="0"/>
                <w:numId w:val="3"/>
              </w:numPr>
              <w:rPr>
                <w:rFonts w:ascii="宋体" w:hAnsi="宋体"/>
              </w:rPr>
            </w:pPr>
            <w:r>
              <w:rPr>
                <w:rFonts w:hint="eastAsia" w:ascii="宋体" w:hAnsi="宋体"/>
              </w:rPr>
              <w:t>磋商响应供应商对本项目的产品或服务必须按采购数量全部进行报价。</w:t>
            </w:r>
          </w:p>
          <w:p>
            <w:pPr>
              <w:pStyle w:val="11"/>
              <w:rPr>
                <w:rFonts w:ascii="宋体" w:hAnsi="宋体" w:eastAsia="宋体"/>
                <w:b w:val="0"/>
                <w:spacing w:val="0"/>
                <w:sz w:val="24"/>
                <w:szCs w:val="24"/>
              </w:rPr>
            </w:pPr>
            <w:r>
              <w:rPr>
                <w:rFonts w:hint="eastAsia" w:ascii="宋体" w:hAnsi="宋体" w:eastAsia="宋体"/>
                <w:b w:val="0"/>
                <w:spacing w:val="0"/>
                <w:sz w:val="24"/>
                <w:szCs w:val="24"/>
              </w:rPr>
              <w:t xml:space="preserve">5.成交供应商如与境外供应商约定外币计价的，汇率风险由成交供应商自行承担。 </w:t>
            </w:r>
          </w:p>
          <w:p>
            <w:pPr>
              <w:pStyle w:val="11"/>
              <w:rPr>
                <w:rFonts w:ascii="宋体" w:hAnsi="宋体" w:eastAsia="宋体"/>
                <w:b w:val="0"/>
                <w:spacing w:val="0"/>
                <w:sz w:val="24"/>
                <w:szCs w:val="24"/>
              </w:rPr>
            </w:pPr>
            <w:r>
              <w:rPr>
                <w:rFonts w:hint="eastAsia" w:ascii="宋体" w:hAnsi="宋体" w:eastAsia="宋体"/>
                <w:b w:val="0"/>
                <w:spacing w:val="0"/>
                <w:sz w:val="24"/>
                <w:szCs w:val="24"/>
              </w:rPr>
              <w:t>6.如需采购人办理进口（减免税）手续，由采购人指定外贸代理机构办理，外贸代理费由成交供应商支付。</w:t>
            </w:r>
          </w:p>
          <w:p>
            <w:pPr>
              <w:spacing w:line="288" w:lineRule="auto"/>
              <w:ind w:firstLine="420" w:firstLineChars="200"/>
              <w:rPr>
                <w:rFonts w:ascii="宋体" w:hAnsi="宋体"/>
                <w:bCs/>
                <w:sz w:val="21"/>
                <w:szCs w:val="21"/>
              </w:rPr>
            </w:pPr>
            <w:bookmarkStart w:id="47" w:name="_Toc22677"/>
            <w:bookmarkStart w:id="48" w:name="_Toc11886"/>
            <w:r>
              <w:rPr>
                <w:rFonts w:hint="eastAsia" w:ascii="宋体" w:hAnsi="宋体"/>
                <w:bCs/>
                <w:sz w:val="21"/>
                <w:szCs w:val="21"/>
              </w:rPr>
              <w:t>附件：</w:t>
            </w:r>
            <w:bookmarkEnd w:id="47"/>
            <w:bookmarkEnd w:id="48"/>
            <w:r>
              <w:rPr>
                <w:rFonts w:hint="eastAsia" w:ascii="宋体" w:hAnsi="宋体"/>
                <w:bCs/>
                <w:sz w:val="21"/>
                <w:szCs w:val="21"/>
              </w:rPr>
              <w:t>外贸代理费说明</w:t>
            </w:r>
          </w:p>
          <w:p>
            <w:pPr>
              <w:spacing w:line="288" w:lineRule="auto"/>
              <w:ind w:firstLine="420" w:firstLineChars="200"/>
              <w:rPr>
                <w:rFonts w:ascii="宋体" w:hAnsi="宋体"/>
                <w:bCs/>
                <w:sz w:val="21"/>
                <w:szCs w:val="21"/>
              </w:rPr>
            </w:pPr>
            <w:r>
              <w:rPr>
                <w:rFonts w:hint="eastAsia" w:ascii="宋体" w:hAnsi="宋体"/>
                <w:bCs/>
                <w:sz w:val="21"/>
                <w:szCs w:val="21"/>
              </w:rPr>
              <w:t>外贸代理费用包括外贸代理公司的服务费和代收费用，均由成交供应商承担。为规范计费，将代收费用分为常规代收费和额外代收费两类。杭州进港杭州地区安装及约定的常规方式产生的代收费特指为常规代收费，服务费和常规代收费根据单个外贸合同的金额(人民币金额)按下表费率包干计算：</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6"/>
              <w:gridCol w:w="2134"/>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外贸合同金额</w:t>
                  </w:r>
                </w:p>
              </w:tc>
              <w:tc>
                <w:tcPr>
                  <w:tcW w:w="1738"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费率报价</w:t>
                  </w:r>
                </w:p>
              </w:tc>
              <w:tc>
                <w:tcPr>
                  <w:tcW w:w="1512"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10万以下</w:t>
                  </w:r>
                </w:p>
              </w:tc>
              <w:tc>
                <w:tcPr>
                  <w:tcW w:w="1738" w:type="pct"/>
                  <w:vAlign w:val="center"/>
                </w:tcPr>
                <w:p>
                  <w:pPr>
                    <w:spacing w:line="288" w:lineRule="auto"/>
                    <w:jc w:val="center"/>
                    <w:rPr>
                      <w:rFonts w:ascii="宋体" w:hAnsi="宋体"/>
                      <w:bCs/>
                      <w:sz w:val="21"/>
                      <w:szCs w:val="21"/>
                    </w:rPr>
                  </w:pPr>
                  <w:r>
                    <w:rPr>
                      <w:rFonts w:hint="eastAsia" w:ascii="宋体" w:hAnsi="宋体"/>
                      <w:bCs/>
                      <w:sz w:val="21"/>
                      <w:szCs w:val="21"/>
                    </w:rPr>
                    <w:t>2450人民币元</w:t>
                  </w:r>
                </w:p>
              </w:tc>
              <w:tc>
                <w:tcPr>
                  <w:tcW w:w="1512" w:type="pct"/>
                  <w:vAlign w:val="center"/>
                </w:tcPr>
                <w:p>
                  <w:pPr>
                    <w:spacing w:line="288" w:lineRule="auto"/>
                    <w:jc w:val="center"/>
                    <w:rPr>
                      <w:rFonts w:ascii="宋体" w:hAnsi="宋体"/>
                      <w:bCs/>
                      <w:sz w:val="21"/>
                      <w:szCs w:val="21"/>
                    </w:rPr>
                  </w:pPr>
                  <w:r>
                    <w:rPr>
                      <w:rFonts w:hint="eastAsia" w:ascii="宋体" w:hAnsi="宋体"/>
                      <w:bCs/>
                      <w:sz w:val="21"/>
                      <w:szCs w:val="21"/>
                    </w:rPr>
                    <w:t>固定金额收费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［10-35)万</w:t>
                  </w:r>
                </w:p>
              </w:tc>
              <w:tc>
                <w:tcPr>
                  <w:tcW w:w="2134" w:type="dxa"/>
                  <w:vAlign w:val="center"/>
                </w:tcPr>
                <w:p>
                  <w:pPr>
                    <w:spacing w:line="288" w:lineRule="auto"/>
                    <w:jc w:val="center"/>
                    <w:rPr>
                      <w:rFonts w:ascii="宋体" w:hAnsi="宋体"/>
                      <w:bCs/>
                      <w:sz w:val="21"/>
                      <w:szCs w:val="21"/>
                    </w:rPr>
                  </w:pPr>
                  <w:r>
                    <w:rPr>
                      <w:rFonts w:hint="eastAsia" w:ascii="宋体" w:hAnsi="宋体"/>
                      <w:bCs/>
                      <w:sz w:val="21"/>
                      <w:szCs w:val="21"/>
                    </w:rPr>
                    <w:t>2.00%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［35-70)万</w:t>
                  </w:r>
                </w:p>
              </w:tc>
              <w:tc>
                <w:tcPr>
                  <w:tcW w:w="2134" w:type="dxa"/>
                  <w:vAlign w:val="center"/>
                </w:tcPr>
                <w:p>
                  <w:pPr>
                    <w:spacing w:line="288" w:lineRule="auto"/>
                    <w:jc w:val="center"/>
                    <w:rPr>
                      <w:rFonts w:ascii="宋体" w:hAnsi="宋体"/>
                      <w:bCs/>
                      <w:sz w:val="21"/>
                      <w:szCs w:val="21"/>
                    </w:rPr>
                  </w:pPr>
                  <w:r>
                    <w:rPr>
                      <w:rFonts w:hint="eastAsia" w:ascii="宋体" w:hAnsi="宋体"/>
                      <w:bCs/>
                      <w:sz w:val="21"/>
                      <w:szCs w:val="21"/>
                    </w:rPr>
                    <w:t>1.50%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［70-140)万</w:t>
                  </w:r>
                </w:p>
              </w:tc>
              <w:tc>
                <w:tcPr>
                  <w:tcW w:w="2134" w:type="dxa"/>
                  <w:vAlign w:val="center"/>
                </w:tcPr>
                <w:p>
                  <w:pPr>
                    <w:spacing w:line="288" w:lineRule="auto"/>
                    <w:jc w:val="center"/>
                    <w:rPr>
                      <w:rFonts w:ascii="宋体" w:hAnsi="宋体"/>
                      <w:bCs/>
                      <w:sz w:val="21"/>
                      <w:szCs w:val="21"/>
                    </w:rPr>
                  </w:pPr>
                  <w:r>
                    <w:rPr>
                      <w:rFonts w:hint="eastAsia" w:ascii="宋体" w:hAnsi="宋体"/>
                      <w:bCs/>
                      <w:sz w:val="21"/>
                      <w:szCs w:val="21"/>
                    </w:rPr>
                    <w:t>1.20%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［140-350)万</w:t>
                  </w:r>
                </w:p>
              </w:tc>
              <w:tc>
                <w:tcPr>
                  <w:tcW w:w="2134" w:type="dxa"/>
                  <w:vAlign w:val="center"/>
                </w:tcPr>
                <w:p>
                  <w:pPr>
                    <w:spacing w:line="288" w:lineRule="auto"/>
                    <w:jc w:val="center"/>
                    <w:rPr>
                      <w:rFonts w:ascii="宋体" w:hAnsi="宋体"/>
                      <w:bCs/>
                      <w:sz w:val="21"/>
                      <w:szCs w:val="21"/>
                    </w:rPr>
                  </w:pPr>
                  <w:r>
                    <w:rPr>
                      <w:rFonts w:hint="eastAsia" w:ascii="宋体" w:hAnsi="宋体"/>
                      <w:bCs/>
                      <w:sz w:val="21"/>
                      <w:szCs w:val="21"/>
                    </w:rPr>
                    <w:t>0.70%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350万及以上</w:t>
                  </w:r>
                </w:p>
              </w:tc>
              <w:tc>
                <w:tcPr>
                  <w:tcW w:w="2134" w:type="dxa"/>
                  <w:vAlign w:val="center"/>
                </w:tcPr>
                <w:p>
                  <w:pPr>
                    <w:spacing w:line="288" w:lineRule="auto"/>
                    <w:jc w:val="center"/>
                    <w:rPr>
                      <w:rFonts w:ascii="宋体" w:hAnsi="宋体"/>
                      <w:bCs/>
                      <w:sz w:val="21"/>
                      <w:szCs w:val="21"/>
                    </w:rPr>
                  </w:pPr>
                  <w:r>
                    <w:rPr>
                      <w:rFonts w:hint="eastAsia" w:ascii="宋体" w:hAnsi="宋体"/>
                      <w:bCs/>
                      <w:sz w:val="21"/>
                      <w:szCs w:val="21"/>
                    </w:rPr>
                    <w:t>0.50%</w:t>
                  </w:r>
                </w:p>
              </w:tc>
              <w:tc>
                <w:tcPr>
                  <w:tcW w:w="1512" w:type="pct"/>
                  <w:vAlign w:val="center"/>
                </w:tcPr>
                <w:p>
                  <w:pPr>
                    <w:spacing w:line="288" w:lineRule="auto"/>
                    <w:jc w:val="center"/>
                    <w:rPr>
                      <w:rFonts w:ascii="宋体" w:hAnsi="宋体"/>
                      <w:bCs/>
                      <w:sz w:val="21"/>
                      <w:szCs w:val="21"/>
                    </w:rPr>
                  </w:pPr>
                </w:p>
              </w:tc>
            </w:tr>
          </w:tbl>
          <w:p>
            <w:pPr>
              <w:spacing w:line="288" w:lineRule="auto"/>
              <w:ind w:firstLine="420" w:firstLineChars="200"/>
              <w:rPr>
                <w:rFonts w:ascii="宋体" w:hAnsi="宋体"/>
                <w:bCs/>
                <w:sz w:val="21"/>
                <w:szCs w:val="21"/>
              </w:rPr>
            </w:pPr>
            <w:r>
              <w:rPr>
                <w:rFonts w:hint="eastAsia" w:ascii="宋体" w:hAnsi="宋体"/>
                <w:bCs/>
                <w:sz w:val="21"/>
                <w:szCs w:val="21"/>
              </w:rPr>
              <w:t>额外代收费指在办理进口及减免税过程中不能按约定的常规方式办理导致的额外支出，如以下费用：</w:t>
            </w:r>
          </w:p>
          <w:p>
            <w:pPr>
              <w:spacing w:line="288" w:lineRule="auto"/>
              <w:ind w:firstLine="420" w:firstLineChars="200"/>
              <w:rPr>
                <w:rFonts w:ascii="宋体" w:hAnsi="宋体"/>
                <w:bCs/>
                <w:sz w:val="21"/>
                <w:szCs w:val="21"/>
              </w:rPr>
            </w:pPr>
            <w:r>
              <w:rPr>
                <w:rFonts w:hint="eastAsia" w:ascii="宋体" w:hAnsi="宋体"/>
                <w:bCs/>
                <w:sz w:val="21"/>
                <w:szCs w:val="21"/>
              </w:rPr>
              <w:t>（1）将一次性支付变更为多次付费的，由提出方承担增加的银行费用。如一个成交项目需要分开签署多份外贸合同的，每个合同根据合同金额所处区间确定代理费率。</w:t>
            </w:r>
          </w:p>
          <w:p>
            <w:pPr>
              <w:spacing w:line="288" w:lineRule="auto"/>
              <w:ind w:firstLine="420" w:firstLineChars="200"/>
              <w:rPr>
                <w:rFonts w:ascii="宋体" w:hAnsi="宋体"/>
                <w:bCs/>
                <w:sz w:val="21"/>
                <w:szCs w:val="21"/>
              </w:rPr>
            </w:pPr>
            <w:r>
              <w:rPr>
                <w:rFonts w:hint="eastAsia" w:ascii="宋体" w:hAnsi="宋体"/>
                <w:bCs/>
                <w:sz w:val="21"/>
                <w:szCs w:val="21"/>
              </w:rPr>
              <w:t>（2）货物到港地为杭州以外的异地目的港，或者货物最终目的地为杭州以外的异地地点时，需要产生的额外运费、保险费和搬卸费。</w:t>
            </w:r>
          </w:p>
          <w:p>
            <w:pPr>
              <w:spacing w:line="288" w:lineRule="auto"/>
              <w:ind w:firstLine="420" w:firstLineChars="200"/>
              <w:rPr>
                <w:rFonts w:ascii="宋体" w:hAnsi="宋体"/>
                <w:bCs/>
                <w:sz w:val="21"/>
                <w:szCs w:val="21"/>
              </w:rPr>
            </w:pPr>
            <w:r>
              <w:rPr>
                <w:rFonts w:hint="eastAsia" w:ascii="宋体" w:hAnsi="宋体"/>
                <w:bCs/>
                <w:sz w:val="21"/>
                <w:szCs w:val="21"/>
              </w:rPr>
              <w:t xml:space="preserve">（3）海运进口换单费超出 300元/票的部分 (此条款针对个别海运进口的供应商，在发货当地选择价格特别低廉甚至0成本运费的方式，从而把物流成本转嫁到国内段，以换单费等形式向国内客户收取的情况)。 </w:t>
            </w:r>
          </w:p>
          <w:p>
            <w:pPr>
              <w:spacing w:line="288" w:lineRule="auto"/>
              <w:ind w:firstLine="420" w:firstLineChars="200"/>
              <w:rPr>
                <w:rFonts w:ascii="宋体" w:hAnsi="宋体"/>
                <w:bCs/>
                <w:sz w:val="21"/>
                <w:szCs w:val="21"/>
              </w:rPr>
            </w:pPr>
            <w:r>
              <w:rPr>
                <w:rFonts w:hint="eastAsia" w:ascii="宋体" w:hAnsi="宋体"/>
                <w:bCs/>
                <w:sz w:val="21"/>
                <w:szCs w:val="21"/>
              </w:rPr>
              <w:t>（4）特种设备检测费、能效检测费、最终用户和最终用途说明办理费用；特殊物品生物卫生检验备案费等其它特殊收费；因特殊原因导致额外增加的仓储费，如入冷冻仓库和危险品仓库的仓储费；需要使用特殊运输车辆（如避震车、冷链运输等）的费用；试剂类产品额外增加费用。</w:t>
            </w:r>
          </w:p>
          <w:p>
            <w:pPr>
              <w:spacing w:line="288" w:lineRule="auto"/>
              <w:ind w:firstLine="420" w:firstLineChars="200"/>
              <w:rPr>
                <w:rFonts w:ascii="宋体" w:hAnsi="宋体"/>
                <w:bCs/>
                <w:sz w:val="21"/>
                <w:szCs w:val="21"/>
              </w:rPr>
            </w:pPr>
            <w:r>
              <w:rPr>
                <w:rFonts w:hint="eastAsia" w:ascii="宋体" w:hAnsi="宋体"/>
                <w:bCs/>
                <w:sz w:val="21"/>
                <w:szCs w:val="21"/>
              </w:rPr>
              <w:t>（5）因供应商指定货代导致的额外费用。</w:t>
            </w:r>
          </w:p>
          <w:p>
            <w:pPr>
              <w:spacing w:line="288" w:lineRule="auto"/>
              <w:ind w:firstLine="420" w:firstLineChars="200"/>
              <w:rPr>
                <w:rFonts w:ascii="宋体" w:hAnsi="宋体"/>
                <w:bCs/>
                <w:sz w:val="21"/>
                <w:szCs w:val="21"/>
              </w:rPr>
            </w:pPr>
            <w:r>
              <w:rPr>
                <w:rFonts w:hint="eastAsia" w:ascii="宋体" w:hAnsi="宋体"/>
                <w:bCs/>
                <w:sz w:val="21"/>
                <w:szCs w:val="21"/>
              </w:rPr>
              <w:t>如遇以上未涉及的收费，参照以上协商处理。</w:t>
            </w:r>
          </w:p>
          <w:p>
            <w:pPr>
              <w:pStyle w:val="11"/>
              <w:rPr>
                <w:rFonts w:ascii="宋体" w:hAnsi="宋体" w:eastAsia="宋体"/>
              </w:rPr>
            </w:pPr>
            <w:r>
              <w:rPr>
                <w:rFonts w:hint="eastAsia" w:ascii="宋体" w:hAnsi="宋体" w:eastAsia="宋体"/>
                <w:bCs/>
                <w:sz w:val="21"/>
                <w:szCs w:val="21"/>
              </w:rPr>
              <w:t>额外代收费用由成交供应商承担，外贸代理公司在结算时需向收费人列出明细及单据，并接受浙江大学采购中心的监督。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rPr>
            </w:pPr>
            <w:r>
              <w:rPr>
                <w:rFonts w:hint="eastAsia" w:ascii="宋体" w:hAnsi="宋体"/>
                <w:kern w:val="0"/>
              </w:rPr>
              <w:t>3</w:t>
            </w:r>
          </w:p>
        </w:tc>
        <w:tc>
          <w:tcPr>
            <w:tcW w:w="2250" w:type="dxa"/>
            <w:vAlign w:val="center"/>
          </w:tcPr>
          <w:p>
            <w:pPr>
              <w:adjustRightInd/>
              <w:snapToGrid/>
              <w:spacing w:line="324" w:lineRule="auto"/>
              <w:rPr>
                <w:rFonts w:ascii="宋体" w:hAnsi="宋体"/>
              </w:rPr>
            </w:pPr>
            <w:r>
              <w:rPr>
                <w:rFonts w:hint="eastAsia" w:ascii="宋体" w:hAnsi="宋体"/>
              </w:rPr>
              <w:t>评审办法及标准</w:t>
            </w:r>
          </w:p>
        </w:tc>
        <w:tc>
          <w:tcPr>
            <w:tcW w:w="6364" w:type="dxa"/>
            <w:vAlign w:val="center"/>
          </w:tcPr>
          <w:p>
            <w:pPr>
              <w:adjustRightInd/>
              <w:snapToGrid/>
              <w:spacing w:line="324" w:lineRule="auto"/>
              <w:rPr>
                <w:rFonts w:ascii="宋体" w:hAnsi="宋体"/>
              </w:rPr>
            </w:pPr>
            <w:r>
              <w:rPr>
                <w:rFonts w:hint="eastAsia" w:ascii="宋体" w:hAnsi="宋体"/>
              </w:rPr>
              <w:t>详见第四章《评审办法及标准》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4</w:t>
            </w:r>
          </w:p>
        </w:tc>
        <w:tc>
          <w:tcPr>
            <w:tcW w:w="2250" w:type="dxa"/>
            <w:vAlign w:val="center"/>
          </w:tcPr>
          <w:p>
            <w:pPr>
              <w:adjustRightInd/>
              <w:snapToGrid/>
              <w:spacing w:line="324" w:lineRule="auto"/>
              <w:rPr>
                <w:rFonts w:ascii="宋体" w:hAnsi="宋体"/>
              </w:rPr>
            </w:pPr>
            <w:r>
              <w:rPr>
                <w:rFonts w:hint="eastAsia" w:ascii="宋体" w:hAnsi="宋体"/>
              </w:rPr>
              <w:t>分包或转包</w:t>
            </w:r>
          </w:p>
        </w:tc>
        <w:tc>
          <w:tcPr>
            <w:tcW w:w="6364" w:type="dxa"/>
            <w:vAlign w:val="center"/>
          </w:tcPr>
          <w:p>
            <w:pPr>
              <w:adjustRightInd/>
              <w:snapToGrid/>
              <w:spacing w:line="324" w:lineRule="auto"/>
              <w:rPr>
                <w:rFonts w:ascii="宋体" w:hAnsi="宋体"/>
              </w:rPr>
            </w:pPr>
            <w:r>
              <w:rPr>
                <w:rFonts w:hint="eastAsia" w:ascii="宋体" w:hAnsi="宋体"/>
              </w:rPr>
              <w:t>（1）采购人不同意分包。</w:t>
            </w:r>
          </w:p>
          <w:p>
            <w:pPr>
              <w:adjustRightInd/>
              <w:snapToGrid/>
              <w:spacing w:line="324" w:lineRule="auto"/>
              <w:rPr>
                <w:rFonts w:ascii="宋体" w:hAnsi="宋体"/>
              </w:rPr>
            </w:pPr>
            <w:r>
              <w:rPr>
                <w:rFonts w:hint="eastAsia" w:ascii="宋体" w:hAnsi="宋体"/>
              </w:rPr>
              <w:t>（2）本项目不得转包。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5</w:t>
            </w:r>
          </w:p>
        </w:tc>
        <w:tc>
          <w:tcPr>
            <w:tcW w:w="2250"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rFonts w:ascii="宋体" w:hAnsi="宋体"/>
              </w:rPr>
            </w:pPr>
            <w:r>
              <w:rPr>
                <w:rFonts w:hint="eastAsia" w:ascii="宋体" w:hAnsi="宋体"/>
              </w:rPr>
              <w:t>供应商应当提供的资格、商务证明文件</w:t>
            </w:r>
          </w:p>
        </w:tc>
        <w:tc>
          <w:tcPr>
            <w:tcW w:w="6364" w:type="dxa"/>
            <w:tcBorders>
              <w:top w:val="single" w:color="auto" w:sz="4" w:space="0"/>
              <w:left w:val="single" w:color="auto" w:sz="4" w:space="0"/>
              <w:bottom w:val="single" w:color="auto" w:sz="4" w:space="0"/>
              <w:right w:val="single" w:color="auto" w:sz="4" w:space="0"/>
            </w:tcBorders>
            <w:vAlign w:val="center"/>
          </w:tcPr>
          <w:p>
            <w:pPr>
              <w:adjustRightInd/>
              <w:snapToGrid/>
              <w:spacing w:line="324" w:lineRule="auto"/>
              <w:rPr>
                <w:rFonts w:ascii="宋体" w:hAnsi="宋体"/>
              </w:rPr>
            </w:pPr>
            <w:r>
              <w:rPr>
                <w:rFonts w:hint="eastAsia" w:ascii="宋体" w:hAnsi="宋体"/>
              </w:rPr>
              <w:t>（1）资格证明文件：见“第三章磋商响应供应商须知”中第二节。</w:t>
            </w:r>
          </w:p>
          <w:p>
            <w:pPr>
              <w:adjustRightInd/>
              <w:snapToGrid/>
              <w:spacing w:line="324" w:lineRule="auto"/>
              <w:rPr>
                <w:rFonts w:ascii="宋体" w:hAnsi="宋体"/>
              </w:rPr>
            </w:pPr>
            <w:r>
              <w:rPr>
                <w:rFonts w:hint="eastAsia" w:ascii="宋体" w:hAnsi="宋体"/>
              </w:rPr>
              <w:t>（2）商务证明文件：根据详见第四章《评审办法及标准》中具体评标标准提供。</w:t>
            </w:r>
          </w:p>
          <w:p>
            <w:pPr>
              <w:adjustRightInd/>
              <w:snapToGrid/>
              <w:spacing w:line="324" w:lineRule="auto"/>
              <w:rPr>
                <w:rFonts w:ascii="宋体" w:hAnsi="宋体"/>
              </w:rPr>
            </w:pPr>
            <w:r>
              <w:rPr>
                <w:rFonts w:hint="eastAsia" w:ascii="宋体" w:hAnsi="宋体"/>
                <w:szCs w:val="21"/>
              </w:rPr>
              <w:t>▲</w:t>
            </w:r>
            <w:r>
              <w:rPr>
                <w:rFonts w:hint="eastAsia" w:ascii="宋体" w:hAnsi="宋体"/>
              </w:rPr>
              <w:t>响应供应商未提供有效的资格证明文件的，视为相应供应商不具备磋商文件中规定的资格要求，响应无效。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6</w:t>
            </w:r>
          </w:p>
        </w:tc>
        <w:tc>
          <w:tcPr>
            <w:tcW w:w="2250" w:type="dxa"/>
            <w:vAlign w:val="center"/>
          </w:tcPr>
          <w:p>
            <w:pPr>
              <w:adjustRightInd/>
              <w:snapToGrid/>
              <w:spacing w:line="324" w:lineRule="auto"/>
              <w:rPr>
                <w:rFonts w:ascii="宋体" w:hAnsi="宋体"/>
              </w:rPr>
            </w:pPr>
            <w:r>
              <w:rPr>
                <w:rFonts w:hint="eastAsia" w:ascii="宋体" w:hAnsi="宋体"/>
              </w:rPr>
              <w:t>响应文件份数</w:t>
            </w:r>
          </w:p>
          <w:p>
            <w:pPr>
              <w:adjustRightInd/>
              <w:snapToGrid/>
              <w:spacing w:line="324" w:lineRule="auto"/>
              <w:rPr>
                <w:rFonts w:ascii="宋体" w:hAnsi="宋体"/>
              </w:rPr>
            </w:pPr>
          </w:p>
        </w:tc>
        <w:tc>
          <w:tcPr>
            <w:tcW w:w="6364" w:type="dxa"/>
            <w:vAlign w:val="center"/>
          </w:tcPr>
          <w:p>
            <w:pPr>
              <w:adjustRightInd/>
              <w:snapToGrid/>
              <w:spacing w:line="324" w:lineRule="auto"/>
              <w:rPr>
                <w:rFonts w:ascii="宋体" w:hAnsi="宋体"/>
              </w:rPr>
            </w:pPr>
            <w:r>
              <w:rPr>
                <w:rFonts w:hint="eastAsia" w:ascii="宋体" w:hAnsi="宋体"/>
              </w:rPr>
              <w:t>（1）纸质版：资格证明文件正本一份，副本无需提供；报价部分和商务技术部分编制并装订成一册，正本一份，副本三份。</w:t>
            </w:r>
          </w:p>
          <w:p>
            <w:pPr>
              <w:adjustRightInd/>
              <w:snapToGrid/>
              <w:spacing w:line="324" w:lineRule="auto"/>
              <w:rPr>
                <w:rFonts w:ascii="宋体" w:hAnsi="宋体"/>
              </w:rPr>
            </w:pPr>
            <w:r>
              <w:rPr>
                <w:rFonts w:hint="eastAsia" w:ascii="宋体" w:hAnsi="宋体"/>
              </w:rPr>
              <w:t>（2）电子版（单独装袋，密封包装）：一份，内容为已签字盖章的报价部分和商务技术部分编制并装订成一册正本的扫描件，PDF格式，U盘存储。</w:t>
            </w:r>
          </w:p>
          <w:p>
            <w:pPr>
              <w:adjustRightInd/>
              <w:snapToGrid/>
              <w:spacing w:line="324" w:lineRule="auto"/>
              <w:rPr>
                <w:rFonts w:ascii="宋体" w:hAnsi="宋体"/>
              </w:rPr>
            </w:pPr>
            <w:r>
              <w:rPr>
                <w:rFonts w:hint="eastAsia" w:ascii="宋体" w:hAnsi="宋体"/>
                <w:szCs w:val="21"/>
              </w:rPr>
              <w:t>▲</w:t>
            </w:r>
            <w:r>
              <w:rPr>
                <w:rFonts w:hint="eastAsia" w:ascii="宋体" w:hAnsi="宋体"/>
              </w:rPr>
              <w:t>响应文件正、副本份数不足，响应无效。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7</w:t>
            </w:r>
          </w:p>
        </w:tc>
        <w:tc>
          <w:tcPr>
            <w:tcW w:w="2250" w:type="dxa"/>
            <w:vAlign w:val="center"/>
          </w:tcPr>
          <w:p>
            <w:pPr>
              <w:adjustRightInd/>
              <w:snapToGrid/>
              <w:spacing w:line="324" w:lineRule="auto"/>
              <w:rPr>
                <w:rFonts w:ascii="宋体" w:hAnsi="宋体"/>
              </w:rPr>
            </w:pPr>
            <w:r>
              <w:rPr>
                <w:rFonts w:hint="eastAsia" w:ascii="宋体" w:hAnsi="宋体"/>
                <w:szCs w:val="21"/>
              </w:rPr>
              <w:t>▲</w:t>
            </w:r>
            <w:r>
              <w:rPr>
                <w:rFonts w:hint="eastAsia" w:ascii="宋体" w:hAnsi="宋体"/>
              </w:rPr>
              <w:t>响应文件有效期</w:t>
            </w:r>
          </w:p>
        </w:tc>
        <w:tc>
          <w:tcPr>
            <w:tcW w:w="6364" w:type="dxa"/>
            <w:vAlign w:val="center"/>
          </w:tcPr>
          <w:p>
            <w:pPr>
              <w:adjustRightInd/>
              <w:snapToGrid/>
              <w:spacing w:line="324" w:lineRule="auto"/>
              <w:rPr>
                <w:rFonts w:ascii="宋体" w:hAnsi="宋体"/>
              </w:rPr>
            </w:pPr>
            <w:r>
              <w:rPr>
                <w:rFonts w:hint="eastAsia" w:ascii="宋体" w:hAnsi="宋体"/>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8</w:t>
            </w:r>
          </w:p>
        </w:tc>
        <w:tc>
          <w:tcPr>
            <w:tcW w:w="2250" w:type="dxa"/>
            <w:vAlign w:val="center"/>
          </w:tcPr>
          <w:p>
            <w:pPr>
              <w:adjustRightInd/>
              <w:snapToGrid/>
              <w:spacing w:line="324" w:lineRule="auto"/>
              <w:rPr>
                <w:rFonts w:ascii="宋体" w:hAnsi="宋体"/>
              </w:rPr>
            </w:pPr>
            <w:r>
              <w:rPr>
                <w:rFonts w:hint="eastAsia" w:ascii="宋体" w:hAnsi="宋体"/>
              </w:rPr>
              <w:t>签订合同</w:t>
            </w:r>
          </w:p>
        </w:tc>
        <w:tc>
          <w:tcPr>
            <w:tcW w:w="6364" w:type="dxa"/>
            <w:vAlign w:val="center"/>
          </w:tcPr>
          <w:p>
            <w:pPr>
              <w:adjustRightInd/>
              <w:snapToGrid/>
              <w:spacing w:line="324" w:lineRule="auto"/>
              <w:rPr>
                <w:rFonts w:ascii="宋体" w:hAnsi="宋体"/>
              </w:rPr>
            </w:pPr>
            <w:r>
              <w:rPr>
                <w:rFonts w:hint="eastAsia" w:ascii="宋体" w:hAnsi="宋体"/>
              </w:rPr>
              <w:t>成交通知书发出之日起30日内。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9</w:t>
            </w:r>
          </w:p>
        </w:tc>
        <w:tc>
          <w:tcPr>
            <w:tcW w:w="2250" w:type="dxa"/>
            <w:vAlign w:val="center"/>
          </w:tcPr>
          <w:p>
            <w:pPr>
              <w:adjustRightInd/>
              <w:snapToGrid/>
              <w:spacing w:line="324" w:lineRule="auto"/>
              <w:rPr>
                <w:rFonts w:ascii="宋体" w:hAnsi="宋体"/>
                <w:bCs/>
                <w:kern w:val="0"/>
                <w:szCs w:val="21"/>
              </w:rPr>
            </w:pPr>
            <w:r>
              <w:rPr>
                <w:rFonts w:hint="eastAsia" w:ascii="宋体" w:hAnsi="宋体"/>
              </w:rPr>
              <w:t>开标前答疑会或现场考察</w:t>
            </w:r>
          </w:p>
        </w:tc>
        <w:tc>
          <w:tcPr>
            <w:tcW w:w="6364" w:type="dxa"/>
            <w:vAlign w:val="center"/>
          </w:tcPr>
          <w:p>
            <w:pPr>
              <w:adjustRightInd/>
              <w:snapToGrid/>
              <w:spacing w:line="324" w:lineRule="auto"/>
              <w:rPr>
                <w:rFonts w:ascii="宋体" w:hAnsi="宋体"/>
              </w:rPr>
            </w:pPr>
            <w:r>
              <w:rPr>
                <w:rFonts w:hint="eastAsia" w:ascii="宋体" w:hAnsi="宋体"/>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10</w:t>
            </w:r>
          </w:p>
        </w:tc>
        <w:tc>
          <w:tcPr>
            <w:tcW w:w="2250" w:type="dxa"/>
            <w:vAlign w:val="center"/>
          </w:tcPr>
          <w:p>
            <w:pPr>
              <w:adjustRightInd/>
              <w:snapToGrid/>
              <w:spacing w:line="324" w:lineRule="auto"/>
              <w:rPr>
                <w:rFonts w:ascii="宋体" w:hAnsi="宋体"/>
              </w:rPr>
            </w:pPr>
            <w:r>
              <w:rPr>
                <w:rFonts w:hint="eastAsia" w:ascii="宋体" w:hAnsi="宋体"/>
              </w:rPr>
              <w:t>样品提供</w:t>
            </w:r>
          </w:p>
        </w:tc>
        <w:tc>
          <w:tcPr>
            <w:tcW w:w="6364" w:type="dxa"/>
            <w:vAlign w:val="center"/>
          </w:tcPr>
          <w:p>
            <w:pPr>
              <w:adjustRightInd/>
              <w:snapToGrid/>
              <w:spacing w:line="324" w:lineRule="auto"/>
              <w:rPr>
                <w:rFonts w:ascii="宋体" w:hAnsi="宋体"/>
              </w:rPr>
            </w:pPr>
            <w:r>
              <w:rPr>
                <w:rFonts w:hint="eastAsia" w:ascii="宋体" w:hAnsi="宋体"/>
              </w:rPr>
              <w:t>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kern w:val="0"/>
              </w:rPr>
              <w:t>11</w:t>
            </w:r>
          </w:p>
        </w:tc>
        <w:tc>
          <w:tcPr>
            <w:tcW w:w="2250" w:type="dxa"/>
            <w:vAlign w:val="center"/>
          </w:tcPr>
          <w:p>
            <w:pPr>
              <w:adjustRightInd/>
              <w:snapToGrid/>
              <w:spacing w:line="324" w:lineRule="auto"/>
              <w:rPr>
                <w:rFonts w:ascii="宋体" w:hAnsi="宋体"/>
              </w:rPr>
            </w:pPr>
            <w:r>
              <w:rPr>
                <w:rFonts w:hint="eastAsia" w:ascii="宋体" w:hAnsi="宋体"/>
              </w:rPr>
              <w:t>采购机构代理费用</w:t>
            </w:r>
          </w:p>
        </w:tc>
        <w:tc>
          <w:tcPr>
            <w:tcW w:w="6364" w:type="dxa"/>
            <w:vAlign w:val="center"/>
          </w:tcPr>
          <w:p>
            <w:pPr>
              <w:adjustRightInd/>
              <w:snapToGrid/>
              <w:rPr>
                <w:rFonts w:ascii="宋体" w:hAnsi="宋体"/>
              </w:rPr>
            </w:pPr>
            <w:r>
              <w:rPr>
                <w:rFonts w:hint="eastAsia" w:ascii="宋体" w:hAnsi="宋体"/>
              </w:rPr>
              <w:t>（1）参照合同编号：ZUPC-GK-FW-2020002-2规定的招标费率，招标全过程代理费按下表的70%收取，采取差额累进计费方式，按照中标通知书确定的金额，向中标人收取服务费。</w:t>
            </w:r>
          </w:p>
          <w:tbl>
            <w:tblPr>
              <w:tblStyle w:val="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6"/>
              <w:gridCol w:w="1613"/>
              <w:gridCol w:w="1614"/>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55" w:type="pct"/>
                  <w:tcBorders>
                    <w:top w:val="single" w:color="auto" w:sz="4" w:space="0"/>
                    <w:left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中标金额</w:t>
                  </w:r>
                </w:p>
              </w:tc>
              <w:tc>
                <w:tcPr>
                  <w:tcW w:w="1314" w:type="pct"/>
                  <w:tcBorders>
                    <w:top w:val="single" w:color="auto" w:sz="4" w:space="0"/>
                    <w:left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货物招标</w:t>
                  </w:r>
                </w:p>
              </w:tc>
              <w:tc>
                <w:tcPr>
                  <w:tcW w:w="1314" w:type="pct"/>
                  <w:tcBorders>
                    <w:top w:val="single" w:color="auto" w:sz="4" w:space="0"/>
                    <w:left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服务招标</w:t>
                  </w:r>
                </w:p>
              </w:tc>
              <w:tc>
                <w:tcPr>
                  <w:tcW w:w="1314" w:type="pct"/>
                  <w:tcBorders>
                    <w:top w:val="single" w:color="auto" w:sz="4" w:space="0"/>
                    <w:left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55"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100万元以下</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1.5%</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1.5%</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55"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100万－500万元</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1.1%</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0.8%</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55"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500-1000万元</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0.8%</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0.45%</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55"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1000-5000万元</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0.5%</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0.25%</w:t>
                  </w:r>
                </w:p>
              </w:tc>
              <w:tc>
                <w:tcPr>
                  <w:tcW w:w="1314" w:type="pct"/>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jc w:val="center"/>
                    <w:rPr>
                      <w:rFonts w:ascii="宋体" w:hAnsi="宋体"/>
                    </w:rPr>
                  </w:pPr>
                  <w:r>
                    <w:rPr>
                      <w:rFonts w:hint="eastAsia" w:ascii="宋体" w:hAnsi="宋体"/>
                    </w:rPr>
                    <w:t>0.35%</w:t>
                  </w:r>
                </w:p>
              </w:tc>
            </w:tr>
          </w:tbl>
          <w:p>
            <w:pPr>
              <w:adjustRightInd/>
              <w:snapToGrid/>
              <w:rPr>
                <w:rFonts w:ascii="宋体" w:hAnsi="宋体"/>
              </w:rPr>
            </w:pPr>
            <w:r>
              <w:rPr>
                <w:rFonts w:hint="eastAsia" w:ascii="宋体" w:hAnsi="宋体"/>
              </w:rPr>
              <w:t>（2）中标人在领取中标通知书前，应向招标代理机构交纳招标代理服务费。</w:t>
            </w:r>
          </w:p>
          <w:p>
            <w:pPr>
              <w:adjustRightInd/>
              <w:snapToGrid/>
              <w:rPr>
                <w:rFonts w:ascii="宋体" w:hAnsi="宋体"/>
              </w:rPr>
            </w:pPr>
            <w:r>
              <w:rPr>
                <w:rFonts w:hint="eastAsia" w:ascii="宋体" w:hAnsi="宋体"/>
              </w:rPr>
              <w:t>（3）招标代理服务费以电汇方式支付。</w:t>
            </w:r>
          </w:p>
          <w:p>
            <w:pPr>
              <w:adjustRightInd/>
              <w:snapToGrid/>
              <w:rPr>
                <w:rFonts w:ascii="宋体" w:hAnsi="宋体"/>
              </w:rPr>
            </w:pPr>
            <w:r>
              <w:rPr>
                <w:rFonts w:hint="eastAsia" w:ascii="宋体" w:hAnsi="宋体"/>
              </w:rPr>
              <w:t>（4）中标人如未按上述规定办理，本招标代理机构有权对不足部分进行追索。</w:t>
            </w:r>
          </w:p>
          <w:p>
            <w:pPr>
              <w:adjustRightInd/>
              <w:snapToGrid/>
              <w:rPr>
                <w:rFonts w:ascii="宋体" w:hAnsi="宋体"/>
              </w:rPr>
            </w:pPr>
            <w:r>
              <w:rPr>
                <w:rFonts w:hint="eastAsia" w:ascii="宋体" w:hAnsi="宋体"/>
              </w:rPr>
              <w:t>（5）服务费缴纳账号：</w:t>
            </w:r>
          </w:p>
          <w:p>
            <w:r>
              <w:rPr>
                <w:rFonts w:hint="eastAsia"/>
              </w:rPr>
              <w:t>户名：浙江五石工程咨询有限公司萧山分公司</w:t>
            </w:r>
          </w:p>
          <w:p>
            <w:r>
              <w:rPr>
                <w:rFonts w:hint="eastAsia"/>
              </w:rPr>
              <w:t>账号：33020160201000004399</w:t>
            </w:r>
          </w:p>
          <w:p>
            <w:r>
              <w:rPr>
                <w:rFonts w:hint="eastAsia"/>
              </w:rPr>
              <w:t>开户行：浙江泰隆商业银行股份有限公司杭州祥符小微企业专营支行</w:t>
            </w:r>
          </w:p>
          <w:p>
            <w:pPr>
              <w:adjustRightInd/>
              <w:snapToGrid/>
              <w:spacing w:line="324" w:lineRule="auto"/>
              <w:rPr>
                <w:rFonts w:ascii="宋体" w:hAnsi="宋体"/>
              </w:rPr>
            </w:pPr>
            <w:r>
              <w:rPr>
                <w:rFonts w:hint="eastAsia"/>
              </w:rPr>
              <w:t>精确查找祥符支行行号：313331080163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color w:val="auto"/>
                <w:kern w:val="0"/>
                <w:highlight w:val="none"/>
                <w:lang w:val="en-US" w:eastAsia="zh-CN"/>
              </w:rPr>
              <w:t>12</w:t>
            </w:r>
          </w:p>
        </w:tc>
        <w:tc>
          <w:tcPr>
            <w:tcW w:w="2250" w:type="dxa"/>
            <w:vAlign w:val="center"/>
          </w:tcPr>
          <w:p>
            <w:pPr>
              <w:jc w:val="center"/>
              <w:rPr>
                <w:rFonts w:ascii="宋体" w:hAnsi="宋体"/>
              </w:rPr>
            </w:pPr>
            <w:r>
              <w:rPr>
                <w:rStyle w:val="36"/>
                <w:rFonts w:hint="eastAsia" w:ascii="宋体" w:hAnsi="宋体" w:eastAsia="宋体" w:cs="宋体"/>
                <w:color w:val="auto"/>
                <w:highlight w:val="none"/>
                <w:lang w:eastAsia="zh-CN"/>
              </w:rPr>
              <w:t>磋商保证金</w:t>
            </w:r>
          </w:p>
        </w:tc>
        <w:tc>
          <w:tcPr>
            <w:tcW w:w="6364" w:type="dxa"/>
            <w:vAlign w:val="center"/>
          </w:tcPr>
          <w:p>
            <w:pPr>
              <w:widowControl/>
              <w:spacing w:line="360" w:lineRule="auto"/>
              <w:jc w:val="left"/>
              <w:rPr>
                <w:rFonts w:hint="eastAsia" w:ascii="宋体" w:hAnsi="宋体" w:eastAsia="宋体" w:cs="宋体"/>
                <w:color w:val="auto"/>
                <w:highlight w:val="none"/>
                <w:lang w:val="zh-TW" w:eastAsia="zh-TW"/>
              </w:rPr>
            </w:pPr>
            <w:r>
              <w:rPr>
                <w:rStyle w:val="36"/>
                <w:rFonts w:hint="eastAsia" w:ascii="宋体" w:hAnsi="宋体" w:eastAsia="宋体" w:cs="宋体"/>
                <w:color w:val="auto"/>
                <w:highlight w:val="none"/>
                <w:lang w:eastAsia="zh-CN"/>
              </w:rPr>
              <w:t>磋商保证金</w:t>
            </w:r>
            <w:r>
              <w:rPr>
                <w:rStyle w:val="36"/>
                <w:rFonts w:hint="eastAsia" w:ascii="宋体" w:hAnsi="宋体" w:eastAsia="宋体" w:cs="宋体"/>
                <w:color w:val="auto"/>
                <w:highlight w:val="none"/>
              </w:rPr>
              <w:t>：</w:t>
            </w:r>
            <w:r>
              <w:rPr>
                <w:rFonts w:hint="eastAsia" w:ascii="宋体" w:hAnsi="宋体" w:eastAsia="宋体" w:cs="宋体"/>
                <w:color w:val="auto"/>
                <w:highlight w:val="none"/>
              </w:rPr>
              <w:t>人民币</w:t>
            </w:r>
            <w:r>
              <w:rPr>
                <w:rFonts w:hint="eastAsia" w:ascii="宋体" w:hAnsi="宋体" w:eastAsia="宋体" w:cs="宋体"/>
                <w:color w:val="auto"/>
                <w:highlight w:val="none"/>
                <w:lang w:val="en-US" w:eastAsia="zh-CN"/>
              </w:rPr>
              <w:t>19800</w:t>
            </w:r>
            <w:r>
              <w:rPr>
                <w:rFonts w:hint="eastAsia" w:ascii="宋体" w:hAnsi="宋体" w:eastAsia="宋体" w:cs="宋体"/>
                <w:color w:val="auto"/>
                <w:highlight w:val="none"/>
              </w:rPr>
              <w:t>元。提交</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时间：每天上午9:00—11:30，下午2:00—4:30，节假日除外。于2020年</w:t>
            </w:r>
            <w:r>
              <w:rPr>
                <w:rFonts w:ascii="宋体" w:hAnsi="宋体" w:eastAsia="宋体" w:cs="宋体"/>
                <w:b/>
                <w:bCs/>
                <w:color w:val="auto"/>
                <w:highlight w:val="none"/>
              </w:rPr>
              <w:t>9</w:t>
            </w:r>
            <w:r>
              <w:rPr>
                <w:rFonts w:hint="eastAsia" w:ascii="宋体" w:hAnsi="宋体" w:eastAsia="宋体" w:cs="宋体"/>
                <w:b/>
                <w:bCs/>
                <w:color w:val="auto"/>
                <w:highlight w:val="none"/>
              </w:rPr>
              <w:t>月</w:t>
            </w:r>
            <w:r>
              <w:rPr>
                <w:rFonts w:hint="eastAsia" w:ascii="宋体" w:hAnsi="宋体" w:eastAsia="宋体" w:cs="宋体"/>
                <w:b/>
                <w:bCs/>
                <w:color w:val="auto"/>
                <w:highlight w:val="none"/>
                <w:lang w:val="en-US" w:eastAsia="zh-CN"/>
              </w:rPr>
              <w:t>18</w:t>
            </w:r>
            <w:r>
              <w:rPr>
                <w:rFonts w:hint="eastAsia" w:ascii="宋体" w:hAnsi="宋体" w:eastAsia="宋体" w:cs="宋体"/>
                <w:b/>
                <w:bCs/>
                <w:color w:val="auto"/>
                <w:highlight w:val="none"/>
              </w:rPr>
              <w:t>日15点前</w:t>
            </w:r>
            <w:r>
              <w:rPr>
                <w:rFonts w:hint="eastAsia" w:ascii="宋体" w:hAnsi="宋体" w:eastAsia="宋体" w:cs="宋体"/>
                <w:color w:val="auto"/>
                <w:highlight w:val="none"/>
                <w:lang w:val="zh-TW"/>
              </w:rPr>
              <w:t>电汇到达指定账号</w:t>
            </w:r>
            <w:r>
              <w:rPr>
                <w:rFonts w:hint="eastAsia" w:ascii="宋体" w:hAnsi="宋体" w:eastAsia="宋体" w:cs="宋体"/>
                <w:color w:val="auto"/>
                <w:highlight w:val="none"/>
                <w:lang w:val="zh-TW" w:eastAsia="zh-TW"/>
              </w:rPr>
              <w:t>（电汇时请注明项目编号）</w:t>
            </w:r>
          </w:p>
          <w:p>
            <w:pPr>
              <w:widowControl/>
              <w:spacing w:line="360" w:lineRule="auto"/>
              <w:jc w:val="left"/>
              <w:rPr>
                <w:rFonts w:ascii="宋体" w:hAnsi="宋体" w:eastAsia="宋体" w:cs="宋体"/>
                <w:color w:val="auto"/>
                <w:highlight w:val="none"/>
              </w:rPr>
            </w:pPr>
            <w:r>
              <w:rPr>
                <w:rFonts w:hint="eastAsia" w:ascii="宋体" w:hAnsi="宋体" w:eastAsia="宋体" w:cs="宋体"/>
                <w:color w:val="auto"/>
                <w:highlight w:val="none"/>
              </w:rPr>
              <w:t>单位名称：浙江五石工程咨询有限公司</w:t>
            </w:r>
          </w:p>
          <w:p>
            <w:pPr>
              <w:widowControl/>
              <w:spacing w:line="360" w:lineRule="auto"/>
              <w:jc w:val="left"/>
              <w:rPr>
                <w:rFonts w:ascii="宋体" w:hAnsi="宋体" w:eastAsia="宋体" w:cs="宋体"/>
                <w:color w:val="auto"/>
                <w:highlight w:val="none"/>
              </w:rPr>
            </w:pPr>
            <w:r>
              <w:rPr>
                <w:rFonts w:hint="eastAsia" w:ascii="宋体" w:hAnsi="宋体" w:eastAsia="宋体" w:cs="宋体"/>
                <w:color w:val="auto"/>
                <w:highlight w:val="none"/>
              </w:rPr>
              <w:t>账    号：583595811900015</w:t>
            </w:r>
          </w:p>
          <w:p>
            <w:pPr>
              <w:widowControl/>
              <w:spacing w:line="360" w:lineRule="auto"/>
              <w:jc w:val="left"/>
              <w:rPr>
                <w:rFonts w:ascii="宋体" w:hAnsi="宋体"/>
              </w:rPr>
            </w:pPr>
            <w:r>
              <w:rPr>
                <w:rFonts w:hint="eastAsia" w:ascii="宋体" w:hAnsi="宋体" w:eastAsia="宋体" w:cs="宋体"/>
                <w:color w:val="auto"/>
                <w:highlight w:val="none"/>
              </w:rPr>
              <w:t>开 户 行：浙江民泰商业银行杭州钱江新城支行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ascii="宋体" w:hAnsi="宋体"/>
                <w:kern w:val="0"/>
              </w:rPr>
            </w:pPr>
            <w:r>
              <w:rPr>
                <w:rFonts w:hint="eastAsia" w:ascii="宋体" w:hAnsi="宋体"/>
                <w:color w:val="auto"/>
                <w:kern w:val="0"/>
                <w:highlight w:val="none"/>
                <w:lang w:val="en-US" w:eastAsia="zh-CN"/>
              </w:rPr>
              <w:t>13</w:t>
            </w:r>
          </w:p>
        </w:tc>
        <w:tc>
          <w:tcPr>
            <w:tcW w:w="2250" w:type="dxa"/>
            <w:vAlign w:val="center"/>
          </w:tcPr>
          <w:p>
            <w:pPr>
              <w:adjustRightInd/>
              <w:snapToGrid/>
              <w:spacing w:line="324" w:lineRule="auto"/>
              <w:ind w:left="0" w:leftChars="0" w:right="0" w:rightChars="0" w:firstLine="0" w:firstLineChars="0"/>
              <w:jc w:val="center"/>
              <w:rPr>
                <w:rFonts w:ascii="宋体" w:hAnsi="宋体"/>
              </w:rPr>
            </w:pPr>
            <w:r>
              <w:rPr>
                <w:rFonts w:hint="eastAsia" w:ascii="宋体" w:hAnsi="宋体"/>
                <w:b/>
                <w:bCs/>
                <w:color w:val="auto"/>
                <w:highlight w:val="none"/>
                <w:lang w:val="en-US" w:eastAsia="zh-CN"/>
              </w:rPr>
              <w:t>磋商保证金退回</w:t>
            </w:r>
          </w:p>
        </w:tc>
        <w:tc>
          <w:tcPr>
            <w:tcW w:w="6364" w:type="dxa"/>
            <w:vAlign w:val="center"/>
          </w:tcPr>
          <w:p>
            <w:pPr>
              <w:adjustRightInd/>
              <w:snapToGrid/>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磋商</w:t>
            </w:r>
            <w:r>
              <w:rPr>
                <w:rFonts w:hint="eastAsia" w:ascii="宋体" w:hAnsi="宋体" w:eastAsia="宋体" w:cs="宋体"/>
                <w:b/>
                <w:bCs/>
                <w:color w:val="auto"/>
                <w:highlight w:val="none"/>
              </w:rPr>
              <w:t>保证金的退回：</w:t>
            </w:r>
          </w:p>
          <w:p>
            <w:pPr>
              <w:adjustRightInd/>
              <w:snapToGrid/>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成交供应商</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保证金在与</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rPr>
              <w:t>签订了合同并付清</w:t>
            </w:r>
            <w:r>
              <w:rPr>
                <w:rFonts w:hint="eastAsia" w:ascii="宋体" w:hAnsi="宋体"/>
                <w:color w:val="auto"/>
                <w:highlight w:val="none"/>
              </w:rPr>
              <w:t>招标代理服务费</w:t>
            </w:r>
            <w:r>
              <w:rPr>
                <w:rFonts w:hint="eastAsia" w:ascii="宋体" w:hAnsi="宋体" w:eastAsia="宋体" w:cs="宋体"/>
                <w:color w:val="auto"/>
                <w:highlight w:val="none"/>
              </w:rPr>
              <w:t>后，凭合同复印件和缴纳凭证复印件退还（因</w:t>
            </w:r>
            <w:r>
              <w:rPr>
                <w:rFonts w:hint="eastAsia" w:ascii="宋体" w:hAnsi="宋体" w:eastAsia="宋体" w:cs="宋体"/>
                <w:color w:val="auto"/>
                <w:highlight w:val="none"/>
                <w:lang w:val="en-US" w:eastAsia="zh-CN"/>
              </w:rPr>
              <w:t>成交供应商</w:t>
            </w:r>
            <w:r>
              <w:rPr>
                <w:rFonts w:hint="eastAsia" w:ascii="宋体" w:hAnsi="宋体" w:eastAsia="宋体" w:cs="宋体"/>
                <w:color w:val="auto"/>
                <w:highlight w:val="none"/>
              </w:rPr>
              <w:t>自身原因导致无法及时退还的除外）。</w:t>
            </w:r>
          </w:p>
          <w:p>
            <w:pPr>
              <w:autoSpaceDE/>
              <w:autoSpaceDN/>
              <w:adjustRightInd/>
              <w:spacing w:line="360" w:lineRule="auto"/>
              <w:rPr>
                <w:rFonts w:ascii="宋体" w:hAnsi="宋体"/>
              </w:rPr>
            </w:pPr>
            <w:r>
              <w:rPr>
                <w:rFonts w:hint="eastAsia" w:ascii="宋体" w:hAnsi="宋体" w:eastAsia="宋体" w:cs="宋体"/>
                <w:color w:val="auto"/>
                <w:highlight w:val="none"/>
              </w:rPr>
              <w:t>（2）未</w:t>
            </w:r>
            <w:r>
              <w:rPr>
                <w:rFonts w:hint="eastAsia" w:ascii="宋体" w:hAnsi="宋体" w:eastAsia="宋体" w:cs="宋体"/>
                <w:color w:val="auto"/>
                <w:highlight w:val="none"/>
                <w:lang w:val="en-US" w:eastAsia="zh-CN"/>
              </w:rPr>
              <w:t>成交响应供应商</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保证金将在</w:t>
            </w:r>
            <w:r>
              <w:rPr>
                <w:rFonts w:hint="eastAsia" w:ascii="宋体" w:hAnsi="宋体" w:eastAsia="宋体" w:cs="宋体"/>
                <w:color w:val="auto"/>
                <w:highlight w:val="none"/>
                <w:lang w:val="en-US" w:eastAsia="zh-CN"/>
              </w:rPr>
              <w:t>成交结果</w:t>
            </w:r>
            <w:r>
              <w:rPr>
                <w:rFonts w:hint="eastAsia" w:ascii="宋体" w:hAnsi="宋体" w:eastAsia="宋体" w:cs="宋体"/>
                <w:color w:val="auto"/>
                <w:highlight w:val="none"/>
              </w:rPr>
              <w:t>公告发出后5个工作日凭缴纳凭证复印件原额退还（因</w:t>
            </w:r>
            <w:r>
              <w:rPr>
                <w:rFonts w:hint="eastAsia" w:ascii="宋体" w:hAnsi="宋体" w:eastAsia="宋体" w:cs="宋体"/>
                <w:color w:val="auto"/>
                <w:highlight w:val="none"/>
                <w:lang w:val="en-US" w:eastAsia="zh-CN"/>
              </w:rPr>
              <w:t>响应供应商</w:t>
            </w:r>
            <w:r>
              <w:rPr>
                <w:rFonts w:hint="eastAsia" w:ascii="宋体" w:hAnsi="宋体" w:eastAsia="宋体" w:cs="宋体"/>
                <w:color w:val="auto"/>
                <w:highlight w:val="none"/>
              </w:rPr>
              <w:t>自身原因导致无法及时退还的除外）。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ascii="宋体" w:hAnsi="宋体"/>
                <w:kern w:val="0"/>
              </w:rPr>
            </w:pPr>
            <w:r>
              <w:rPr>
                <w:rFonts w:hint="eastAsia" w:ascii="宋体" w:hAnsi="宋体"/>
                <w:color w:val="auto"/>
                <w:kern w:val="0"/>
                <w:highlight w:val="none"/>
                <w:lang w:val="en-US" w:eastAsia="zh-CN"/>
              </w:rPr>
              <w:t>14</w:t>
            </w:r>
          </w:p>
        </w:tc>
        <w:tc>
          <w:tcPr>
            <w:tcW w:w="2250" w:type="dxa"/>
            <w:vAlign w:val="center"/>
          </w:tcPr>
          <w:p>
            <w:pPr>
              <w:adjustRightInd/>
              <w:snapToGrid/>
              <w:spacing w:line="324" w:lineRule="auto"/>
              <w:rPr>
                <w:rFonts w:hint="eastAsia" w:ascii="宋体" w:hAnsi="宋体"/>
              </w:rPr>
            </w:pPr>
            <w:r>
              <w:rPr>
                <w:rFonts w:hint="eastAsia" w:ascii="宋体" w:hAnsi="宋体"/>
                <w:color w:val="auto"/>
                <w:highlight w:val="none"/>
              </w:rPr>
              <w:t>成交后的注意事项</w:t>
            </w:r>
          </w:p>
        </w:tc>
        <w:tc>
          <w:tcPr>
            <w:tcW w:w="6364" w:type="dxa"/>
            <w:vAlign w:val="center"/>
          </w:tcPr>
          <w:p>
            <w:pPr>
              <w:tabs>
                <w:tab w:val="left" w:pos="312"/>
              </w:tabs>
              <w:adjustRightInd/>
              <w:snapToGrid/>
              <w:spacing w:line="312" w:lineRule="auto"/>
              <w:rPr>
                <w:rFonts w:hint="eastAsia" w:ascii="宋体" w:hAnsi="宋体"/>
                <w:color w:val="auto"/>
                <w:highlight w:val="none"/>
              </w:rPr>
            </w:pPr>
            <w:r>
              <w:rPr>
                <w:rFonts w:hint="eastAsia" w:ascii="宋体" w:hAnsi="宋体"/>
                <w:color w:val="auto"/>
                <w:highlight w:val="none"/>
              </w:rPr>
              <w:t>（1）成交供应商在成交之后领取成交通知书之前，应向招标代理机构交纳招标代理服务费</w:t>
            </w:r>
          </w:p>
          <w:p>
            <w:pPr>
              <w:tabs>
                <w:tab w:val="left" w:pos="312"/>
              </w:tabs>
              <w:adjustRightInd/>
              <w:snapToGrid/>
              <w:spacing w:line="312" w:lineRule="auto"/>
              <w:rPr>
                <w:rFonts w:hint="eastAsia" w:ascii="宋体" w:hAnsi="宋体"/>
                <w:color w:val="auto"/>
                <w:highlight w:val="none"/>
              </w:rPr>
            </w:pPr>
            <w:r>
              <w:rPr>
                <w:rFonts w:hint="eastAsia" w:ascii="宋体" w:hAnsi="宋体"/>
                <w:color w:val="auto"/>
                <w:highlight w:val="none"/>
              </w:rPr>
              <w:t>（2）若成交供应商未在约定时间内支付招标代理服务费，从逾期之日起按日利率千分之一承担违约金。</w:t>
            </w:r>
          </w:p>
          <w:p>
            <w:pPr>
              <w:adjustRightInd/>
              <w:snapToGrid/>
              <w:spacing w:line="324" w:lineRule="auto"/>
              <w:rPr>
                <w:rFonts w:hint="eastAsia" w:ascii="宋体" w:hAnsi="宋体"/>
              </w:rPr>
            </w:pPr>
            <w:r>
              <w:rPr>
                <w:rFonts w:hint="eastAsia" w:ascii="宋体" w:hAnsi="宋体"/>
                <w:color w:val="auto"/>
                <w:highlight w:val="none"/>
              </w:rPr>
              <w:t>（3）若成交供应商未按上述规定办理，需承担招标代理机构为实现债权的所有费用（包括但不限于律师费、催讨车旅费、保全担保费等）。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pPr>
              <w:adjustRightInd/>
              <w:snapToGrid/>
              <w:spacing w:line="324" w:lineRule="auto"/>
              <w:jc w:val="center"/>
              <w:rPr>
                <w:rFonts w:hint="eastAsia" w:ascii="宋体" w:hAnsi="宋体"/>
                <w:kern w:val="0"/>
              </w:rPr>
            </w:pPr>
            <w:r>
              <w:rPr>
                <w:rFonts w:hint="eastAsia" w:ascii="宋体" w:hAnsi="宋体"/>
                <w:color w:val="auto"/>
                <w:kern w:val="0"/>
                <w:highlight w:val="none"/>
              </w:rPr>
              <w:t>1</w:t>
            </w:r>
            <w:r>
              <w:rPr>
                <w:rFonts w:hint="eastAsia" w:ascii="宋体" w:hAnsi="宋体"/>
                <w:color w:val="auto"/>
                <w:kern w:val="0"/>
                <w:highlight w:val="none"/>
                <w:lang w:val="en-US" w:eastAsia="zh-CN"/>
              </w:rPr>
              <w:t>5</w:t>
            </w:r>
          </w:p>
        </w:tc>
        <w:tc>
          <w:tcPr>
            <w:tcW w:w="2250" w:type="dxa"/>
            <w:vAlign w:val="center"/>
          </w:tcPr>
          <w:p>
            <w:pPr>
              <w:adjustRightInd/>
              <w:snapToGrid/>
              <w:spacing w:line="324" w:lineRule="auto"/>
              <w:ind w:left="0" w:leftChars="0" w:right="0" w:rightChars="0" w:firstLine="0" w:firstLineChars="0"/>
              <w:jc w:val="center"/>
              <w:rPr>
                <w:rFonts w:hint="eastAsia" w:ascii="宋体" w:hAnsi="宋体"/>
              </w:rPr>
            </w:pPr>
            <w:r>
              <w:rPr>
                <w:rFonts w:hint="eastAsia" w:ascii="宋体" w:hAnsi="宋体"/>
                <w:color w:val="auto"/>
                <w:highlight w:val="none"/>
              </w:rPr>
              <w:t>解释权</w:t>
            </w:r>
          </w:p>
        </w:tc>
        <w:tc>
          <w:tcPr>
            <w:tcW w:w="6364" w:type="dxa"/>
            <w:vAlign w:val="center"/>
          </w:tcPr>
          <w:p>
            <w:pPr>
              <w:adjustRightInd/>
              <w:snapToGrid/>
              <w:spacing w:line="324" w:lineRule="auto"/>
              <w:rPr>
                <w:rFonts w:hint="eastAsia" w:ascii="宋体" w:hAnsi="宋体"/>
              </w:rPr>
            </w:pPr>
            <w:r>
              <w:rPr>
                <w:rFonts w:hint="eastAsia" w:ascii="宋体" w:hAnsi="宋体"/>
                <w:color w:val="auto"/>
                <w:highlight w:val="none"/>
              </w:rPr>
              <w:t>本磋商文件解释权属于采购人和采购代理机构。</w:t>
            </w:r>
          </w:p>
        </w:tc>
      </w:tr>
    </w:tbl>
    <w:p>
      <w:pPr>
        <w:pStyle w:val="5"/>
        <w:rPr>
          <w:rFonts w:ascii="宋体" w:hAnsi="宋体" w:cs="宋体"/>
          <w:color w:val="auto"/>
        </w:rPr>
      </w:pPr>
      <w:r>
        <w:rPr>
          <w:rFonts w:hint="eastAsia" w:ascii="宋体" w:hAnsi="宋体" w:cs="宋体"/>
          <w:color w:val="auto"/>
          <w:sz w:val="21"/>
          <w:szCs w:val="21"/>
        </w:rPr>
        <w:br w:type="page"/>
      </w:r>
      <w:bookmarkStart w:id="49" w:name="_Toc26046"/>
      <w:bookmarkStart w:id="50" w:name="_Toc32316"/>
      <w:bookmarkStart w:id="51" w:name="_Toc32638"/>
      <w:bookmarkStart w:id="52" w:name="_Toc528579039"/>
      <w:bookmarkStart w:id="53" w:name="_Toc28913"/>
      <w:r>
        <w:rPr>
          <w:rFonts w:hint="eastAsia" w:ascii="宋体" w:hAnsi="宋体" w:cs="宋体"/>
          <w:color w:val="auto"/>
        </w:rPr>
        <w:t>第一节  总  则</w:t>
      </w:r>
      <w:bookmarkEnd w:id="49"/>
      <w:bookmarkEnd w:id="50"/>
      <w:bookmarkEnd w:id="51"/>
      <w:bookmarkEnd w:id="52"/>
      <w:bookmarkEnd w:id="53"/>
    </w:p>
    <w:p>
      <w:pPr>
        <w:pStyle w:val="6"/>
        <w:rPr>
          <w:rFonts w:ascii="宋体" w:hAnsi="宋体" w:cs="宋体"/>
        </w:rPr>
      </w:pPr>
      <w:bookmarkStart w:id="54" w:name="_Toc1539"/>
      <w:r>
        <w:rPr>
          <w:rFonts w:hint="eastAsia" w:ascii="宋体" w:hAnsi="宋体" w:cs="宋体"/>
        </w:rPr>
        <w:t>一、适用范围</w:t>
      </w:r>
      <w:bookmarkEnd w:id="54"/>
    </w:p>
    <w:p>
      <w:pPr>
        <w:ind w:firstLine="456" w:firstLineChars="200"/>
        <w:jc w:val="left"/>
        <w:rPr>
          <w:rFonts w:ascii="宋体" w:hAnsi="宋体"/>
          <w:spacing w:val="-6"/>
        </w:rPr>
      </w:pPr>
      <w:r>
        <w:rPr>
          <w:rFonts w:hint="eastAsia" w:ascii="宋体" w:hAnsi="宋体"/>
          <w:spacing w:val="-6"/>
        </w:rPr>
        <w:t>本磋商文件适用于该项目的磋商、评审、成交、验收、合同履约、付款等（法律、法规另有规定的，从其规定）。</w:t>
      </w:r>
    </w:p>
    <w:p>
      <w:pPr>
        <w:pStyle w:val="6"/>
        <w:rPr>
          <w:rFonts w:ascii="宋体" w:hAnsi="宋体" w:cs="宋体"/>
        </w:rPr>
      </w:pPr>
      <w:bookmarkStart w:id="55" w:name="_Toc31159"/>
      <w:r>
        <w:rPr>
          <w:rFonts w:hint="eastAsia" w:ascii="宋体" w:hAnsi="宋体" w:cs="宋体"/>
        </w:rPr>
        <w:t>二、定义</w:t>
      </w:r>
      <w:bookmarkEnd w:id="55"/>
    </w:p>
    <w:p>
      <w:pPr>
        <w:ind w:firstLine="456" w:firstLineChars="200"/>
        <w:jc w:val="left"/>
        <w:rPr>
          <w:rFonts w:ascii="宋体" w:hAnsi="宋体"/>
          <w:spacing w:val="-6"/>
        </w:rPr>
      </w:pPr>
      <w:r>
        <w:rPr>
          <w:rFonts w:hint="eastAsia" w:ascii="宋体" w:hAnsi="宋体"/>
          <w:spacing w:val="-6"/>
        </w:rPr>
        <w:t>1.“采购人”系指浙江大学</w:t>
      </w:r>
    </w:p>
    <w:p>
      <w:pPr>
        <w:ind w:firstLine="456" w:firstLineChars="200"/>
        <w:jc w:val="left"/>
        <w:rPr>
          <w:rFonts w:ascii="宋体" w:hAnsi="宋体"/>
          <w:spacing w:val="-6"/>
        </w:rPr>
      </w:pPr>
      <w:r>
        <w:rPr>
          <w:rFonts w:hint="eastAsia" w:ascii="宋体" w:hAnsi="宋体"/>
          <w:spacing w:val="-6"/>
        </w:rPr>
        <w:t>2．“采购代理机构”系指组织本次竞争性磋商的浙江五石工程咨询有限公司。</w:t>
      </w:r>
    </w:p>
    <w:p>
      <w:pPr>
        <w:ind w:firstLine="456" w:firstLineChars="200"/>
        <w:jc w:val="left"/>
        <w:rPr>
          <w:rFonts w:ascii="宋体" w:hAnsi="宋体"/>
          <w:spacing w:val="-6"/>
        </w:rPr>
      </w:pPr>
      <w:r>
        <w:rPr>
          <w:rFonts w:hint="eastAsia" w:ascii="宋体" w:hAnsi="宋体"/>
          <w:spacing w:val="-6"/>
        </w:rPr>
        <w:t>3．“响应供应商”系指向采购代理机构提交响应文件的单位或个人。</w:t>
      </w:r>
    </w:p>
    <w:p>
      <w:pPr>
        <w:ind w:firstLine="456" w:firstLineChars="200"/>
        <w:jc w:val="left"/>
        <w:rPr>
          <w:rFonts w:ascii="宋体" w:hAnsi="宋体"/>
          <w:spacing w:val="-6"/>
        </w:rPr>
      </w:pPr>
      <w:r>
        <w:rPr>
          <w:rFonts w:hint="eastAsia" w:ascii="宋体" w:hAnsi="宋体"/>
          <w:spacing w:val="-6"/>
        </w:rPr>
        <w:t>4．“产品”系指磋商响应供应商按磋商文件规定，须向采购人提供的一切设备、保险、税金、备品备件、工具、手册及其它有关技术资料和材料。</w:t>
      </w:r>
    </w:p>
    <w:p>
      <w:pPr>
        <w:ind w:firstLine="456" w:firstLineChars="200"/>
        <w:jc w:val="left"/>
        <w:rPr>
          <w:rFonts w:ascii="宋体" w:hAnsi="宋体"/>
          <w:spacing w:val="-6"/>
        </w:rPr>
      </w:pPr>
      <w:r>
        <w:rPr>
          <w:rFonts w:hint="eastAsia" w:ascii="宋体" w:hAnsi="宋体"/>
          <w:spacing w:val="-6"/>
        </w:rPr>
        <w:t>5．“服务”系指磋商文件规定响应供应商须承担的安装、调试、技术协助、校准、培训、技术指导以及其他类似的义务。</w:t>
      </w:r>
    </w:p>
    <w:p>
      <w:pPr>
        <w:ind w:firstLine="456" w:firstLineChars="200"/>
        <w:jc w:val="left"/>
        <w:rPr>
          <w:rFonts w:ascii="宋体" w:hAnsi="宋体"/>
          <w:spacing w:val="-6"/>
        </w:rPr>
      </w:pPr>
      <w:r>
        <w:rPr>
          <w:rFonts w:hint="eastAsia" w:ascii="宋体" w:hAnsi="宋体"/>
          <w:spacing w:val="-6"/>
        </w:rPr>
        <w:t>6．“项目”系指磋商响应供应商按磋商文件规定向采购人提供的产品和服务。</w:t>
      </w:r>
    </w:p>
    <w:p>
      <w:pPr>
        <w:ind w:firstLine="456" w:firstLineChars="200"/>
        <w:jc w:val="left"/>
        <w:rPr>
          <w:rFonts w:ascii="宋体" w:hAnsi="宋体"/>
          <w:spacing w:val="-6"/>
        </w:rPr>
      </w:pPr>
      <w:r>
        <w:rPr>
          <w:rFonts w:hint="eastAsia" w:ascii="宋体" w:hAnsi="宋体"/>
          <w:spacing w:val="-6"/>
        </w:rPr>
        <w:t>7．“书面形式”包括信函、传真、电子文档等。</w:t>
      </w:r>
    </w:p>
    <w:p>
      <w:pPr>
        <w:ind w:firstLine="456" w:firstLineChars="200"/>
        <w:jc w:val="left"/>
        <w:rPr>
          <w:rFonts w:ascii="宋体" w:hAnsi="宋体"/>
          <w:spacing w:val="-6"/>
        </w:rPr>
      </w:pPr>
      <w:r>
        <w:rPr>
          <w:rFonts w:hint="eastAsia" w:ascii="宋体" w:hAnsi="宋体"/>
          <w:spacing w:val="-6"/>
        </w:rPr>
        <w:t>8.“</w:t>
      </w:r>
      <w:r>
        <w:rPr>
          <w:rFonts w:hint="eastAsia" w:ascii="宋体" w:hAnsi="宋体"/>
          <w:szCs w:val="21"/>
        </w:rPr>
        <w:t>▲</w:t>
      </w:r>
      <w:r>
        <w:rPr>
          <w:rFonts w:hint="eastAsia" w:ascii="宋体" w:hAnsi="宋体"/>
          <w:spacing w:val="-6"/>
        </w:rPr>
        <w:t>”系指实质性要求条款，磋商响应供应商必须做出实质性响应。“★”系指重要条款。</w:t>
      </w:r>
    </w:p>
    <w:p>
      <w:pPr>
        <w:pStyle w:val="6"/>
        <w:rPr>
          <w:rFonts w:ascii="宋体" w:hAnsi="宋体" w:cs="宋体"/>
        </w:rPr>
      </w:pPr>
      <w:bookmarkStart w:id="56" w:name="_Toc19012"/>
      <w:r>
        <w:rPr>
          <w:rFonts w:hint="eastAsia" w:ascii="宋体" w:hAnsi="宋体" w:cs="宋体"/>
        </w:rPr>
        <w:t>三、采购方式</w:t>
      </w:r>
      <w:bookmarkEnd w:id="56"/>
    </w:p>
    <w:p>
      <w:pPr>
        <w:ind w:firstLine="456" w:firstLineChars="200"/>
        <w:jc w:val="left"/>
        <w:rPr>
          <w:rFonts w:ascii="宋体" w:hAnsi="宋体"/>
          <w:spacing w:val="-6"/>
        </w:rPr>
      </w:pPr>
      <w:r>
        <w:rPr>
          <w:rFonts w:hint="eastAsia" w:ascii="宋体" w:hAnsi="宋体"/>
          <w:spacing w:val="-6"/>
        </w:rPr>
        <w:t>本次采购采用竞争性磋商方式进行。</w:t>
      </w:r>
    </w:p>
    <w:p>
      <w:pPr>
        <w:pStyle w:val="6"/>
        <w:numPr>
          <w:ilvl w:val="0"/>
          <w:numId w:val="0"/>
        </w:numPr>
        <w:rPr>
          <w:rFonts w:hint="eastAsia" w:ascii="宋体" w:hAnsi="宋体" w:cs="宋体"/>
          <w:color w:val="auto"/>
          <w:highlight w:val="none"/>
          <w:lang w:eastAsia="zh-CN"/>
        </w:rPr>
      </w:pPr>
      <w:r>
        <w:rPr>
          <w:rFonts w:hint="eastAsia" w:ascii="宋体" w:hAnsi="宋体" w:cs="宋体"/>
          <w:color w:val="auto"/>
          <w:highlight w:val="none"/>
          <w:lang w:eastAsia="zh-CN"/>
        </w:rPr>
        <w:t>四、磋商保证金</w:t>
      </w:r>
    </w:p>
    <w:p>
      <w:pPr>
        <w:spacing w:line="360" w:lineRule="auto"/>
        <w:ind w:firstLine="228" w:firstLineChars="100"/>
        <w:jc w:val="left"/>
        <w:rPr>
          <w:rFonts w:ascii="宋体" w:hAnsi="宋体"/>
          <w:color w:val="auto"/>
          <w:spacing w:val="-6"/>
          <w:highlight w:val="none"/>
        </w:rPr>
      </w:pPr>
      <w:r>
        <w:rPr>
          <w:rFonts w:hint="eastAsia" w:ascii="宋体" w:hAnsi="宋体"/>
          <w:color w:val="auto"/>
          <w:spacing w:val="-6"/>
          <w:highlight w:val="none"/>
        </w:rPr>
        <w:t>★</w:t>
      </w:r>
      <w:r>
        <w:rPr>
          <w:rFonts w:hint="eastAsia" w:ascii="宋体" w:hAnsi="宋体"/>
          <w:color w:val="auto"/>
          <w:highlight w:val="none"/>
        </w:rPr>
        <w:t>1.</w:t>
      </w:r>
      <w:r>
        <w:rPr>
          <w:rFonts w:hint="eastAsia" w:ascii="宋体" w:hAnsi="宋体"/>
          <w:color w:val="auto"/>
          <w:spacing w:val="-6"/>
          <w:highlight w:val="none"/>
        </w:rPr>
        <w:t>磋商响应供应商须按时提交磋商保证金。否则，其磋商响应将被拒绝。</w:t>
      </w:r>
    </w:p>
    <w:p>
      <w:pPr>
        <w:spacing w:line="360" w:lineRule="auto"/>
        <w:ind w:firstLine="480" w:firstLineChars="200"/>
        <w:jc w:val="left"/>
        <w:rPr>
          <w:rFonts w:ascii="宋体" w:hAnsi="宋体"/>
          <w:b/>
          <w:color w:val="auto"/>
          <w:spacing w:val="-6"/>
          <w:kern w:val="0"/>
          <w:highlight w:val="none"/>
        </w:rPr>
      </w:pPr>
      <w:r>
        <w:rPr>
          <w:rFonts w:hint="eastAsia" w:ascii="宋体" w:hAnsi="宋体"/>
          <w:color w:val="auto"/>
          <w:highlight w:val="none"/>
        </w:rPr>
        <w:t>2.</w:t>
      </w:r>
      <w:r>
        <w:rPr>
          <w:rFonts w:hint="eastAsia" w:ascii="宋体" w:hAnsi="宋体"/>
          <w:color w:val="auto"/>
          <w:spacing w:val="-6"/>
          <w:highlight w:val="none"/>
        </w:rPr>
        <w:t>保证金支付形式：</w:t>
      </w:r>
      <w:r>
        <w:rPr>
          <w:rFonts w:hint="eastAsia" w:ascii="宋体" w:hAnsi="宋体"/>
          <w:b/>
          <w:color w:val="auto"/>
          <w:spacing w:val="-6"/>
          <w:kern w:val="0"/>
          <w:highlight w:val="none"/>
        </w:rPr>
        <w:t>转账、银行汇款等非现金方式。</w:t>
      </w:r>
    </w:p>
    <w:p>
      <w:pPr>
        <w:spacing w:line="360" w:lineRule="auto"/>
        <w:ind w:firstLine="480" w:firstLineChars="200"/>
        <w:jc w:val="left"/>
        <w:rPr>
          <w:rFonts w:ascii="宋体" w:hAnsi="宋体"/>
          <w:color w:val="auto"/>
          <w:spacing w:val="-6"/>
          <w:highlight w:val="none"/>
        </w:rPr>
      </w:pPr>
      <w:r>
        <w:rPr>
          <w:rFonts w:hint="eastAsia" w:ascii="宋体" w:hAnsi="宋体"/>
          <w:color w:val="auto"/>
          <w:highlight w:val="none"/>
        </w:rPr>
        <w:t>3.</w:t>
      </w:r>
      <w:r>
        <w:rPr>
          <w:rFonts w:hint="eastAsia" w:ascii="宋体" w:hAnsi="宋体" w:eastAsia="宋体" w:cs="宋体"/>
          <w:color w:val="auto"/>
          <w:highlight w:val="none"/>
        </w:rPr>
        <w:t>未</w:t>
      </w:r>
      <w:r>
        <w:rPr>
          <w:rFonts w:hint="eastAsia" w:ascii="宋体" w:hAnsi="宋体" w:eastAsia="宋体" w:cs="宋体"/>
          <w:color w:val="auto"/>
          <w:highlight w:val="none"/>
          <w:lang w:val="en-US" w:eastAsia="zh-CN"/>
        </w:rPr>
        <w:t>成交响应供应商</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保证金将在</w:t>
      </w:r>
      <w:r>
        <w:rPr>
          <w:rFonts w:hint="eastAsia" w:ascii="宋体" w:hAnsi="宋体" w:eastAsia="宋体" w:cs="宋体"/>
          <w:color w:val="auto"/>
          <w:highlight w:val="none"/>
          <w:lang w:val="en-US" w:eastAsia="zh-CN"/>
        </w:rPr>
        <w:t>成交结果</w:t>
      </w:r>
      <w:r>
        <w:rPr>
          <w:rFonts w:hint="eastAsia" w:ascii="宋体" w:hAnsi="宋体" w:eastAsia="宋体" w:cs="宋体"/>
          <w:color w:val="auto"/>
          <w:highlight w:val="none"/>
        </w:rPr>
        <w:t>公告发出后5个工作日凭缴纳凭证复印件原额退还（因</w:t>
      </w:r>
      <w:r>
        <w:rPr>
          <w:rFonts w:hint="eastAsia" w:ascii="宋体" w:hAnsi="宋体" w:eastAsia="宋体" w:cs="宋体"/>
          <w:color w:val="auto"/>
          <w:highlight w:val="none"/>
          <w:lang w:val="en-US" w:eastAsia="zh-CN"/>
        </w:rPr>
        <w:t>响应供应商</w:t>
      </w:r>
      <w:r>
        <w:rPr>
          <w:rFonts w:hint="eastAsia" w:ascii="宋体" w:hAnsi="宋体" w:eastAsia="宋体" w:cs="宋体"/>
          <w:color w:val="auto"/>
          <w:highlight w:val="none"/>
        </w:rPr>
        <w:t>自身原因导致无法及时退还的除外）</w:t>
      </w:r>
      <w:r>
        <w:rPr>
          <w:rFonts w:hint="eastAsia" w:ascii="宋体" w:hAnsi="宋体"/>
          <w:color w:val="auto"/>
          <w:spacing w:val="-6"/>
          <w:highlight w:val="none"/>
        </w:rPr>
        <w:t>。</w:t>
      </w:r>
    </w:p>
    <w:p>
      <w:pPr>
        <w:spacing w:line="360" w:lineRule="auto"/>
        <w:ind w:firstLine="480" w:firstLineChars="200"/>
        <w:jc w:val="left"/>
        <w:rPr>
          <w:rFonts w:ascii="宋体" w:hAnsi="宋体"/>
          <w:color w:val="auto"/>
          <w:spacing w:val="-6"/>
          <w:highlight w:val="none"/>
        </w:rPr>
      </w:pPr>
      <w:r>
        <w:rPr>
          <w:rFonts w:hint="eastAsia" w:ascii="宋体" w:hAnsi="宋体"/>
          <w:color w:val="auto"/>
          <w:highlight w:val="none"/>
        </w:rPr>
        <w:t>4.</w:t>
      </w:r>
      <w:r>
        <w:rPr>
          <w:rFonts w:hint="eastAsia" w:ascii="宋体" w:hAnsi="宋体" w:eastAsia="宋体" w:cs="宋体"/>
          <w:color w:val="auto"/>
          <w:highlight w:val="none"/>
          <w:lang w:val="en-US" w:eastAsia="zh-CN"/>
        </w:rPr>
        <w:t>成交供应商</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保证金在与</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rPr>
        <w:t>签订了合同并付清</w:t>
      </w:r>
      <w:r>
        <w:rPr>
          <w:rFonts w:hint="eastAsia" w:ascii="宋体" w:hAnsi="宋体"/>
          <w:color w:val="auto"/>
          <w:highlight w:val="none"/>
        </w:rPr>
        <w:t>招标代理服务</w:t>
      </w:r>
      <w:r>
        <w:rPr>
          <w:rFonts w:hint="eastAsia" w:ascii="宋体" w:hAnsi="宋体" w:eastAsia="宋体" w:cs="宋体"/>
          <w:color w:val="auto"/>
          <w:highlight w:val="none"/>
        </w:rPr>
        <w:t>后，凭合同复印件和缴纳凭证复印件退还（因</w:t>
      </w:r>
      <w:r>
        <w:rPr>
          <w:rFonts w:hint="eastAsia" w:ascii="宋体" w:hAnsi="宋体" w:eastAsia="宋体" w:cs="宋体"/>
          <w:color w:val="auto"/>
          <w:highlight w:val="none"/>
          <w:lang w:val="en-US" w:eastAsia="zh-CN"/>
        </w:rPr>
        <w:t>成交供应商</w:t>
      </w:r>
      <w:r>
        <w:rPr>
          <w:rFonts w:hint="eastAsia" w:ascii="宋体" w:hAnsi="宋体" w:eastAsia="宋体" w:cs="宋体"/>
          <w:color w:val="auto"/>
          <w:highlight w:val="none"/>
        </w:rPr>
        <w:t>自身原因导致无法及时退还的除外）</w:t>
      </w:r>
      <w:r>
        <w:rPr>
          <w:rFonts w:hint="eastAsia" w:ascii="宋体" w:hAnsi="宋体"/>
          <w:color w:val="auto"/>
          <w:spacing w:val="-6"/>
          <w:highlight w:val="none"/>
        </w:rPr>
        <w:t>。</w:t>
      </w:r>
    </w:p>
    <w:p>
      <w:pPr>
        <w:spacing w:line="360" w:lineRule="auto"/>
        <w:ind w:firstLine="480" w:firstLineChars="200"/>
        <w:jc w:val="left"/>
        <w:rPr>
          <w:rFonts w:ascii="宋体" w:hAnsi="宋体"/>
          <w:color w:val="auto"/>
          <w:spacing w:val="-6"/>
          <w:highlight w:val="none"/>
        </w:rPr>
      </w:pPr>
      <w:r>
        <w:rPr>
          <w:rFonts w:hint="eastAsia" w:ascii="宋体" w:hAnsi="宋体"/>
          <w:color w:val="auto"/>
          <w:highlight w:val="none"/>
        </w:rPr>
        <w:t>5.</w:t>
      </w:r>
      <w:r>
        <w:rPr>
          <w:rFonts w:hint="eastAsia" w:ascii="宋体" w:hAnsi="宋体"/>
          <w:color w:val="auto"/>
          <w:spacing w:val="-6"/>
          <w:highlight w:val="none"/>
        </w:rPr>
        <w:t>保证金不计息。</w:t>
      </w:r>
    </w:p>
    <w:p>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6.发生下列情况之一，保证金将作为违约金全部不予退还。</w:t>
      </w:r>
    </w:p>
    <w:p>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ascii="宋体" w:hAnsi="宋体"/>
          <w:color w:val="auto"/>
          <w:spacing w:val="-6"/>
          <w:highlight w:val="none"/>
        </w:rPr>
      </w:pPr>
      <w:r>
        <w:rPr>
          <w:rFonts w:hint="eastAsia" w:ascii="宋体" w:hAnsi="宋体"/>
          <w:color w:val="auto"/>
          <w:spacing w:val="-6"/>
          <w:highlight w:val="none"/>
        </w:rPr>
        <w:t>(1)供应商在提交响应文件截止时间后撤回响应文件的；</w:t>
      </w:r>
    </w:p>
    <w:p>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ascii="宋体" w:hAnsi="宋体"/>
          <w:color w:val="auto"/>
          <w:spacing w:val="-6"/>
          <w:highlight w:val="none"/>
        </w:rPr>
      </w:pPr>
      <w:r>
        <w:rPr>
          <w:rFonts w:hint="eastAsia" w:ascii="宋体" w:hAnsi="宋体"/>
          <w:color w:val="auto"/>
          <w:spacing w:val="-6"/>
          <w:highlight w:val="none"/>
        </w:rPr>
        <w:t>(2)供应商在响应文件中提供虚假材料的；</w:t>
      </w:r>
    </w:p>
    <w:p>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ascii="宋体" w:hAnsi="宋体"/>
          <w:color w:val="auto"/>
          <w:spacing w:val="-6"/>
          <w:highlight w:val="none"/>
        </w:rPr>
      </w:pPr>
      <w:r>
        <w:rPr>
          <w:rFonts w:hint="eastAsia" w:ascii="宋体" w:hAnsi="宋体"/>
          <w:color w:val="auto"/>
          <w:spacing w:val="-6"/>
          <w:highlight w:val="none"/>
        </w:rPr>
        <w:t>(3)除因不可抗力或磋商文件认可的情形以外，成交供应商不与采购人签订合同的；</w:t>
      </w:r>
    </w:p>
    <w:p>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ascii="宋体" w:hAnsi="宋体"/>
          <w:color w:val="auto"/>
          <w:spacing w:val="-6"/>
          <w:highlight w:val="none"/>
        </w:rPr>
      </w:pPr>
      <w:r>
        <w:rPr>
          <w:rFonts w:hint="eastAsia" w:ascii="宋体" w:hAnsi="宋体"/>
          <w:color w:val="auto"/>
          <w:spacing w:val="-6"/>
          <w:highlight w:val="none"/>
        </w:rPr>
        <w:t>(4)供应商与采购人、其他供应商或者采购代理机构恶意串通的；</w:t>
      </w:r>
    </w:p>
    <w:p>
      <w:pPr>
        <w:keepNext w:val="0"/>
        <w:keepLines w:val="0"/>
        <w:adjustRightInd/>
        <w:snapToGrid/>
        <w:ind w:firstLine="456" w:firstLineChars="200"/>
        <w:rPr>
          <w:rFonts w:hint="eastAsia" w:ascii="宋体" w:hAnsi="宋体" w:cs="宋体"/>
          <w:color w:val="auto"/>
          <w:highlight w:val="none"/>
        </w:rPr>
      </w:pPr>
      <w:r>
        <w:rPr>
          <w:rFonts w:hint="eastAsia" w:ascii="宋体" w:hAnsi="宋体"/>
          <w:color w:val="auto"/>
          <w:spacing w:val="-6"/>
          <w:highlight w:val="none"/>
        </w:rPr>
        <w:t>(5)磋商文件规定的其他情形。</w:t>
      </w:r>
    </w:p>
    <w:p>
      <w:pPr>
        <w:pStyle w:val="6"/>
        <w:rPr>
          <w:rFonts w:hint="eastAsia" w:ascii="宋体" w:hAnsi="宋体" w:cs="宋体"/>
          <w:color w:val="auto"/>
          <w:highlight w:val="none"/>
        </w:rPr>
      </w:pPr>
      <w:r>
        <w:rPr>
          <w:rFonts w:hint="eastAsia" w:ascii="宋体" w:hAnsi="宋体" w:cs="宋体"/>
          <w:color w:val="auto"/>
          <w:highlight w:val="none"/>
          <w:lang w:eastAsia="zh-CN"/>
        </w:rPr>
        <w:t>五</w:t>
      </w:r>
      <w:r>
        <w:rPr>
          <w:rFonts w:hint="eastAsia" w:ascii="宋体" w:hAnsi="宋体" w:cs="宋体"/>
          <w:color w:val="auto"/>
          <w:highlight w:val="none"/>
        </w:rPr>
        <w:t>、响应费用</w:t>
      </w:r>
    </w:p>
    <w:p>
      <w:pPr>
        <w:ind w:firstLine="480"/>
        <w:rPr>
          <w:rFonts w:hint="eastAsia" w:ascii="宋体" w:hAnsi="宋体"/>
          <w:color w:val="auto"/>
          <w:highlight w:val="none"/>
        </w:rPr>
      </w:pPr>
      <w:r>
        <w:rPr>
          <w:rFonts w:hint="eastAsia" w:ascii="宋体" w:hAnsi="宋体"/>
          <w:color w:val="auto"/>
          <w:highlight w:val="none"/>
        </w:rPr>
        <w:t>1.无论磋商结果如何，供应商行承担所有与参加磋商有关的全部费用。</w:t>
      </w:r>
    </w:p>
    <w:p>
      <w:pPr>
        <w:ind w:firstLine="480"/>
        <w:rPr>
          <w:rFonts w:hint="eastAsia" w:ascii="宋体" w:hAnsi="宋体"/>
          <w:color w:val="auto"/>
          <w:highlight w:val="none"/>
        </w:rPr>
      </w:pPr>
      <w:r>
        <w:rPr>
          <w:rFonts w:hint="eastAsia" w:ascii="宋体" w:hAnsi="宋体"/>
          <w:color w:val="auto"/>
          <w:highlight w:val="none"/>
        </w:rPr>
        <w:t>2.成交供应商在领取成交通知书前，应向采购代理机构交纳招标代理服务费，收费标准见“第三章磋商响应供应商须知前附表-11”。</w:t>
      </w:r>
    </w:p>
    <w:p>
      <w:pPr>
        <w:pStyle w:val="6"/>
        <w:rPr>
          <w:rFonts w:hint="eastAsia" w:ascii="宋体" w:hAnsi="宋体" w:cs="宋体"/>
          <w:color w:val="auto"/>
          <w:highlight w:val="none"/>
        </w:rPr>
      </w:pPr>
      <w:r>
        <w:rPr>
          <w:rFonts w:hint="eastAsia" w:ascii="宋体" w:hAnsi="宋体" w:cs="宋体"/>
          <w:color w:val="auto"/>
          <w:highlight w:val="none"/>
          <w:lang w:eastAsia="zh-CN"/>
        </w:rPr>
        <w:t>六</w:t>
      </w:r>
      <w:r>
        <w:rPr>
          <w:rFonts w:hint="eastAsia" w:ascii="宋体" w:hAnsi="宋体" w:cs="宋体"/>
          <w:color w:val="auto"/>
          <w:highlight w:val="none"/>
        </w:rPr>
        <w:t>、采购项目需要落实的政府采购政策</w:t>
      </w:r>
    </w:p>
    <w:p>
      <w:pPr>
        <w:ind w:firstLine="480" w:firstLineChars="200"/>
        <w:rPr>
          <w:rFonts w:hint="eastAsia" w:ascii="宋体" w:hAnsi="宋体"/>
          <w:color w:val="auto"/>
          <w:highlight w:val="none"/>
        </w:rPr>
      </w:pPr>
      <w:r>
        <w:rPr>
          <w:rFonts w:hint="eastAsia" w:ascii="宋体" w:hAnsi="宋体"/>
          <w:color w:val="auto"/>
          <w:highlight w:val="none"/>
        </w:rPr>
        <w:t>1.本项目原则上采购本国生产的货物、工程和服务，不允许采购进口产品。除非采购人采购进口产品，且在采购需求中明确规定可以采购进口产品（但如果因信息不对称等原因，仍有满足需求的国内产品要求参与采购竞争的，采购人、采购机构不会对其加以限制，仍将按照公平竞争原则实施采购）。</w:t>
      </w:r>
    </w:p>
    <w:p>
      <w:pPr>
        <w:ind w:firstLine="480" w:firstLineChars="200"/>
        <w:rPr>
          <w:rFonts w:hint="eastAsia" w:ascii="宋体" w:hAnsi="宋体"/>
          <w:color w:val="auto"/>
          <w:highlight w:val="none"/>
        </w:rPr>
      </w:pPr>
      <w:r>
        <w:rPr>
          <w:rFonts w:hint="eastAsia" w:ascii="宋体" w:hAnsi="宋体"/>
          <w:color w:val="auto"/>
          <w:highlight w:val="none"/>
        </w:rPr>
        <w:t>2.</w:t>
      </w:r>
      <w:r>
        <w:rPr>
          <w:rFonts w:hint="eastAsia" w:ascii="宋体" w:hAnsi="宋体"/>
          <w:bCs/>
          <w:color w:val="auto"/>
          <w:highlight w:val="none"/>
        </w:rPr>
        <w:t>小型、微型</w:t>
      </w:r>
      <w:r>
        <w:rPr>
          <w:rFonts w:hint="eastAsia" w:ascii="宋体" w:hAnsi="宋体"/>
          <w:color w:val="auto"/>
          <w:highlight w:val="none"/>
        </w:rPr>
        <w:t>企业价格扣除。</w:t>
      </w:r>
    </w:p>
    <w:p>
      <w:pPr>
        <w:ind w:firstLine="480" w:firstLineChars="200"/>
        <w:rPr>
          <w:rFonts w:hint="eastAsia" w:ascii="宋体" w:hAnsi="宋体"/>
          <w:bCs/>
          <w:color w:val="auto"/>
          <w:highlight w:val="none"/>
        </w:rPr>
      </w:pPr>
      <w:r>
        <w:rPr>
          <w:rFonts w:hint="eastAsia" w:ascii="宋体" w:hAnsi="宋体"/>
          <w:color w:val="auto"/>
          <w:highlight w:val="none"/>
        </w:rPr>
        <w:t>（1）</w:t>
      </w:r>
      <w:r>
        <w:rPr>
          <w:rFonts w:hint="eastAsia" w:ascii="宋体" w:hAnsi="宋体"/>
          <w:bCs/>
          <w:color w:val="auto"/>
          <w:highlight w:val="none"/>
        </w:rPr>
        <w:t>小型、微型企业应当同时符合以下条件：</w:t>
      </w:r>
    </w:p>
    <w:p>
      <w:pPr>
        <w:ind w:firstLine="720" w:firstLineChars="300"/>
        <w:rPr>
          <w:rFonts w:hint="eastAsia" w:ascii="宋体" w:hAnsi="宋体"/>
          <w:bCs/>
          <w:color w:val="auto"/>
          <w:highlight w:val="none"/>
        </w:rPr>
      </w:pPr>
      <w:r>
        <w:rPr>
          <w:rFonts w:hint="eastAsia" w:ascii="宋体" w:hAnsi="宋体"/>
          <w:bCs/>
          <w:color w:val="auto"/>
          <w:highlight w:val="none"/>
        </w:rPr>
        <w:t>1）符合中小企业划分标准；</w:t>
      </w:r>
    </w:p>
    <w:p>
      <w:pPr>
        <w:ind w:firstLine="720" w:firstLineChars="300"/>
        <w:rPr>
          <w:rFonts w:hint="eastAsia" w:ascii="宋体" w:hAnsi="宋体"/>
          <w:bCs/>
          <w:color w:val="auto"/>
          <w:highlight w:val="none"/>
        </w:rPr>
      </w:pPr>
      <w:r>
        <w:rPr>
          <w:rFonts w:hint="eastAsia" w:ascii="宋体" w:hAnsi="宋体"/>
          <w:bCs/>
          <w:color w:val="auto"/>
          <w:highlight w:val="none"/>
        </w:rPr>
        <w:t>2）</w:t>
      </w:r>
      <w:r>
        <w:rPr>
          <w:rFonts w:hint="eastAsia" w:ascii="宋体" w:hAnsi="宋体"/>
          <w:b/>
          <w:bCs/>
          <w:color w:val="auto"/>
          <w:highlight w:val="none"/>
        </w:rPr>
        <w:t>提供本企业制造的货物、承担的工程或者服务，或者提供其他小型、微型企业制造的货物。本项所称货物不包括使用大型企业注册商标的货物。小型、微型企业提供中型企业制造的货物的，视同为中型企业。</w:t>
      </w:r>
    </w:p>
    <w:p>
      <w:pPr>
        <w:ind w:firstLine="480" w:firstLineChars="200"/>
        <w:rPr>
          <w:rFonts w:hint="eastAsia" w:ascii="宋体" w:hAnsi="宋体"/>
          <w:color w:val="auto"/>
          <w:highlight w:val="none"/>
        </w:rPr>
      </w:pPr>
      <w:r>
        <w:rPr>
          <w:rFonts w:hint="eastAsia" w:ascii="宋体" w:hAnsi="宋体"/>
          <w:color w:val="auto"/>
          <w:highlight w:val="none"/>
        </w:rPr>
        <w:t>（2）小型、微型企业应按照竞争性磋商文件格式要求提供《中小企业声明函》--格式附后。</w:t>
      </w:r>
    </w:p>
    <w:p>
      <w:pPr>
        <w:ind w:firstLine="480" w:firstLineChars="200"/>
        <w:rPr>
          <w:rFonts w:hint="eastAsia" w:ascii="宋体" w:hAnsi="宋体"/>
          <w:color w:val="auto"/>
          <w:highlight w:val="none"/>
        </w:rPr>
      </w:pPr>
      <w:r>
        <w:rPr>
          <w:rFonts w:hint="eastAsia" w:ascii="宋体" w:hAnsi="宋体"/>
          <w:color w:val="auto"/>
          <w:highlight w:val="none"/>
        </w:rPr>
        <w:t>（3）对于非专门面向此类企业的项目，对小型和微型企业产品的响应价格给予6 %的扣除，用扣除后的价格参与评审。</w:t>
      </w:r>
    </w:p>
    <w:p>
      <w:pPr>
        <w:ind w:firstLine="480" w:firstLineChars="200"/>
        <w:rPr>
          <w:rFonts w:hint="eastAsia" w:ascii="宋体" w:hAnsi="宋体"/>
          <w:color w:val="auto"/>
          <w:highlight w:val="none"/>
        </w:rPr>
      </w:pPr>
      <w:r>
        <w:rPr>
          <w:rFonts w:hint="eastAsia" w:ascii="宋体" w:hAnsi="宋体"/>
          <w:color w:val="auto"/>
          <w:highlight w:val="none"/>
        </w:rPr>
        <w:t>（4）大中型企业和其他自然人、法人或者其他组织与小型、微型企业与组成联合体共同参加非专门面向中小企业的政府采购活动。联合协议中约定，小型、微型企业的协议合同金额占到联合体协议合同总金额30%以上的，可给予联合体2%的响应价格扣除。</w:t>
      </w:r>
    </w:p>
    <w:p>
      <w:pPr>
        <w:ind w:firstLine="480" w:firstLineChars="200"/>
        <w:rPr>
          <w:rFonts w:hint="eastAsia" w:ascii="宋体" w:hAnsi="宋体"/>
          <w:color w:val="auto"/>
          <w:highlight w:val="none"/>
        </w:rPr>
      </w:pPr>
      <w:r>
        <w:rPr>
          <w:rFonts w:hint="eastAsia" w:ascii="宋体" w:hAnsi="宋体"/>
          <w:color w:val="auto"/>
          <w:highlight w:val="none"/>
        </w:rPr>
        <w:t>联合体各方均为小型、微型企业的，联合体视同为小型、微型企业。</w:t>
      </w:r>
    </w:p>
    <w:p>
      <w:pPr>
        <w:ind w:firstLine="480" w:firstLineChars="200"/>
        <w:rPr>
          <w:rFonts w:hint="eastAsia" w:ascii="宋体" w:hAnsi="宋体"/>
          <w:color w:val="auto"/>
          <w:highlight w:val="none"/>
        </w:rPr>
      </w:pPr>
      <w:r>
        <w:rPr>
          <w:rFonts w:hint="eastAsia" w:ascii="宋体" w:hAnsi="宋体"/>
          <w:color w:val="auto"/>
          <w:highlight w:val="none"/>
        </w:rPr>
        <w:t>（5）符合《关于促进残疾人就业政府采购政策的通知》（财库〔2017〕141号）规定的条件并提供《残疾人福利性单位声明函》--格式附后的残疾人福利性单位视同小型、微型企业；</w:t>
      </w:r>
    </w:p>
    <w:p>
      <w:pPr>
        <w:ind w:firstLine="480" w:firstLineChars="200"/>
        <w:rPr>
          <w:rFonts w:hint="eastAsia" w:ascii="宋体" w:hAnsi="宋体"/>
          <w:color w:val="auto"/>
          <w:highlight w:val="none"/>
        </w:rPr>
      </w:pPr>
      <w:r>
        <w:rPr>
          <w:rFonts w:hint="eastAsia" w:ascii="宋体" w:hAnsi="宋体"/>
          <w:color w:val="auto"/>
          <w:highlight w:val="none"/>
        </w:rPr>
        <w:t>（6）符合《关于政府采购支持监狱企业发展有关问题的通知》（财库[2014]68号）规定的监狱企业并提供由省级以上监狱管理局、戒毒管理局（含新疆生产建设兵团）出具的属于监狱企业证明文件的，视同为小型、微型企业。</w:t>
      </w:r>
    </w:p>
    <w:p>
      <w:pPr>
        <w:pStyle w:val="6"/>
        <w:rPr>
          <w:rFonts w:hint="eastAsia" w:ascii="宋体" w:hAnsi="宋体" w:cs="宋体"/>
          <w:color w:val="auto"/>
          <w:highlight w:val="none"/>
        </w:rPr>
      </w:pPr>
      <w:r>
        <w:rPr>
          <w:rFonts w:hint="eastAsia" w:ascii="宋体" w:hAnsi="宋体" w:cs="宋体"/>
          <w:color w:val="auto"/>
          <w:highlight w:val="none"/>
          <w:lang w:val="en-US" w:eastAsia="zh-CN"/>
        </w:rPr>
        <w:t>七</w:t>
      </w:r>
      <w:r>
        <w:rPr>
          <w:rFonts w:hint="eastAsia" w:ascii="宋体" w:hAnsi="宋体" w:cs="宋体"/>
          <w:color w:val="auto"/>
          <w:highlight w:val="none"/>
        </w:rPr>
        <w:t>、询问、质疑、投诉</w:t>
      </w:r>
    </w:p>
    <w:p>
      <w:pPr>
        <w:autoSpaceDE w:val="0"/>
        <w:autoSpaceDN w:val="0"/>
        <w:ind w:firstLine="480" w:firstLineChars="200"/>
        <w:jc w:val="left"/>
        <w:rPr>
          <w:rFonts w:hint="eastAsia" w:ascii="宋体" w:hAnsi="宋体"/>
          <w:color w:val="auto"/>
          <w:highlight w:val="none"/>
          <w:lang w:val="zh-CN"/>
        </w:rPr>
      </w:pPr>
      <w:r>
        <w:rPr>
          <w:rFonts w:hint="eastAsia" w:ascii="宋体" w:hAnsi="宋体"/>
          <w:color w:val="auto"/>
          <w:highlight w:val="none"/>
        </w:rPr>
        <w:t>1.</w:t>
      </w:r>
      <w:r>
        <w:rPr>
          <w:rFonts w:hint="eastAsia" w:ascii="宋体" w:hAnsi="宋体"/>
          <w:color w:val="auto"/>
          <w:highlight w:val="none"/>
          <w:lang w:val="zh-CN"/>
        </w:rPr>
        <w:t>供应商询问</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供应商可以就竞争性磋商文件中特定资格条件、采购需求、评分办法及采购过程中有关现场考察或开标前答疑会事项向采购人提出询问，采购人将对此作出答复；供应商可以就采购活动中的其它事项向采购机构提出询问，采购机构将对此作出答复。答复的内容不得涉及商业秘密。</w:t>
      </w:r>
    </w:p>
    <w:p>
      <w:pPr>
        <w:pStyle w:val="15"/>
        <w:spacing w:before="120" w:after="120" w:line="360" w:lineRule="auto"/>
        <w:ind w:firstLine="480" w:firstLineChars="200"/>
        <w:rPr>
          <w:rFonts w:hint="eastAsia" w:hAnsi="宋体"/>
          <w:color w:val="auto"/>
          <w:highlight w:val="none"/>
          <w:lang w:val="zh-CN"/>
        </w:rPr>
      </w:pPr>
      <w:r>
        <w:rPr>
          <w:rFonts w:hint="eastAsia" w:hAnsi="宋体"/>
          <w:color w:val="auto"/>
          <w:highlight w:val="none"/>
        </w:rPr>
        <w:t>2.</w:t>
      </w:r>
      <w:r>
        <w:rPr>
          <w:rFonts w:hint="eastAsia" w:hAnsi="宋体"/>
          <w:color w:val="auto"/>
          <w:highlight w:val="none"/>
          <w:lang w:val="zh-CN"/>
        </w:rPr>
        <w:t>供应商质疑（</w:t>
      </w:r>
      <w:r>
        <w:rPr>
          <w:rFonts w:hint="eastAsia" w:hAnsi="宋体"/>
          <w:color w:val="auto"/>
          <w:highlight w:val="none"/>
        </w:rPr>
        <w:t>根据财政部第94号《政府采购质疑和投诉办法》规定）</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lang w:val="zh-CN"/>
        </w:rPr>
        <w:t>（</w:t>
      </w:r>
      <w:r>
        <w:rPr>
          <w:rFonts w:hint="eastAsia" w:hAnsi="宋体"/>
          <w:color w:val="auto"/>
          <w:highlight w:val="none"/>
        </w:rPr>
        <w:t>1</w:t>
      </w:r>
      <w:r>
        <w:rPr>
          <w:rFonts w:hint="eastAsia" w:hAnsi="宋体"/>
          <w:color w:val="auto"/>
          <w:highlight w:val="none"/>
          <w:lang w:val="zh-CN"/>
        </w:rPr>
        <w:t>）</w:t>
      </w:r>
      <w:r>
        <w:rPr>
          <w:rFonts w:hint="eastAsia" w:hAnsi="宋体"/>
          <w:color w:val="auto"/>
          <w:highlight w:val="none"/>
        </w:rPr>
        <w:t>提出质疑的供应商应当是参与所质疑项目采购活动的供应商。潜在供应商已依法获取其可质疑的竞争性磋商文件的，可以对该文件提出质疑。</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lang w:val="zh-CN"/>
        </w:rPr>
        <w:t>（</w:t>
      </w:r>
      <w:r>
        <w:rPr>
          <w:rFonts w:hint="eastAsia" w:hAnsi="宋体"/>
          <w:color w:val="auto"/>
          <w:highlight w:val="none"/>
        </w:rPr>
        <w:t>2</w:t>
      </w:r>
      <w:r>
        <w:rPr>
          <w:rFonts w:hint="eastAsia" w:hAnsi="宋体"/>
          <w:color w:val="auto"/>
          <w:highlight w:val="none"/>
          <w:lang w:val="zh-CN"/>
        </w:rPr>
        <w:t>）</w:t>
      </w:r>
      <w:r>
        <w:rPr>
          <w:rFonts w:hint="eastAsia" w:hAnsi="宋体"/>
          <w:color w:val="auto"/>
          <w:highlight w:val="none"/>
        </w:rPr>
        <w:t>响应供应商认为磋商文件、磋商过程和成交结果使自己的权益受到损害的，可以在知道或者应知其权益受到损害之日起七个工作日内，以书面形式（法定质疑期内）一次性向采购人、采购代理机构提出同一采购环节的质疑，否则，采购人或者采购代理机构不予受理。其质疑起算日期如下：</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①对磋商公告信息（含磋商供应商资格要求）提出质疑的，质疑期限自磋商公告发布之日起计算。</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②对磋商文件提出质疑的，质疑期限自响应供应商获得磋商文件之日起计算（发售时间期限截止日之后报名的供应商，质疑起算日期以发售时间期限截止日起计算）。</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③对磋商过程提出质疑的，为各磋商程序环节结束之日。否则，被质疑人可不予接受。</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④对磋商结果提出质疑的，质疑期限自成交结果公告（包括公示、预公告、结果变更公告等）之日起计算。</w:t>
      </w:r>
    </w:p>
    <w:p>
      <w:pPr>
        <w:pStyle w:val="15"/>
        <w:spacing w:before="120" w:after="120" w:line="360" w:lineRule="auto"/>
        <w:ind w:firstLine="240" w:firstLineChars="100"/>
        <w:rPr>
          <w:rFonts w:hint="eastAsia" w:hAnsi="宋体"/>
          <w:color w:val="auto"/>
          <w:highlight w:val="none"/>
        </w:rPr>
      </w:pPr>
      <w:r>
        <w:rPr>
          <w:rFonts w:hint="eastAsia" w:hAnsi="宋体"/>
          <w:color w:val="auto"/>
          <w:highlight w:val="none"/>
          <w:lang w:val="zh-CN"/>
        </w:rPr>
        <w:t>（</w:t>
      </w:r>
      <w:r>
        <w:rPr>
          <w:rFonts w:hint="eastAsia" w:hAnsi="宋体"/>
          <w:color w:val="auto"/>
          <w:highlight w:val="none"/>
        </w:rPr>
        <w:t>3）响应供应商提出质疑应当提交质疑函和必要的证明材料。质疑函应当包括下列内容：</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①供应商的姓名或者名称、地址、邮编、联系人及联系电话；</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②质疑项目的名称、编号；</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③具体、明确的质疑事项和与质疑事项相关的请求；</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④事实依据；</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⑤必要的法律依据；</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⑥提出质疑的日期。</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供应商提交的质疑函需一式三份。供应商为自然人的，应当由本人签字；供应商为法人或者其他组织的，应当由法定代表人、主要负责人，或者其授权代表签字或者盖章，并加盖公章。</w:t>
      </w:r>
    </w:p>
    <w:p>
      <w:pPr>
        <w:pStyle w:val="15"/>
        <w:spacing w:before="120" w:after="120" w:line="360" w:lineRule="auto"/>
        <w:ind w:firstLine="480" w:firstLineChars="200"/>
        <w:rPr>
          <w:rFonts w:hint="eastAsia" w:hAnsi="宋体"/>
          <w:color w:val="auto"/>
          <w:kern w:val="0"/>
          <w:highlight w:val="none"/>
        </w:rPr>
      </w:pPr>
      <w:r>
        <w:rPr>
          <w:rFonts w:hint="eastAsia" w:hAnsi="宋体"/>
          <w:color w:val="auto"/>
          <w:kern w:val="0"/>
          <w:highlight w:val="none"/>
        </w:rPr>
        <w:t>质疑函范本及制作说明详见附件4。</w:t>
      </w:r>
    </w:p>
    <w:p>
      <w:pPr>
        <w:pStyle w:val="15"/>
        <w:numPr>
          <w:ilvl w:val="0"/>
          <w:numId w:val="4"/>
        </w:numPr>
        <w:spacing w:before="120" w:after="120" w:line="360" w:lineRule="auto"/>
        <w:ind w:firstLine="480" w:firstLineChars="200"/>
        <w:rPr>
          <w:rFonts w:hint="eastAsia" w:hAnsi="宋体"/>
          <w:color w:val="auto"/>
          <w:highlight w:val="none"/>
        </w:rPr>
      </w:pPr>
      <w:r>
        <w:rPr>
          <w:rFonts w:hint="eastAsia" w:hAnsi="宋体"/>
          <w:color w:val="auto"/>
          <w:highlight w:val="none"/>
        </w:rPr>
        <w:t>采购人或者采购代理机构应当在收到响应供应商的书面质疑后七个工作日内作出答复，并以书面形式通知质疑供应商和其他与质疑处理结果有利害关系的采购当事人，但答复的内容不得涉及商业秘密。</w:t>
      </w:r>
    </w:p>
    <w:p>
      <w:pPr>
        <w:pStyle w:val="15"/>
        <w:numPr>
          <w:ilvl w:val="0"/>
          <w:numId w:val="4"/>
        </w:numPr>
        <w:spacing w:before="120" w:after="120" w:line="360" w:lineRule="auto"/>
        <w:ind w:firstLine="480" w:firstLineChars="200"/>
        <w:rPr>
          <w:rFonts w:hint="eastAsia" w:hAnsi="宋体"/>
          <w:color w:val="auto"/>
          <w:highlight w:val="none"/>
        </w:rPr>
      </w:pPr>
      <w:r>
        <w:rPr>
          <w:rFonts w:hint="eastAsia" w:hAnsi="宋体"/>
          <w:color w:val="auto"/>
          <w:highlight w:val="none"/>
        </w:rPr>
        <w:t>询问或者质疑事项可能影响采购结果的，采购人应当暂停签订合同，已经签订合同的，应当中止履行合同。</w:t>
      </w:r>
    </w:p>
    <w:p>
      <w:pPr>
        <w:pStyle w:val="15"/>
        <w:numPr>
          <w:ilvl w:val="0"/>
          <w:numId w:val="4"/>
        </w:numPr>
        <w:spacing w:before="120" w:after="120" w:line="360" w:lineRule="auto"/>
        <w:ind w:firstLine="480" w:firstLineChars="200"/>
        <w:rPr>
          <w:rFonts w:hint="eastAsia" w:hAnsi="宋体"/>
          <w:color w:val="auto"/>
          <w:highlight w:val="none"/>
        </w:rPr>
      </w:pPr>
      <w:r>
        <w:rPr>
          <w:rFonts w:hint="eastAsia" w:hAnsi="宋体"/>
          <w:color w:val="auto"/>
          <w:highlight w:val="none"/>
        </w:rPr>
        <w:t>质疑接收人：毛先生；</w:t>
      </w:r>
    </w:p>
    <w:p>
      <w:pPr>
        <w:pStyle w:val="15"/>
        <w:spacing w:before="120" w:after="120" w:line="360" w:lineRule="auto"/>
        <w:ind w:firstLine="1200" w:firstLineChars="500"/>
        <w:rPr>
          <w:rFonts w:hint="eastAsia" w:hAnsi="宋体"/>
          <w:color w:val="auto"/>
          <w:highlight w:val="none"/>
        </w:rPr>
      </w:pPr>
      <w:r>
        <w:rPr>
          <w:rFonts w:hint="eastAsia" w:hAnsi="宋体"/>
          <w:color w:val="auto"/>
          <w:highlight w:val="none"/>
        </w:rPr>
        <w:t>联系电话：0571-87919156</w:t>
      </w:r>
    </w:p>
    <w:p>
      <w:pPr>
        <w:pStyle w:val="15"/>
        <w:spacing w:before="120" w:after="120" w:line="360" w:lineRule="auto"/>
        <w:ind w:firstLine="1200" w:firstLineChars="500"/>
        <w:rPr>
          <w:rFonts w:hint="eastAsia" w:hAnsi="宋体"/>
          <w:color w:val="auto"/>
          <w:highlight w:val="none"/>
        </w:rPr>
      </w:pPr>
      <w:r>
        <w:rPr>
          <w:rFonts w:hint="eastAsia" w:hAnsi="宋体"/>
          <w:color w:val="auto"/>
          <w:highlight w:val="none"/>
        </w:rPr>
        <w:t>地址：杭州市东信大道66号启迪楼1207室。</w:t>
      </w:r>
    </w:p>
    <w:p>
      <w:pPr>
        <w:pStyle w:val="15"/>
        <w:spacing w:before="120" w:after="120" w:line="360" w:lineRule="auto"/>
        <w:ind w:firstLine="480" w:firstLineChars="200"/>
        <w:rPr>
          <w:rFonts w:hint="eastAsia" w:hAnsi="宋体"/>
          <w:color w:val="auto"/>
          <w:highlight w:val="none"/>
        </w:rPr>
      </w:pPr>
      <w:r>
        <w:rPr>
          <w:rFonts w:hint="eastAsia" w:hAnsi="宋体"/>
          <w:color w:val="auto"/>
          <w:highlight w:val="none"/>
        </w:rPr>
        <w:t>3.</w:t>
      </w:r>
      <w:r>
        <w:rPr>
          <w:rFonts w:hint="eastAsia" w:hAnsi="宋体"/>
          <w:color w:val="auto"/>
          <w:highlight w:val="none"/>
          <w:lang w:val="zh-CN"/>
        </w:rPr>
        <w:t>供应商投诉（</w:t>
      </w:r>
      <w:r>
        <w:rPr>
          <w:rFonts w:hint="eastAsia" w:hAnsi="宋体"/>
          <w:color w:val="auto"/>
          <w:highlight w:val="none"/>
        </w:rPr>
        <w:t>根据财政部第94号《政府采购质疑和投诉办法》规定）</w:t>
      </w:r>
    </w:p>
    <w:p>
      <w:pPr>
        <w:pStyle w:val="15"/>
        <w:numPr>
          <w:ilvl w:val="0"/>
          <w:numId w:val="5"/>
        </w:numPr>
        <w:spacing w:before="120" w:after="120" w:line="360" w:lineRule="auto"/>
        <w:ind w:firstLine="480" w:firstLineChars="200"/>
        <w:rPr>
          <w:rFonts w:hint="eastAsia" w:hAnsi="宋体"/>
          <w:color w:val="auto"/>
          <w:highlight w:val="none"/>
        </w:rPr>
      </w:pPr>
      <w:r>
        <w:rPr>
          <w:rFonts w:hint="eastAsia" w:hAnsi="宋体"/>
          <w:color w:val="auto"/>
          <w:highlight w:val="none"/>
        </w:rPr>
        <w:t>质疑供应商对采购人、采购代理机构的答复不满意或者采购人、采购代理机构未在规定的时间内作出答复的，可以在答复期满后十五个工作日内向同级政府采购监督管理部门提出投诉。</w:t>
      </w:r>
    </w:p>
    <w:p>
      <w:pPr>
        <w:pStyle w:val="15"/>
        <w:numPr>
          <w:ilvl w:val="0"/>
          <w:numId w:val="5"/>
        </w:numPr>
        <w:spacing w:before="120" w:after="120" w:line="360" w:lineRule="auto"/>
        <w:ind w:firstLine="480" w:firstLineChars="200"/>
        <w:rPr>
          <w:rFonts w:hint="eastAsia" w:hAnsi="宋体"/>
          <w:color w:val="auto"/>
          <w:highlight w:val="none"/>
        </w:rPr>
      </w:pPr>
      <w:r>
        <w:rPr>
          <w:rFonts w:hint="eastAsia" w:hAnsi="宋体"/>
          <w:color w:val="auto"/>
          <w:highlight w:val="none"/>
        </w:rPr>
        <w:t>供应商投诉的事项不得超出已质疑事项的范围，基于质疑答复内容提出的投诉事项除外。</w:t>
      </w:r>
    </w:p>
    <w:p>
      <w:pPr>
        <w:pStyle w:val="15"/>
        <w:numPr>
          <w:ilvl w:val="0"/>
          <w:numId w:val="5"/>
        </w:numPr>
        <w:spacing w:before="120" w:after="120" w:line="360" w:lineRule="auto"/>
        <w:ind w:firstLine="480" w:firstLineChars="200"/>
        <w:rPr>
          <w:rFonts w:hint="eastAsia" w:hAnsi="宋体"/>
          <w:color w:val="auto"/>
          <w:highlight w:val="none"/>
        </w:rPr>
      </w:pPr>
      <w:r>
        <w:rPr>
          <w:rFonts w:hint="eastAsia" w:hAnsi="宋体"/>
          <w:color w:val="auto"/>
          <w:highlight w:val="none"/>
        </w:rPr>
        <w:t>供应商投诉应当有明确的请求和必要的证明材料。</w:t>
      </w:r>
    </w:p>
    <w:p>
      <w:pPr>
        <w:pStyle w:val="15"/>
        <w:numPr>
          <w:ilvl w:val="0"/>
          <w:numId w:val="5"/>
        </w:numPr>
        <w:spacing w:before="120" w:after="120" w:line="360" w:lineRule="auto"/>
        <w:ind w:firstLine="480" w:firstLineChars="200"/>
        <w:rPr>
          <w:rFonts w:hint="eastAsia" w:hAnsi="宋体"/>
          <w:color w:val="auto"/>
          <w:highlight w:val="none"/>
        </w:rPr>
      </w:pPr>
      <w:r>
        <w:rPr>
          <w:rFonts w:hint="eastAsia" w:hAnsi="宋体"/>
          <w:color w:val="auto"/>
          <w:highlight w:val="none"/>
        </w:rPr>
        <w:t>以联合体形式参加政府采购活动的，其投诉应当由组成联合体的所有供应商共同提出。投诉书范本及制作说明详见附件5。</w:t>
      </w:r>
    </w:p>
    <w:p>
      <w:pPr>
        <w:pStyle w:val="6"/>
        <w:rPr>
          <w:rFonts w:hint="eastAsia" w:ascii="宋体" w:hAnsi="宋体" w:cs="宋体"/>
          <w:color w:val="auto"/>
          <w:highlight w:val="none"/>
        </w:rPr>
      </w:pPr>
      <w:r>
        <w:rPr>
          <w:rFonts w:hint="eastAsia" w:ascii="宋体" w:hAnsi="宋体" w:cs="宋体"/>
          <w:color w:val="auto"/>
          <w:highlight w:val="none"/>
          <w:lang w:eastAsia="zh-CN"/>
        </w:rPr>
        <w:t>八</w:t>
      </w:r>
      <w:r>
        <w:rPr>
          <w:rFonts w:hint="eastAsia" w:ascii="宋体" w:hAnsi="宋体" w:cs="宋体"/>
          <w:color w:val="auto"/>
          <w:highlight w:val="none"/>
        </w:rPr>
        <w:t>、特别说明</w:t>
      </w:r>
    </w:p>
    <w:p>
      <w:pPr>
        <w:ind w:firstLine="480"/>
        <w:rPr>
          <w:rFonts w:hint="eastAsia" w:ascii="宋体" w:hAnsi="宋体"/>
          <w:color w:val="auto"/>
          <w:highlight w:val="none"/>
        </w:rPr>
      </w:pPr>
      <w:r>
        <w:rPr>
          <w:rFonts w:hint="eastAsia" w:ascii="宋体" w:hAnsi="宋体"/>
          <w:color w:val="auto"/>
          <w:highlight w:val="none"/>
        </w:rPr>
        <w:t>1.供应商响应文件所使用的资格、信誉、荣誉、业绩与企业认证必须为本法人所拥有。供应商响应所使用的采购项目实施人员必须为本法人员工（指本法人或控股公司正式员工）。</w:t>
      </w:r>
    </w:p>
    <w:p>
      <w:pPr>
        <w:ind w:firstLine="480"/>
        <w:rPr>
          <w:rFonts w:hint="eastAsia" w:ascii="宋体" w:hAnsi="宋体"/>
          <w:color w:val="auto"/>
          <w:highlight w:val="none"/>
        </w:rPr>
      </w:pPr>
      <w:r>
        <w:rPr>
          <w:rFonts w:hint="eastAsia" w:ascii="宋体" w:hAnsi="宋体"/>
          <w:color w:val="auto"/>
          <w:highlight w:val="none"/>
        </w:rPr>
        <w:t>2.响应供应商所投产品除磋商文件中明确规定要求“提供官网截图或相应检测报告的证明材料”以外，所有技术参数描述均以磋商文件为准。供应商对所投产品技术参数的真实性承担法律责任。项目磋商结束后、质疑期限内，如有质疑供应商认为</w:t>
      </w:r>
      <w:r>
        <w:rPr>
          <w:rFonts w:hint="eastAsia" w:ascii="宋体" w:hAnsi="宋体"/>
          <w:color w:val="auto"/>
          <w:kern w:val="0"/>
          <w:highlight w:val="none"/>
          <w:shd w:val="clear" w:color="auto" w:fill="FFFFFF"/>
        </w:rPr>
        <w:t>成交候选供应商</w:t>
      </w:r>
      <w:r>
        <w:rPr>
          <w:rFonts w:hint="eastAsia" w:ascii="宋体" w:hAnsi="宋体"/>
          <w:color w:val="auto"/>
          <w:highlight w:val="none"/>
        </w:rPr>
        <w:t>所投产品、响应文件技术参数与磋商需求存在重大偏离、错误、甚至造假的情况，应提供具体有效的证明材料。</w:t>
      </w:r>
      <w:r>
        <w:rPr>
          <w:rFonts w:hint="eastAsia" w:ascii="宋体" w:hAnsi="宋体"/>
          <w:color w:val="auto"/>
          <w:highlight w:val="none"/>
        </w:rPr>
        <w:tab/>
      </w:r>
    </w:p>
    <w:p>
      <w:pPr>
        <w:ind w:firstLine="480"/>
        <w:rPr>
          <w:rFonts w:hint="eastAsia" w:ascii="宋体" w:hAnsi="宋体"/>
          <w:color w:val="auto"/>
          <w:highlight w:val="none"/>
        </w:rPr>
      </w:pPr>
      <w:r>
        <w:rPr>
          <w:rFonts w:hint="eastAsia" w:ascii="宋体" w:hAnsi="宋体"/>
          <w:color w:val="auto"/>
          <w:highlight w:val="none"/>
        </w:rPr>
        <w:t>3.响应供应商在磋商活动中提供任何虚假材料,其响应无效，并报监管部门查处；成交后发现的,根据《中华人民共和国政府采购法》第七十七条第一款第一项之规定，处以采购金额千分之五以上千分之十以下的罚款，列入不良行为记录名单，在一至三年内禁止参加采购活动，有违法所得的，并处没收违法所得，情节严重的，由工商行政管理机关吊销营业执照；构成犯罪的，依法追究刑事责任。</w:t>
      </w:r>
    </w:p>
    <w:p>
      <w:pPr>
        <w:ind w:firstLine="480"/>
        <w:rPr>
          <w:rFonts w:hint="eastAsia" w:ascii="宋体" w:hAnsi="宋体"/>
          <w:color w:val="auto"/>
          <w:highlight w:val="none"/>
        </w:rPr>
      </w:pPr>
      <w:r>
        <w:rPr>
          <w:rFonts w:hint="eastAsia" w:ascii="宋体" w:hAnsi="宋体"/>
          <w:color w:val="auto"/>
          <w:highlight w:val="none"/>
        </w:rPr>
        <w:t>4.响应供应商不得相互串通响应报价，不得妨碍其他响应供应商的公平竞争，不得损害采购人或其他响应供应商的合法权益，响应供应商不得以向采购人、磋商小组成员行贿或者采取其他不正当手段谋取成交。</w:t>
      </w:r>
    </w:p>
    <w:p>
      <w:pPr>
        <w:ind w:firstLine="480"/>
        <w:rPr>
          <w:rFonts w:hint="eastAsia" w:ascii="宋体" w:hAnsi="宋体"/>
          <w:color w:val="auto"/>
          <w:highlight w:val="none"/>
        </w:rPr>
      </w:pPr>
      <w:r>
        <w:rPr>
          <w:rFonts w:hint="eastAsia" w:ascii="宋体" w:hAnsi="宋体"/>
          <w:color w:val="auto"/>
          <w:highlight w:val="none"/>
        </w:rPr>
        <w:t>5.单位负责人为同一人或者存在直接控股、管理关系的不同供应商，不得参加同一合同项下的采购活动。</w:t>
      </w:r>
    </w:p>
    <w:p>
      <w:pPr>
        <w:ind w:firstLine="480"/>
        <w:rPr>
          <w:rFonts w:hint="eastAsia" w:ascii="宋体" w:hAnsi="宋体"/>
          <w:color w:val="auto"/>
          <w:highlight w:val="none"/>
        </w:rPr>
      </w:pPr>
      <w:r>
        <w:rPr>
          <w:rFonts w:hint="eastAsia" w:ascii="宋体" w:hAnsi="宋体"/>
          <w:color w:val="auto"/>
          <w:highlight w:val="none"/>
        </w:rPr>
        <w:t>6.为采购项目提供整体设计、规范编制或者项目管理、监理、检测等服务的供应商，不得再参加该采购项目的其他采购活动。</w:t>
      </w:r>
    </w:p>
    <w:p>
      <w:pPr>
        <w:ind w:firstLine="480"/>
        <w:rPr>
          <w:rFonts w:hint="eastAsia" w:ascii="宋体" w:hAnsi="宋体"/>
          <w:color w:val="auto"/>
          <w:highlight w:val="none"/>
        </w:rPr>
      </w:pPr>
      <w:r>
        <w:rPr>
          <w:rFonts w:hint="eastAsia" w:ascii="宋体" w:hAnsi="宋体"/>
          <w:color w:val="auto"/>
          <w:highlight w:val="none"/>
        </w:rPr>
        <w:t>7.关于要求原厂商授权的说明</w:t>
      </w:r>
    </w:p>
    <w:p>
      <w:pPr>
        <w:ind w:firstLine="480"/>
        <w:rPr>
          <w:rFonts w:hint="eastAsia" w:ascii="宋体" w:hAnsi="宋体"/>
          <w:color w:val="auto"/>
          <w:highlight w:val="none"/>
        </w:rPr>
      </w:pPr>
      <w:r>
        <w:rPr>
          <w:rFonts w:hint="eastAsia" w:ascii="宋体" w:hAnsi="宋体"/>
          <w:color w:val="auto"/>
          <w:highlight w:val="none"/>
        </w:rPr>
        <w:t>磋商文件中要求是提供原厂商授权的，建议在提交响应文件时一并提供。若提供不了原厂商授权的，可在成交公告后再向采购人提供原厂商授权。如原厂商无故不予授权，在预成交成交供应商作出保证产品质量和售后服务的承诺后，可以不需授权文件将合同授予该供应商，但对此应在合同的验收、结算和违约责任中补充增加相应的制约性条款。</w:t>
      </w:r>
    </w:p>
    <w:p>
      <w:pPr>
        <w:ind w:firstLine="480"/>
        <w:rPr>
          <w:rFonts w:hint="eastAsia" w:ascii="宋体" w:hAnsi="宋体"/>
          <w:color w:val="auto"/>
          <w:highlight w:val="none"/>
        </w:rPr>
      </w:pPr>
      <w:r>
        <w:rPr>
          <w:rFonts w:hint="eastAsia" w:ascii="宋体" w:hAnsi="宋体"/>
          <w:color w:val="auto"/>
          <w:highlight w:val="none"/>
        </w:rPr>
        <w:t>8.提供相同品牌和型号的产品且通过资格审查、符合性审查的不同响应供应商参加同一合同项下磋商的，按一家响应供应商计算，评审后得分最高的供应商获得</w:t>
      </w:r>
      <w:r>
        <w:rPr>
          <w:rFonts w:hint="eastAsia" w:ascii="宋体" w:hAnsi="宋体"/>
          <w:color w:val="auto"/>
          <w:kern w:val="0"/>
          <w:highlight w:val="none"/>
          <w:shd w:val="clear" w:color="auto" w:fill="FFFFFF"/>
        </w:rPr>
        <w:t>成交候选供应商</w:t>
      </w:r>
      <w:r>
        <w:rPr>
          <w:rFonts w:hint="eastAsia" w:ascii="宋体" w:hAnsi="宋体"/>
          <w:color w:val="auto"/>
          <w:highlight w:val="none"/>
        </w:rPr>
        <w:t>推荐资格；评审得分相同的，由采购人或者采购人委托磋商小组按照磋商文件规定的方式确定一个响应供应商获得</w:t>
      </w:r>
      <w:r>
        <w:rPr>
          <w:rFonts w:hint="eastAsia" w:ascii="宋体" w:hAnsi="宋体"/>
          <w:color w:val="auto"/>
          <w:kern w:val="0"/>
          <w:highlight w:val="none"/>
          <w:shd w:val="clear" w:color="auto" w:fill="FFFFFF"/>
        </w:rPr>
        <w:t>成交候选供应商</w:t>
      </w:r>
      <w:r>
        <w:rPr>
          <w:rFonts w:hint="eastAsia" w:ascii="宋体" w:hAnsi="宋体"/>
          <w:color w:val="auto"/>
          <w:highlight w:val="none"/>
        </w:rPr>
        <w:t>推荐资格，磋商文件未规定的采取随机抽取方式确定，其他同品牌响应供应商不作为</w:t>
      </w:r>
      <w:r>
        <w:rPr>
          <w:rFonts w:hint="eastAsia" w:ascii="宋体" w:hAnsi="宋体"/>
          <w:color w:val="auto"/>
          <w:kern w:val="0"/>
          <w:highlight w:val="none"/>
          <w:shd w:val="clear" w:color="auto" w:fill="FFFFFF"/>
        </w:rPr>
        <w:t>成交候选供应商</w:t>
      </w:r>
      <w:r>
        <w:rPr>
          <w:rFonts w:hint="eastAsia" w:ascii="宋体" w:hAnsi="宋体"/>
          <w:color w:val="auto"/>
          <w:highlight w:val="none"/>
        </w:rPr>
        <w:t>。</w:t>
      </w:r>
    </w:p>
    <w:p>
      <w:pPr>
        <w:ind w:firstLine="480" w:firstLineChars="200"/>
        <w:rPr>
          <w:rFonts w:ascii="宋体" w:hAnsi="宋体"/>
        </w:rPr>
      </w:pPr>
      <w:r>
        <w:rPr>
          <w:rFonts w:hint="eastAsia" w:ascii="宋体" w:hAnsi="宋体"/>
          <w:color w:val="auto"/>
          <w:highlight w:val="none"/>
        </w:rPr>
        <w:t>非单一产品采购项目，多家磋商响应供应商提供的核心产品品牌相同的，按前款规定处理。</w:t>
      </w:r>
    </w:p>
    <w:p>
      <w:pPr>
        <w:pStyle w:val="5"/>
        <w:rPr>
          <w:rFonts w:ascii="宋体" w:hAnsi="宋体" w:cs="宋体"/>
          <w:color w:val="auto"/>
        </w:rPr>
      </w:pPr>
      <w:r>
        <w:rPr>
          <w:rFonts w:hint="eastAsia" w:ascii="宋体" w:hAnsi="宋体" w:cs="宋体"/>
          <w:color w:val="auto"/>
          <w:sz w:val="21"/>
          <w:szCs w:val="21"/>
        </w:rPr>
        <w:br w:type="page"/>
      </w:r>
      <w:bookmarkStart w:id="57" w:name="_Toc528579040"/>
      <w:bookmarkStart w:id="58" w:name="_Toc13267"/>
      <w:bookmarkStart w:id="59" w:name="_Toc15681"/>
      <w:bookmarkStart w:id="60" w:name="_Toc31522"/>
      <w:bookmarkStart w:id="61" w:name="_Toc10499"/>
      <w:r>
        <w:rPr>
          <w:rFonts w:hint="eastAsia" w:ascii="宋体" w:hAnsi="宋体" w:cs="宋体"/>
          <w:color w:val="auto"/>
        </w:rPr>
        <w:t>第二节  磋商文件</w:t>
      </w:r>
      <w:bookmarkEnd w:id="57"/>
      <w:bookmarkEnd w:id="58"/>
      <w:bookmarkEnd w:id="59"/>
      <w:bookmarkEnd w:id="60"/>
      <w:bookmarkStart w:id="62" w:name="_Toc1253"/>
      <w:r>
        <w:rPr>
          <w:rFonts w:hint="eastAsia" w:ascii="宋体" w:hAnsi="宋体" w:cs="宋体"/>
          <w:color w:val="auto"/>
        </w:rPr>
        <w:t>的组成</w:t>
      </w:r>
      <w:bookmarkEnd w:id="61"/>
    </w:p>
    <w:bookmarkEnd w:id="62"/>
    <w:p>
      <w:pPr>
        <w:pStyle w:val="6"/>
        <w:rPr>
          <w:rFonts w:ascii="宋体" w:hAnsi="宋体" w:cs="宋体"/>
        </w:rPr>
      </w:pPr>
      <w:bookmarkStart w:id="63" w:name="_Toc15296"/>
      <w:r>
        <w:rPr>
          <w:rFonts w:hint="eastAsia" w:ascii="宋体" w:hAnsi="宋体" w:cs="宋体"/>
        </w:rPr>
        <w:t>一、磋商文件的组成</w:t>
      </w:r>
    </w:p>
    <w:p>
      <w:pPr>
        <w:ind w:firstLine="456" w:firstLineChars="200"/>
        <w:jc w:val="left"/>
        <w:rPr>
          <w:rFonts w:ascii="宋体" w:hAnsi="宋体"/>
          <w:bCs/>
          <w:spacing w:val="-6"/>
        </w:rPr>
      </w:pPr>
      <w:r>
        <w:rPr>
          <w:rFonts w:hint="eastAsia" w:ascii="宋体" w:hAnsi="宋体"/>
          <w:bCs/>
          <w:spacing w:val="-6"/>
        </w:rPr>
        <w:t>本磋商文件由以下部份组成：</w:t>
      </w:r>
    </w:p>
    <w:p>
      <w:pPr>
        <w:pStyle w:val="12"/>
        <w:spacing w:line="360" w:lineRule="auto"/>
        <w:ind w:firstLine="422" w:firstLineChars="182"/>
        <w:jc w:val="left"/>
        <w:rPr>
          <w:rFonts w:hAnsi="宋体" w:cs="宋体"/>
          <w:sz w:val="24"/>
          <w:szCs w:val="24"/>
        </w:rPr>
      </w:pPr>
      <w:r>
        <w:rPr>
          <w:rFonts w:hint="eastAsia" w:hAnsi="宋体" w:cs="宋体"/>
          <w:sz w:val="24"/>
          <w:szCs w:val="24"/>
        </w:rPr>
        <w:t>1.竞争性磋商公告；</w:t>
      </w:r>
    </w:p>
    <w:p>
      <w:pPr>
        <w:pStyle w:val="12"/>
        <w:spacing w:line="360" w:lineRule="auto"/>
        <w:ind w:firstLine="422" w:firstLineChars="182"/>
        <w:jc w:val="left"/>
        <w:rPr>
          <w:rFonts w:hAnsi="宋体" w:cs="宋体"/>
          <w:sz w:val="24"/>
          <w:szCs w:val="24"/>
        </w:rPr>
      </w:pPr>
      <w:r>
        <w:rPr>
          <w:rFonts w:hint="eastAsia" w:hAnsi="宋体" w:cs="宋体"/>
          <w:sz w:val="24"/>
          <w:szCs w:val="24"/>
        </w:rPr>
        <w:t>2.采购需求；</w:t>
      </w:r>
    </w:p>
    <w:p>
      <w:pPr>
        <w:pStyle w:val="12"/>
        <w:spacing w:line="360" w:lineRule="auto"/>
        <w:ind w:firstLine="422" w:firstLineChars="182"/>
        <w:jc w:val="left"/>
        <w:rPr>
          <w:rFonts w:hAnsi="宋体" w:cs="宋体"/>
          <w:spacing w:val="-6"/>
          <w:sz w:val="24"/>
          <w:szCs w:val="24"/>
        </w:rPr>
      </w:pPr>
      <w:r>
        <w:rPr>
          <w:rFonts w:hint="eastAsia" w:hAnsi="宋体" w:cs="宋体"/>
          <w:sz w:val="24"/>
          <w:szCs w:val="24"/>
        </w:rPr>
        <w:t>3.</w:t>
      </w:r>
      <w:r>
        <w:rPr>
          <w:rFonts w:hint="eastAsia" w:hAnsi="宋体" w:cs="宋体"/>
          <w:spacing w:val="-6"/>
          <w:sz w:val="24"/>
          <w:szCs w:val="24"/>
        </w:rPr>
        <w:t>磋商响应供应商须知；</w:t>
      </w:r>
    </w:p>
    <w:p>
      <w:pPr>
        <w:pStyle w:val="12"/>
        <w:spacing w:line="360" w:lineRule="auto"/>
        <w:ind w:firstLine="422" w:firstLineChars="182"/>
        <w:jc w:val="left"/>
        <w:rPr>
          <w:rFonts w:hAnsi="宋体" w:cs="宋体"/>
          <w:spacing w:val="-6"/>
          <w:sz w:val="24"/>
          <w:szCs w:val="24"/>
        </w:rPr>
      </w:pPr>
      <w:r>
        <w:rPr>
          <w:rFonts w:hint="eastAsia" w:hAnsi="宋体" w:cs="宋体"/>
          <w:sz w:val="24"/>
          <w:szCs w:val="24"/>
        </w:rPr>
        <w:t>4.</w:t>
      </w:r>
      <w:r>
        <w:rPr>
          <w:rFonts w:hint="eastAsia" w:hAnsi="宋体" w:cs="宋体"/>
          <w:spacing w:val="-6"/>
          <w:sz w:val="24"/>
          <w:szCs w:val="24"/>
        </w:rPr>
        <w:t>评审办法及标准；</w:t>
      </w:r>
    </w:p>
    <w:p>
      <w:pPr>
        <w:pStyle w:val="12"/>
        <w:spacing w:line="360" w:lineRule="auto"/>
        <w:ind w:firstLine="414" w:firstLineChars="182"/>
        <w:jc w:val="left"/>
        <w:rPr>
          <w:rFonts w:hAnsi="宋体" w:cs="宋体"/>
          <w:spacing w:val="-6"/>
          <w:sz w:val="24"/>
          <w:szCs w:val="24"/>
        </w:rPr>
      </w:pPr>
      <w:r>
        <w:rPr>
          <w:rFonts w:hint="eastAsia" w:hAnsi="宋体" w:cs="宋体"/>
          <w:spacing w:val="-6"/>
          <w:sz w:val="24"/>
          <w:szCs w:val="24"/>
        </w:rPr>
        <w:t>5.合同格式及合同条款；</w:t>
      </w:r>
    </w:p>
    <w:p>
      <w:pPr>
        <w:pStyle w:val="12"/>
        <w:spacing w:line="360" w:lineRule="auto"/>
        <w:ind w:firstLine="414" w:firstLineChars="182"/>
        <w:jc w:val="left"/>
        <w:rPr>
          <w:rFonts w:hAnsi="宋体" w:cs="宋体"/>
          <w:spacing w:val="-6"/>
          <w:sz w:val="24"/>
          <w:szCs w:val="24"/>
        </w:rPr>
      </w:pPr>
      <w:r>
        <w:rPr>
          <w:rFonts w:hint="eastAsia" w:hAnsi="宋体" w:cs="宋体"/>
          <w:spacing w:val="-6"/>
          <w:sz w:val="24"/>
          <w:szCs w:val="24"/>
        </w:rPr>
        <w:t>6.应提交的有关响应文件格式范例；</w:t>
      </w:r>
    </w:p>
    <w:p>
      <w:pPr>
        <w:pStyle w:val="12"/>
        <w:spacing w:line="360" w:lineRule="auto"/>
        <w:ind w:firstLine="422" w:firstLineChars="182"/>
        <w:jc w:val="left"/>
        <w:rPr>
          <w:rFonts w:hAnsi="宋体" w:cs="宋体"/>
          <w:spacing w:val="-6"/>
          <w:sz w:val="24"/>
          <w:szCs w:val="24"/>
        </w:rPr>
      </w:pPr>
      <w:r>
        <w:rPr>
          <w:rFonts w:hint="eastAsia" w:hAnsi="宋体" w:cs="宋体"/>
          <w:sz w:val="24"/>
          <w:szCs w:val="24"/>
        </w:rPr>
        <w:t>7.</w:t>
      </w:r>
      <w:r>
        <w:rPr>
          <w:rFonts w:hint="eastAsia" w:hAnsi="宋体" w:cs="宋体"/>
          <w:spacing w:val="-6"/>
          <w:sz w:val="24"/>
          <w:szCs w:val="24"/>
        </w:rPr>
        <w:t>本项目磋商文件的澄清、答复、修改、补充的内容。</w:t>
      </w:r>
    </w:p>
    <w:p>
      <w:pPr>
        <w:pStyle w:val="6"/>
        <w:rPr>
          <w:rFonts w:ascii="宋体" w:hAnsi="宋体" w:cs="宋体"/>
        </w:rPr>
      </w:pPr>
      <w:r>
        <w:rPr>
          <w:rFonts w:hint="eastAsia" w:ascii="宋体" w:hAnsi="宋体" w:cs="宋体"/>
        </w:rPr>
        <w:t>二、磋商响应供应商的风险</w:t>
      </w:r>
      <w:bookmarkEnd w:id="63"/>
    </w:p>
    <w:p>
      <w:pPr>
        <w:pStyle w:val="12"/>
        <w:spacing w:line="360" w:lineRule="auto"/>
        <w:ind w:firstLine="456" w:firstLineChars="200"/>
        <w:jc w:val="left"/>
        <w:rPr>
          <w:rFonts w:hAnsi="宋体" w:cs="宋体"/>
          <w:spacing w:val="-6"/>
          <w:sz w:val="24"/>
          <w:szCs w:val="24"/>
        </w:rPr>
      </w:pPr>
      <w:r>
        <w:rPr>
          <w:rFonts w:hint="eastAsia" w:hAnsi="宋体" w:cs="宋体"/>
          <w:spacing w:val="-6"/>
          <w:sz w:val="24"/>
          <w:szCs w:val="24"/>
        </w:rPr>
        <w:t>磋商响应供应商没有按照磋商文件要求提供全部资料，或者磋商响应供应商没有对磋商文件在各方面作出实质性响应是磋商响应供应商的风险，并可能导致其磋商响应被拒绝。</w:t>
      </w:r>
    </w:p>
    <w:p>
      <w:pPr>
        <w:pStyle w:val="6"/>
        <w:rPr>
          <w:rFonts w:ascii="宋体" w:hAnsi="宋体" w:cs="宋体"/>
        </w:rPr>
      </w:pPr>
      <w:bookmarkStart w:id="64" w:name="_Toc20782"/>
      <w:r>
        <w:rPr>
          <w:rFonts w:hint="eastAsia" w:ascii="宋体" w:hAnsi="宋体" w:cs="宋体"/>
        </w:rPr>
        <w:t>三、磋商文件的澄清与修改</w:t>
      </w:r>
      <w:bookmarkEnd w:id="64"/>
    </w:p>
    <w:p>
      <w:pPr>
        <w:pStyle w:val="12"/>
        <w:spacing w:line="360" w:lineRule="auto"/>
        <w:ind w:firstLine="456" w:firstLineChars="200"/>
        <w:jc w:val="left"/>
        <w:rPr>
          <w:rFonts w:hAnsi="宋体" w:cs="宋体"/>
          <w:spacing w:val="-6"/>
          <w:sz w:val="24"/>
          <w:szCs w:val="24"/>
        </w:rPr>
      </w:pPr>
      <w:r>
        <w:rPr>
          <w:rFonts w:hint="eastAsia" w:hAnsi="宋体" w:cs="宋体"/>
          <w:spacing w:val="-6"/>
          <w:sz w:val="24"/>
          <w:szCs w:val="24"/>
        </w:rPr>
        <w:t>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pStyle w:val="12"/>
        <w:spacing w:line="360" w:lineRule="auto"/>
        <w:ind w:firstLine="464" w:firstLineChars="200"/>
        <w:jc w:val="left"/>
        <w:rPr>
          <w:rFonts w:hAnsi="宋体" w:cs="宋体"/>
          <w:spacing w:val="-6"/>
          <w:sz w:val="24"/>
          <w:szCs w:val="24"/>
        </w:rPr>
      </w:pPr>
      <w:r>
        <w:rPr>
          <w:rFonts w:hint="eastAsia" w:hAnsi="宋体" w:cs="宋体"/>
          <w:sz w:val="24"/>
          <w:szCs w:val="24"/>
        </w:rPr>
        <w:t>2.</w:t>
      </w:r>
      <w:r>
        <w:rPr>
          <w:rFonts w:hint="eastAsia" w:hAnsi="宋体" w:cs="宋体"/>
          <w:spacing w:val="-6"/>
          <w:sz w:val="24"/>
          <w:szCs w:val="24"/>
        </w:rPr>
        <w:t>磋商文件的修改将以书面形式通知所有购买磋商文件的磋商响应供应商，并对其具有约束力。磋商响应供应商在收到上述通知后，应立即向采购人、采购代理机构回函确认。若无书面回函确认，视同磋商响应供应商已收到磋商文件修改的通知，并受其约束。</w:t>
      </w:r>
    </w:p>
    <w:p>
      <w:pPr>
        <w:pStyle w:val="12"/>
        <w:spacing w:line="360" w:lineRule="auto"/>
        <w:ind w:firstLine="464" w:firstLineChars="200"/>
        <w:jc w:val="left"/>
        <w:rPr>
          <w:rFonts w:hAnsi="宋体" w:cs="宋体"/>
          <w:spacing w:val="-6"/>
          <w:sz w:val="24"/>
          <w:szCs w:val="24"/>
        </w:rPr>
      </w:pPr>
      <w:r>
        <w:rPr>
          <w:rFonts w:hint="eastAsia" w:hAnsi="宋体" w:cs="宋体"/>
          <w:sz w:val="24"/>
          <w:szCs w:val="24"/>
        </w:rPr>
        <w:t>3.</w:t>
      </w:r>
      <w:r>
        <w:rPr>
          <w:rFonts w:hint="eastAsia" w:hAnsi="宋体" w:cs="宋体"/>
          <w:spacing w:val="-6"/>
          <w:sz w:val="24"/>
          <w:szCs w:val="24"/>
        </w:rPr>
        <w:t>磋商文件澄清、答复、修改、补充的内容为磋商文件的组成部分。当磋商文件与磋商文件的答复、澄清、修改、补充通知就同一内容的表述不一致时，以最后发出的书面形式文件为准。</w:t>
      </w:r>
    </w:p>
    <w:p>
      <w:pPr>
        <w:pStyle w:val="12"/>
        <w:spacing w:line="360" w:lineRule="auto"/>
        <w:ind w:firstLine="464" w:firstLineChars="200"/>
        <w:jc w:val="left"/>
        <w:rPr>
          <w:rFonts w:hAnsi="宋体" w:cs="宋体"/>
          <w:spacing w:val="-6"/>
          <w:sz w:val="24"/>
          <w:szCs w:val="24"/>
        </w:rPr>
      </w:pPr>
      <w:r>
        <w:rPr>
          <w:rFonts w:hint="eastAsia" w:hAnsi="宋体" w:cs="宋体"/>
          <w:sz w:val="24"/>
          <w:szCs w:val="24"/>
        </w:rPr>
        <w:t>4.</w:t>
      </w:r>
      <w:r>
        <w:rPr>
          <w:rFonts w:hint="eastAsia" w:hAnsi="宋体" w:cs="宋体"/>
          <w:spacing w:val="-6"/>
          <w:sz w:val="24"/>
          <w:szCs w:val="24"/>
        </w:rPr>
        <w:t>磋商文件的澄清、答复、修改或补充都应该通过本采购代理机构以法定形式发布，采购人非通过本机构，不得擅自澄清、答复、修改或补充磋商文件。</w:t>
      </w:r>
    </w:p>
    <w:p>
      <w:pPr>
        <w:pStyle w:val="6"/>
        <w:rPr>
          <w:rFonts w:ascii="宋体" w:hAnsi="宋体" w:cs="宋体"/>
        </w:rPr>
      </w:pPr>
      <w:bookmarkStart w:id="65" w:name="_Toc4472"/>
      <w:r>
        <w:rPr>
          <w:rFonts w:hint="eastAsia" w:ascii="宋体" w:hAnsi="宋体" w:cs="宋体"/>
        </w:rPr>
        <w:t>四、响应文件的签署、装订和份数</w:t>
      </w:r>
      <w:bookmarkEnd w:id="65"/>
    </w:p>
    <w:p>
      <w:pPr>
        <w:ind w:firstLine="480" w:firstLineChars="200"/>
        <w:jc w:val="left"/>
        <w:rPr>
          <w:rFonts w:ascii="宋体" w:hAnsi="宋体"/>
        </w:rPr>
      </w:pPr>
      <w:bookmarkStart w:id="66" w:name="_Toc15416"/>
      <w:r>
        <w:rPr>
          <w:rFonts w:hint="eastAsia" w:ascii="宋体" w:hAnsi="宋体"/>
        </w:rPr>
        <w:t>1.磋商响应供应商应按本磋商文件规定的格式和顺序编制、装订响应文件，响应文件内容不完整、编排混乱导致响应文件被误读、漏读或者查找不到相关内容的，是磋商响应供应商的责任。</w:t>
      </w:r>
    </w:p>
    <w:p>
      <w:pPr>
        <w:ind w:firstLine="480" w:firstLineChars="200"/>
        <w:jc w:val="left"/>
        <w:rPr>
          <w:rFonts w:hint="eastAsia" w:ascii="宋体" w:hAnsi="宋体" w:eastAsia="宋体" w:cs="宋体"/>
        </w:rPr>
      </w:pPr>
      <w:r>
        <w:rPr>
          <w:rFonts w:hint="eastAsia" w:ascii="宋体" w:hAnsi="宋体"/>
        </w:rPr>
        <w:t>2.磋商响应供应商应按资格证明文件（纸质版）正本一份，副本无需提供（单独装袋，密封包装）；报价、商务技术部分（纸质版）编制并装订成一册，正本一份，副本三份。电子版一份（单独装袋，密封包装）：内容为已签字盖章的报价、商务技术部分编制并装订成一册正本的扫描件，PDF格式，</w:t>
      </w:r>
      <w:r>
        <w:rPr>
          <w:rFonts w:hint="eastAsia" w:ascii="宋体" w:hAnsi="宋体"/>
          <w:b/>
          <w:bCs/>
        </w:rPr>
        <w:t>U盘</w:t>
      </w:r>
      <w:r>
        <w:rPr>
          <w:rFonts w:hint="eastAsia" w:ascii="宋体" w:hAnsi="宋体"/>
        </w:rPr>
        <w:t>存储。响应文件的封面应注明“正本“、“副本”字样。</w:t>
      </w:r>
    </w:p>
    <w:p>
      <w:pPr>
        <w:ind w:firstLine="480" w:firstLineChars="200"/>
        <w:jc w:val="left"/>
        <w:rPr>
          <w:rFonts w:hint="eastAsia" w:ascii="宋体" w:hAnsi="宋体" w:eastAsia="宋体" w:cs="宋体"/>
        </w:rPr>
      </w:pPr>
      <w:r>
        <w:rPr>
          <w:rFonts w:hint="eastAsia" w:ascii="宋体" w:hAnsi="宋体" w:eastAsia="宋体" w:cs="宋体"/>
        </w:rPr>
        <w:t>▲采用活页装订（卡条、抽杆夹、订书机、散装）的响应文件将被拒绝（响应文件无效），并由现场工作人员退还供应商代表。</w:t>
      </w:r>
    </w:p>
    <w:p>
      <w:pPr>
        <w:ind w:firstLine="480" w:firstLineChars="200"/>
        <w:jc w:val="left"/>
        <w:rPr>
          <w:rFonts w:hint="eastAsia" w:ascii="宋体" w:hAnsi="宋体" w:eastAsia="宋体" w:cs="宋体"/>
        </w:rPr>
      </w:pPr>
      <w:r>
        <w:rPr>
          <w:rFonts w:hint="eastAsia" w:ascii="宋体" w:hAnsi="宋体" w:eastAsia="宋体" w:cs="宋体"/>
        </w:rPr>
        <w:t>3.响应文件的正本需打印或用不褪色的墨水填写，响应文件正本除本《磋商响应供应商须知》中规定的可提供复印件外均须提供原件（复印件须加盖公章）。副本可以是正本加盖公章后的复印件。</w:t>
      </w:r>
    </w:p>
    <w:p>
      <w:pPr>
        <w:ind w:firstLine="480" w:firstLineChars="200"/>
        <w:jc w:val="left"/>
        <w:rPr>
          <w:rFonts w:hint="eastAsia" w:ascii="宋体" w:hAnsi="宋体" w:eastAsia="宋体" w:cs="宋体"/>
        </w:rPr>
      </w:pPr>
      <w:r>
        <w:rPr>
          <w:rFonts w:hint="eastAsia" w:ascii="宋体" w:hAnsi="宋体" w:eastAsia="宋体" w:cs="宋体"/>
        </w:rPr>
        <w:t>4.响应文件须由磋商响应供应商在规定位置盖章并由法定代表人或法定代表授权人签署，磋商响应供应商应写全称。</w:t>
      </w:r>
    </w:p>
    <w:p>
      <w:pPr>
        <w:ind w:firstLine="480" w:firstLineChars="200"/>
        <w:jc w:val="left"/>
        <w:rPr>
          <w:rFonts w:hint="eastAsia" w:ascii="宋体" w:hAnsi="宋体" w:eastAsia="宋体" w:cs="宋体"/>
        </w:rPr>
      </w:pPr>
      <w:r>
        <w:rPr>
          <w:rFonts w:hint="eastAsia" w:ascii="宋体" w:hAnsi="宋体" w:eastAsia="宋体" w:cs="宋体"/>
        </w:rPr>
        <w:t>5.响应文件不得涂改，若有修改错漏处，须加盖公章或者法定代表人或授权委托人签字或盖章。响应文件因字迹潦草或表达不清所引起的后果由磋商响应供应商负责。</w:t>
      </w:r>
    </w:p>
    <w:p>
      <w:pPr>
        <w:pStyle w:val="6"/>
        <w:rPr>
          <w:rFonts w:ascii="宋体" w:hAnsi="宋体" w:cs="宋体"/>
          <w:spacing w:val="-6"/>
        </w:rPr>
      </w:pPr>
      <w:r>
        <w:rPr>
          <w:rFonts w:hint="eastAsia" w:ascii="宋体" w:hAnsi="宋体" w:cs="宋体"/>
          <w:spacing w:val="-6"/>
        </w:rPr>
        <w:t>五、响应文件的组成</w:t>
      </w:r>
      <w:bookmarkEnd w:id="66"/>
    </w:p>
    <w:p>
      <w:pPr>
        <w:pStyle w:val="12"/>
        <w:spacing w:line="360" w:lineRule="auto"/>
        <w:ind w:firstLine="480" w:firstLineChars="200"/>
        <w:jc w:val="left"/>
        <w:rPr>
          <w:rFonts w:hAnsi="宋体" w:cs="宋体"/>
          <w:spacing w:val="-6"/>
          <w:sz w:val="24"/>
          <w:szCs w:val="24"/>
        </w:rPr>
      </w:pPr>
      <w:r>
        <w:rPr>
          <w:rFonts w:hint="eastAsia" w:hAnsi="宋体" w:cs="宋体"/>
          <w:spacing w:val="0"/>
          <w:sz w:val="24"/>
          <w:szCs w:val="24"/>
        </w:rPr>
        <w:t>响应文件由资格证明文件和报价、商务技术文件两部分组成（格式详见磋商文件第六章）</w:t>
      </w:r>
      <w:r>
        <w:rPr>
          <w:rFonts w:hint="eastAsia" w:hAnsi="宋体" w:cs="宋体"/>
          <w:spacing w:val="-6"/>
          <w:sz w:val="24"/>
          <w:szCs w:val="24"/>
        </w:rPr>
        <w:t>。</w:t>
      </w:r>
    </w:p>
    <w:p>
      <w:pPr>
        <w:ind w:firstLine="229" w:firstLineChars="100"/>
        <w:rPr>
          <w:rFonts w:ascii="宋体" w:hAnsi="宋体"/>
          <w:b/>
          <w:bCs/>
          <w:spacing w:val="-6"/>
        </w:rPr>
      </w:pPr>
      <w:r>
        <w:rPr>
          <w:rFonts w:hint="eastAsia" w:ascii="宋体" w:hAnsi="宋体"/>
          <w:b/>
          <w:bCs/>
          <w:spacing w:val="-6"/>
        </w:rPr>
        <w:t>(一)资格证明文件（单独密封包装）</w:t>
      </w:r>
    </w:p>
    <w:p>
      <w:pPr>
        <w:ind w:firstLine="482"/>
        <w:rPr>
          <w:rFonts w:ascii="宋体" w:hAnsi="宋体"/>
          <w:b/>
          <w:bCs/>
        </w:rPr>
      </w:pPr>
      <w:r>
        <w:rPr>
          <w:rFonts w:hint="eastAsia" w:ascii="宋体" w:hAnsi="宋体"/>
        </w:rPr>
        <w:t>1.资格审查材料（详见磋商文件“第六章应提交的有关响应文件格式范例”中的“格式一：资格审查材料 ”）</w:t>
      </w:r>
    </w:p>
    <w:p>
      <w:pPr>
        <w:ind w:firstLine="241" w:firstLineChars="100"/>
        <w:jc w:val="left"/>
        <w:rPr>
          <w:rFonts w:ascii="宋体" w:hAnsi="宋体"/>
          <w:b/>
          <w:bCs/>
          <w:szCs w:val="32"/>
        </w:rPr>
      </w:pPr>
      <w:r>
        <w:rPr>
          <w:rFonts w:hint="eastAsia" w:ascii="宋体" w:hAnsi="宋体"/>
          <w:b/>
          <w:bCs/>
        </w:rPr>
        <w:t>(二)</w:t>
      </w:r>
      <w:r>
        <w:rPr>
          <w:rFonts w:hint="eastAsia" w:ascii="宋体" w:hAnsi="宋体"/>
          <w:b/>
          <w:bCs/>
          <w:szCs w:val="32"/>
        </w:rPr>
        <w:t>报价、商务技术文件</w:t>
      </w:r>
    </w:p>
    <w:p>
      <w:pPr>
        <w:ind w:firstLine="482" w:firstLineChars="200"/>
        <w:rPr>
          <w:rFonts w:ascii="宋体" w:hAnsi="宋体"/>
          <w:b/>
          <w:bCs/>
        </w:rPr>
      </w:pPr>
      <w:r>
        <w:rPr>
          <w:rFonts w:hint="eastAsia" w:ascii="宋体" w:hAnsi="宋体"/>
          <w:b/>
          <w:bCs/>
        </w:rPr>
        <w:t>商务技术评分索引表（必填）</w:t>
      </w:r>
    </w:p>
    <w:p>
      <w:pPr>
        <w:numPr>
          <w:ilvl w:val="0"/>
          <w:numId w:val="6"/>
        </w:numPr>
        <w:rPr>
          <w:rFonts w:ascii="宋体" w:hAnsi="宋体"/>
        </w:rPr>
      </w:pPr>
      <w:r>
        <w:rPr>
          <w:rFonts w:hint="eastAsia" w:ascii="宋体" w:hAnsi="宋体"/>
        </w:rPr>
        <w:t>响应声明书（格式附后）</w:t>
      </w:r>
    </w:p>
    <w:p>
      <w:pPr>
        <w:numPr>
          <w:ilvl w:val="0"/>
          <w:numId w:val="6"/>
        </w:numPr>
        <w:rPr>
          <w:rFonts w:ascii="宋体" w:hAnsi="宋体"/>
        </w:rPr>
      </w:pPr>
      <w:r>
        <w:rPr>
          <w:rFonts w:hint="eastAsia" w:ascii="宋体" w:hAnsi="宋体"/>
        </w:rPr>
        <w:t>响应函（格式附后）</w:t>
      </w:r>
    </w:p>
    <w:p>
      <w:pPr>
        <w:numPr>
          <w:ilvl w:val="0"/>
          <w:numId w:val="6"/>
        </w:numPr>
        <w:rPr>
          <w:rFonts w:ascii="宋体" w:hAnsi="宋体"/>
        </w:rPr>
      </w:pPr>
      <w:r>
        <w:rPr>
          <w:rFonts w:hint="eastAsia" w:ascii="宋体" w:hAnsi="宋体"/>
        </w:rPr>
        <w:t>法定代表人资格证明书（格式附后）</w:t>
      </w:r>
    </w:p>
    <w:p>
      <w:pPr>
        <w:numPr>
          <w:ilvl w:val="0"/>
          <w:numId w:val="6"/>
        </w:numPr>
        <w:rPr>
          <w:rFonts w:ascii="宋体" w:hAnsi="宋体"/>
        </w:rPr>
      </w:pPr>
      <w:r>
        <w:rPr>
          <w:rFonts w:hint="eastAsia" w:ascii="宋体" w:hAnsi="宋体"/>
        </w:rPr>
        <w:t>法定代表人授权委托书（格式附后）</w:t>
      </w:r>
    </w:p>
    <w:p>
      <w:pPr>
        <w:numPr>
          <w:ilvl w:val="0"/>
          <w:numId w:val="6"/>
        </w:numPr>
        <w:rPr>
          <w:rFonts w:ascii="宋体" w:hAnsi="宋体"/>
        </w:rPr>
      </w:pPr>
      <w:r>
        <w:rPr>
          <w:rFonts w:hint="eastAsia" w:ascii="宋体" w:hAnsi="宋体"/>
        </w:rPr>
        <w:t>初次报价一览表（格式附后）</w:t>
      </w:r>
    </w:p>
    <w:p>
      <w:pPr>
        <w:numPr>
          <w:ilvl w:val="0"/>
          <w:numId w:val="6"/>
        </w:numPr>
        <w:rPr>
          <w:rFonts w:ascii="宋体" w:hAnsi="宋体"/>
        </w:rPr>
      </w:pPr>
      <w:r>
        <w:rPr>
          <w:rFonts w:hint="eastAsia" w:ascii="宋体" w:hAnsi="宋体"/>
        </w:rPr>
        <w:t>初次报价明细表（格式附后）</w:t>
      </w:r>
    </w:p>
    <w:p>
      <w:pPr>
        <w:numPr>
          <w:ilvl w:val="0"/>
          <w:numId w:val="6"/>
        </w:numPr>
        <w:rPr>
          <w:rFonts w:ascii="宋体" w:hAnsi="宋体"/>
        </w:rPr>
      </w:pPr>
      <w:r>
        <w:rPr>
          <w:rFonts w:hint="eastAsia" w:ascii="宋体" w:hAnsi="宋体"/>
        </w:rPr>
        <w:t>《中小企业声明函》及相关证明材料（非小微企业不需要提供）（格式附后）</w:t>
      </w:r>
    </w:p>
    <w:p>
      <w:pPr>
        <w:numPr>
          <w:ilvl w:val="0"/>
          <w:numId w:val="6"/>
        </w:numPr>
        <w:rPr>
          <w:rFonts w:ascii="宋体" w:hAnsi="宋体"/>
        </w:rPr>
      </w:pPr>
      <w:r>
        <w:rPr>
          <w:rFonts w:hint="eastAsia" w:ascii="宋体" w:hAnsi="宋体"/>
        </w:rPr>
        <w:t>廉政承诺书（格式附后）</w:t>
      </w:r>
    </w:p>
    <w:p>
      <w:pPr>
        <w:numPr>
          <w:ilvl w:val="0"/>
          <w:numId w:val="6"/>
        </w:numPr>
        <w:rPr>
          <w:rFonts w:ascii="宋体" w:hAnsi="宋体"/>
        </w:rPr>
      </w:pPr>
      <w:r>
        <w:rPr>
          <w:rFonts w:hint="eastAsia" w:ascii="宋体" w:hAnsi="宋体"/>
        </w:rPr>
        <w:t>商务偏离表（格式附后）</w:t>
      </w:r>
    </w:p>
    <w:p>
      <w:pPr>
        <w:numPr>
          <w:ilvl w:val="0"/>
          <w:numId w:val="6"/>
        </w:numPr>
        <w:rPr>
          <w:rFonts w:ascii="宋体" w:hAnsi="宋体"/>
        </w:rPr>
      </w:pPr>
      <w:r>
        <w:rPr>
          <w:rFonts w:hint="eastAsia" w:ascii="宋体" w:hAnsi="宋体"/>
        </w:rPr>
        <w:t>磋商响应供应商一般情况表（格式附后）</w:t>
      </w:r>
    </w:p>
    <w:p>
      <w:pPr>
        <w:numPr>
          <w:ilvl w:val="0"/>
          <w:numId w:val="6"/>
        </w:numPr>
        <w:rPr>
          <w:rFonts w:ascii="宋体" w:hAnsi="宋体"/>
        </w:rPr>
      </w:pPr>
      <w:r>
        <w:rPr>
          <w:rFonts w:hint="eastAsia" w:ascii="宋体" w:hAnsi="宋体"/>
        </w:rPr>
        <w:t>质量管理体系（如有）、环境管理体系（如有）、职业健康及安全管理体系（如有）等资质证书复印件（如有）</w:t>
      </w:r>
    </w:p>
    <w:p>
      <w:pPr>
        <w:numPr>
          <w:ilvl w:val="0"/>
          <w:numId w:val="6"/>
        </w:numPr>
        <w:rPr>
          <w:rFonts w:ascii="宋体" w:hAnsi="宋体"/>
        </w:rPr>
      </w:pPr>
      <w:r>
        <w:rPr>
          <w:rFonts w:hint="eastAsia" w:ascii="宋体" w:hAnsi="宋体"/>
        </w:rPr>
        <w:t>2017年1月份以来同类项目实施情况一览表（格式附后）</w:t>
      </w:r>
    </w:p>
    <w:p>
      <w:pPr>
        <w:numPr>
          <w:ilvl w:val="0"/>
          <w:numId w:val="6"/>
        </w:numPr>
        <w:rPr>
          <w:rFonts w:ascii="宋体" w:hAnsi="宋体"/>
        </w:rPr>
      </w:pPr>
      <w:r>
        <w:rPr>
          <w:rFonts w:hint="eastAsia" w:ascii="宋体" w:hAnsi="宋体"/>
        </w:rPr>
        <w:t>技术规范响应表（格式附后）磋商响应供应商在响应文件中，应对项目技术规范和服务要求中所提出各项要求进行逐条逐项的答复、说明和解释。首先对实现或满足程度明确作出“正偏离”、“负偏离”等应答，然后作出具体、详细的说明。回答“无偏离”应说明如何满足，同时明确满足的程度。若采用“详见”、“参见”方式说明的，应指明所指文档（应是响应文件的组成部分）的</w:t>
      </w:r>
      <w:r>
        <w:rPr>
          <w:rFonts w:hint="eastAsia" w:ascii="宋体" w:hAnsi="宋体"/>
          <w:b/>
          <w:bCs/>
        </w:rPr>
        <w:t>具体章节及页码</w:t>
      </w:r>
      <w:r>
        <w:rPr>
          <w:rFonts w:hint="eastAsia" w:ascii="宋体" w:hAnsi="宋体"/>
        </w:rPr>
        <w:t>。任何含糊不清的表示对评标结果的影响将是磋商响应供应商的责任</w:t>
      </w:r>
    </w:p>
    <w:p>
      <w:pPr>
        <w:numPr>
          <w:ilvl w:val="0"/>
          <w:numId w:val="6"/>
        </w:numPr>
        <w:rPr>
          <w:rFonts w:ascii="宋体" w:hAnsi="宋体"/>
        </w:rPr>
      </w:pPr>
      <w:r>
        <w:rPr>
          <w:rFonts w:hint="eastAsia" w:ascii="宋体" w:hAnsi="宋体"/>
        </w:rPr>
        <w:t>产品规格配置清单（不含报价）及质保期满后备品备件的配置清单（格式附后）</w:t>
      </w:r>
    </w:p>
    <w:p>
      <w:pPr>
        <w:numPr>
          <w:ilvl w:val="0"/>
          <w:numId w:val="6"/>
        </w:numPr>
        <w:rPr>
          <w:rFonts w:ascii="宋体" w:hAnsi="宋体"/>
        </w:rPr>
      </w:pPr>
      <w:r>
        <w:rPr>
          <w:rFonts w:hint="eastAsia" w:ascii="宋体" w:hAnsi="宋体"/>
        </w:rPr>
        <w:t>磋商产品介绍（如有宣传册、彩页等应与响应文件装订在一起）（格式自拟）</w:t>
      </w:r>
    </w:p>
    <w:p>
      <w:pPr>
        <w:numPr>
          <w:ilvl w:val="0"/>
          <w:numId w:val="6"/>
        </w:numPr>
        <w:rPr>
          <w:rFonts w:ascii="宋体" w:hAnsi="宋体"/>
        </w:rPr>
      </w:pPr>
      <w:r>
        <w:rPr>
          <w:rFonts w:hint="eastAsia" w:ascii="宋体" w:hAnsi="宋体"/>
        </w:rPr>
        <w:t>组织实施方案（格式自拟）</w:t>
      </w:r>
    </w:p>
    <w:p>
      <w:pPr>
        <w:numPr>
          <w:ilvl w:val="0"/>
          <w:numId w:val="6"/>
        </w:numPr>
        <w:rPr>
          <w:rFonts w:ascii="宋体" w:hAnsi="宋体"/>
        </w:rPr>
      </w:pPr>
      <w:r>
        <w:rPr>
          <w:rFonts w:hint="eastAsia" w:ascii="宋体" w:hAnsi="宋体"/>
        </w:rPr>
        <w:t>拟投入本项目的服务团队情况表（格式附后）</w:t>
      </w:r>
    </w:p>
    <w:p>
      <w:pPr>
        <w:numPr>
          <w:ilvl w:val="0"/>
          <w:numId w:val="6"/>
        </w:numPr>
        <w:rPr>
          <w:rFonts w:ascii="宋体" w:hAnsi="宋体"/>
        </w:rPr>
      </w:pPr>
      <w:r>
        <w:rPr>
          <w:rFonts w:hint="eastAsia" w:ascii="宋体" w:hAnsi="宋体"/>
        </w:rPr>
        <w:t>设备工具配备（格式自拟）</w:t>
      </w:r>
    </w:p>
    <w:p>
      <w:pPr>
        <w:numPr>
          <w:ilvl w:val="0"/>
          <w:numId w:val="6"/>
        </w:numPr>
        <w:rPr>
          <w:rFonts w:ascii="宋体" w:hAnsi="宋体"/>
        </w:rPr>
      </w:pPr>
      <w:r>
        <w:rPr>
          <w:rFonts w:hint="eastAsia" w:ascii="宋体" w:hAnsi="宋体"/>
        </w:rPr>
        <w:t>售后服务方案（格式自拟）</w:t>
      </w:r>
    </w:p>
    <w:p>
      <w:pPr>
        <w:numPr>
          <w:ilvl w:val="0"/>
          <w:numId w:val="6"/>
        </w:numPr>
        <w:rPr>
          <w:rFonts w:ascii="宋体" w:hAnsi="宋体"/>
        </w:rPr>
      </w:pPr>
      <w:r>
        <w:rPr>
          <w:rFonts w:hint="eastAsia" w:ascii="宋体" w:hAnsi="宋体"/>
        </w:rPr>
        <w:t>质量保证措施（格式自拟）</w:t>
      </w:r>
    </w:p>
    <w:p>
      <w:pPr>
        <w:numPr>
          <w:ilvl w:val="0"/>
          <w:numId w:val="6"/>
        </w:numPr>
        <w:rPr>
          <w:rFonts w:ascii="宋体" w:hAnsi="宋体"/>
        </w:rPr>
      </w:pPr>
      <w:r>
        <w:rPr>
          <w:rFonts w:hint="eastAsia" w:ascii="宋体" w:hAnsi="宋体"/>
        </w:rPr>
        <w:t>合理化建议和优惠承诺（格式自拟）</w:t>
      </w:r>
    </w:p>
    <w:p>
      <w:pPr>
        <w:numPr>
          <w:ilvl w:val="0"/>
          <w:numId w:val="6"/>
        </w:numPr>
        <w:rPr>
          <w:rFonts w:ascii="宋体" w:hAnsi="宋体"/>
        </w:rPr>
      </w:pPr>
      <w:r>
        <w:rPr>
          <w:rFonts w:hint="eastAsia" w:ascii="宋体" w:hAnsi="宋体"/>
        </w:rPr>
        <w:t>其它本磋商文件评分表要求提供的材料或响应供应商认为需要的其他技术文件资料或说明。（格式自拟）</w:t>
      </w:r>
    </w:p>
    <w:p>
      <w:pPr>
        <w:rPr>
          <w:rFonts w:ascii="宋体" w:hAnsi="宋体"/>
          <w:b/>
          <w:bCs/>
        </w:rPr>
      </w:pPr>
      <w:r>
        <w:rPr>
          <w:rFonts w:hint="eastAsia" w:ascii="宋体" w:hAnsi="宋体"/>
          <w:b/>
          <w:bCs/>
        </w:rPr>
        <w:t>以上所需的各种证书、证件、证明、证照若系复印件，须在复印件上加盖有效公章。</w:t>
      </w:r>
    </w:p>
    <w:p>
      <w:pPr>
        <w:rPr>
          <w:rFonts w:ascii="宋体" w:hAnsi="宋体"/>
        </w:rPr>
      </w:pPr>
    </w:p>
    <w:p>
      <w:pPr>
        <w:ind w:firstLine="456" w:firstLineChars="200"/>
        <w:jc w:val="left"/>
        <w:rPr>
          <w:rFonts w:ascii="宋体" w:hAnsi="宋体"/>
          <w:spacing w:val="-6"/>
        </w:rPr>
      </w:pPr>
    </w:p>
    <w:p>
      <w:pPr>
        <w:pStyle w:val="5"/>
        <w:rPr>
          <w:rFonts w:ascii="宋体" w:hAnsi="宋体" w:cs="宋体"/>
          <w:color w:val="auto"/>
        </w:rPr>
      </w:pPr>
      <w:r>
        <w:rPr>
          <w:rFonts w:hint="eastAsia" w:ascii="宋体" w:hAnsi="宋体" w:cs="宋体"/>
          <w:color w:val="auto"/>
          <w:sz w:val="21"/>
          <w:szCs w:val="21"/>
        </w:rPr>
        <w:br w:type="page"/>
      </w:r>
      <w:bookmarkStart w:id="67" w:name="_Toc24693"/>
      <w:bookmarkStart w:id="68" w:name="_Toc528579041"/>
      <w:bookmarkStart w:id="69" w:name="_Toc20424"/>
      <w:bookmarkStart w:id="70" w:name="_Toc31317"/>
      <w:bookmarkStart w:id="71" w:name="_Toc21211"/>
      <w:r>
        <w:rPr>
          <w:rFonts w:hint="eastAsia" w:ascii="宋体" w:hAnsi="宋体" w:cs="宋体"/>
          <w:color w:val="auto"/>
        </w:rPr>
        <w:t>第三节  响应文件的编制</w:t>
      </w:r>
      <w:bookmarkEnd w:id="67"/>
      <w:bookmarkEnd w:id="68"/>
      <w:bookmarkEnd w:id="69"/>
      <w:bookmarkEnd w:id="70"/>
      <w:bookmarkEnd w:id="71"/>
    </w:p>
    <w:p>
      <w:pPr>
        <w:pStyle w:val="6"/>
        <w:rPr>
          <w:rFonts w:ascii="宋体" w:hAnsi="宋体" w:cs="宋体"/>
        </w:rPr>
      </w:pPr>
      <w:bookmarkStart w:id="72" w:name="_Toc2096"/>
      <w:r>
        <w:rPr>
          <w:rFonts w:hint="eastAsia" w:ascii="宋体" w:hAnsi="宋体" w:cs="宋体"/>
        </w:rPr>
        <w:t>一、响应文件的包装、递交、修改和撤回</w:t>
      </w:r>
      <w:bookmarkEnd w:id="72"/>
    </w:p>
    <w:p>
      <w:pPr>
        <w:ind w:firstLine="480" w:firstLineChars="200"/>
        <w:rPr>
          <w:rFonts w:ascii="宋体" w:hAnsi="宋体"/>
          <w:spacing w:val="-6"/>
        </w:rPr>
      </w:pPr>
      <w:r>
        <w:rPr>
          <w:rFonts w:hint="eastAsia" w:ascii="宋体" w:hAnsi="宋体"/>
        </w:rPr>
        <w:t>1.</w:t>
      </w:r>
      <w:r>
        <w:rPr>
          <w:rFonts w:hint="eastAsia" w:ascii="宋体" w:hAnsi="宋体"/>
          <w:spacing w:val="-6"/>
        </w:rPr>
        <w:t>磋商响应供应商应在响应文件包装封面上注明磋商响应供应商名称、磋商响应供应商地址、磋商响应项目名称、项目编号及“响应文件开启时启封”字样，并加盖磋商响应供应商公章。</w:t>
      </w:r>
    </w:p>
    <w:p>
      <w:pPr>
        <w:ind w:firstLine="480" w:firstLineChars="200"/>
        <w:rPr>
          <w:rFonts w:ascii="宋体" w:hAnsi="宋体"/>
          <w:spacing w:val="-6"/>
        </w:rPr>
      </w:pPr>
      <w:r>
        <w:rPr>
          <w:rFonts w:hint="eastAsia" w:ascii="宋体" w:hAnsi="宋体"/>
        </w:rPr>
        <w:t>2.</w:t>
      </w:r>
      <w:r>
        <w:rPr>
          <w:rFonts w:hint="eastAsia" w:ascii="宋体" w:hAnsi="宋体"/>
          <w:spacing w:val="-6"/>
        </w:rPr>
        <w:t>未按规定密封或标记的响应文件将被拒绝，由此造成响应文件被误投或提前拆封的风险由磋商响应供应商承担。</w:t>
      </w:r>
    </w:p>
    <w:p>
      <w:pPr>
        <w:ind w:firstLine="480" w:firstLineChars="200"/>
        <w:rPr>
          <w:rFonts w:ascii="宋体" w:hAnsi="宋体"/>
          <w:spacing w:val="-6"/>
        </w:rPr>
      </w:pPr>
      <w:r>
        <w:rPr>
          <w:rFonts w:hint="eastAsia" w:ascii="宋体" w:hAnsi="宋体"/>
        </w:rPr>
        <w:t>3.</w:t>
      </w:r>
      <w:r>
        <w:rPr>
          <w:rFonts w:hint="eastAsia" w:ascii="宋体" w:hAnsi="宋体"/>
          <w:spacing w:val="-6"/>
        </w:rPr>
        <w:t>磋商响应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6"/>
        <w:rPr>
          <w:rFonts w:ascii="宋体" w:hAnsi="宋体" w:cs="宋体"/>
        </w:rPr>
      </w:pPr>
      <w:bookmarkStart w:id="73" w:name="_Toc11026"/>
      <w:r>
        <w:rPr>
          <w:rFonts w:hint="eastAsia" w:ascii="宋体" w:hAnsi="宋体" w:cs="宋体"/>
        </w:rPr>
        <w:t>二、响应文件的语言及计量</w:t>
      </w:r>
      <w:bookmarkEnd w:id="73"/>
    </w:p>
    <w:p>
      <w:pPr>
        <w:ind w:firstLine="456" w:firstLineChars="200"/>
        <w:jc w:val="left"/>
        <w:rPr>
          <w:rFonts w:ascii="宋体" w:hAnsi="宋体"/>
          <w:spacing w:val="-6"/>
        </w:rPr>
      </w:pPr>
      <w:r>
        <w:rPr>
          <w:rFonts w:hint="eastAsia" w:ascii="宋体" w:hAnsi="宋体"/>
          <w:spacing w:val="-6"/>
        </w:rPr>
        <w:t>响应文件以及磋商响应供应商与采购人、采购代理机构就有关磋商响应事宜的所有来往函电，均应以中文汉语书写。除签名、盖章、专用名称等特殊情形外，以中文汉语以外的文字表述的响应文件视同未提供（有中文汉语说明的除外）。</w:t>
      </w:r>
    </w:p>
    <w:p>
      <w:pPr>
        <w:pStyle w:val="6"/>
        <w:numPr>
          <w:ilvl w:val="0"/>
          <w:numId w:val="7"/>
        </w:numPr>
        <w:rPr>
          <w:rFonts w:ascii="宋体" w:hAnsi="宋体" w:cs="宋体"/>
        </w:rPr>
      </w:pPr>
      <w:bookmarkStart w:id="74" w:name="_Toc11778"/>
      <w:r>
        <w:rPr>
          <w:rFonts w:hint="eastAsia" w:ascii="宋体" w:hAnsi="宋体" w:cs="宋体"/>
        </w:rPr>
        <w:t>磋商响应报价</w:t>
      </w:r>
      <w:bookmarkEnd w:id="74"/>
    </w:p>
    <w:p>
      <w:pPr>
        <w:ind w:firstLine="480" w:firstLineChars="200"/>
        <w:rPr>
          <w:rFonts w:ascii="宋体" w:hAnsi="宋体"/>
        </w:rPr>
      </w:pPr>
      <w:r>
        <w:rPr>
          <w:rFonts w:hint="eastAsia" w:ascii="宋体" w:hAnsi="宋体"/>
        </w:rPr>
        <w:t>1.磋商响应报价方式：设备费须包含设备（包括主机、标准附件、标准备品备件、专用工具、设备主体、关键部件、主要配件、特殊工具、消耗件等）价、设备运杂费、保险费、利润、关税（若有）、税金等；其中国产设备按人民币报价，进口免税设备也按人民币报价，既有国产设备，又有进口设备的，也统一按人民币报价。磋商响应供应商根据磋商文件的要求，将产品供货、包装、安装、调试、检验、检测、通过验收直至交付使用单位，达到使用要求及质量标准、质保期服务所需的全部费用及招标代理服务费均包含在总价之中（货物类适用），</w:t>
      </w:r>
      <w:r>
        <w:rPr>
          <w:rFonts w:hint="eastAsia" w:ascii="宋体" w:hAnsi="宋体"/>
          <w:lang w:val="zh-CN"/>
        </w:rPr>
        <w:t>不需要</w:t>
      </w:r>
      <w:r>
        <w:rPr>
          <w:rFonts w:hint="eastAsia" w:ascii="宋体" w:hAnsi="宋体"/>
        </w:rPr>
        <w:t>采购方</w:t>
      </w:r>
      <w:r>
        <w:rPr>
          <w:rFonts w:hint="eastAsia" w:ascii="宋体" w:hAnsi="宋体"/>
          <w:lang w:val="zh-CN"/>
        </w:rPr>
        <w:t>额外支付其他费用。</w:t>
      </w:r>
      <w:r>
        <w:rPr>
          <w:rFonts w:hint="eastAsia" w:ascii="宋体" w:hAnsi="宋体"/>
        </w:rPr>
        <w:t>磋商响应供应商的报价应按磋商文件要求的格式、顺序编制。</w:t>
      </w:r>
    </w:p>
    <w:p>
      <w:pPr>
        <w:ind w:firstLine="480" w:firstLineChars="200"/>
        <w:rPr>
          <w:rFonts w:ascii="宋体" w:hAnsi="宋体"/>
        </w:rPr>
      </w:pPr>
      <w:r>
        <w:rPr>
          <w:rFonts w:hint="eastAsia" w:ascii="宋体" w:hAnsi="宋体"/>
        </w:rPr>
        <w:t>2.磋商响应报价应按不同费用类别分开填写，详见响应文件附件格式。</w:t>
      </w:r>
    </w:p>
    <w:p>
      <w:pPr>
        <w:ind w:firstLine="480" w:firstLineChars="200"/>
        <w:rPr>
          <w:rFonts w:ascii="宋体" w:hAnsi="宋体"/>
        </w:rPr>
      </w:pPr>
      <w:r>
        <w:rPr>
          <w:rFonts w:hint="eastAsia" w:ascii="宋体" w:hAnsi="宋体"/>
        </w:rPr>
        <w:t>3.本次标项只允许有一个报价，响应</w:t>
      </w:r>
      <w:r>
        <w:rPr>
          <w:rFonts w:hint="eastAsia" w:ascii="宋体" w:hAnsi="宋体"/>
          <w:lang w:val="zh-CN"/>
        </w:rPr>
        <w:t>报价</w:t>
      </w:r>
      <w:r>
        <w:rPr>
          <w:rFonts w:hint="eastAsia" w:ascii="宋体" w:hAnsi="宋体"/>
        </w:rPr>
        <w:t>必须为人民币报价且</w:t>
      </w:r>
      <w:r>
        <w:rPr>
          <w:rFonts w:hint="eastAsia" w:ascii="宋体" w:hAnsi="宋体"/>
          <w:lang w:val="zh-CN"/>
        </w:rPr>
        <w:t>应在项目预算之内，</w:t>
      </w:r>
      <w:r>
        <w:rPr>
          <w:rFonts w:hint="eastAsia" w:ascii="宋体" w:hAnsi="宋体"/>
        </w:rPr>
        <w:t>以</w:t>
      </w:r>
      <w:r>
        <w:rPr>
          <w:rFonts w:hint="eastAsia" w:ascii="宋体" w:hAnsi="宋体"/>
          <w:lang w:val="zh-CN"/>
        </w:rPr>
        <w:t>人民币</w:t>
      </w:r>
      <w:r>
        <w:rPr>
          <w:rFonts w:hint="eastAsia" w:ascii="宋体" w:hAnsi="宋体"/>
        </w:rPr>
        <w:t>所报的</w:t>
      </w:r>
      <w:r>
        <w:rPr>
          <w:rFonts w:hint="eastAsia" w:ascii="宋体" w:hAnsi="宋体"/>
          <w:lang w:val="zh-CN"/>
        </w:rPr>
        <w:t>价</w:t>
      </w:r>
      <w:r>
        <w:rPr>
          <w:rFonts w:hint="eastAsia" w:ascii="宋体" w:hAnsi="宋体"/>
        </w:rPr>
        <w:t>格</w:t>
      </w:r>
      <w:r>
        <w:rPr>
          <w:rFonts w:hint="eastAsia" w:ascii="宋体" w:hAnsi="宋体"/>
          <w:lang w:val="zh-CN"/>
        </w:rPr>
        <w:t>直接作为价格分计算依据。不</w:t>
      </w:r>
      <w:r>
        <w:rPr>
          <w:rFonts w:hint="eastAsia" w:ascii="宋体" w:hAnsi="宋体"/>
        </w:rPr>
        <w:t>符合此要求</w:t>
      </w:r>
      <w:r>
        <w:rPr>
          <w:rFonts w:hint="eastAsia" w:ascii="宋体" w:hAnsi="宋体"/>
          <w:lang w:val="zh-CN"/>
        </w:rPr>
        <w:t>的竞争性磋商文件按无效标处理。</w:t>
      </w:r>
    </w:p>
    <w:p>
      <w:pPr>
        <w:ind w:firstLine="480" w:firstLineChars="200"/>
        <w:rPr>
          <w:rFonts w:ascii="宋体" w:hAnsi="宋体"/>
        </w:rPr>
      </w:pPr>
      <w:r>
        <w:rPr>
          <w:rFonts w:hint="eastAsia" w:ascii="宋体" w:hAnsi="宋体"/>
        </w:rPr>
        <w:t>4.磋商响应供应商对本项目的产品或服务必须按采购数量全部进行报价。</w:t>
      </w:r>
    </w:p>
    <w:p>
      <w:pPr>
        <w:pStyle w:val="11"/>
        <w:ind w:firstLine="480" w:firstLineChars="200"/>
        <w:rPr>
          <w:rFonts w:ascii="宋体" w:hAnsi="宋体" w:eastAsia="宋体"/>
          <w:b w:val="0"/>
          <w:spacing w:val="0"/>
          <w:sz w:val="24"/>
          <w:szCs w:val="24"/>
        </w:rPr>
      </w:pPr>
      <w:r>
        <w:rPr>
          <w:rFonts w:hint="eastAsia" w:ascii="宋体" w:hAnsi="宋体" w:eastAsia="宋体"/>
          <w:b w:val="0"/>
          <w:spacing w:val="0"/>
          <w:sz w:val="24"/>
          <w:szCs w:val="24"/>
        </w:rPr>
        <w:t xml:space="preserve">5.成交供应商如与境外供应商约定外币计价的，汇率风险由成交供应商自行承担。 </w:t>
      </w:r>
    </w:p>
    <w:p>
      <w:pPr>
        <w:ind w:firstLine="480" w:firstLineChars="200"/>
        <w:rPr>
          <w:rFonts w:ascii="宋体" w:hAnsi="宋体"/>
        </w:rPr>
      </w:pPr>
      <w:r>
        <w:rPr>
          <w:rFonts w:hint="eastAsia" w:ascii="宋体" w:hAnsi="宋体"/>
        </w:rPr>
        <w:t>6.如需采购人办理进口（减免税）手续，由采购人指定外贸代理机构办理，外贸代理费由成交供应商支付。代理费相关事宜详细见《外贸代理费说明》。</w:t>
      </w:r>
    </w:p>
    <w:p>
      <w:pPr>
        <w:ind w:firstLine="480" w:firstLineChars="200"/>
        <w:rPr>
          <w:rFonts w:ascii="宋体" w:hAnsi="宋体"/>
        </w:rPr>
      </w:pPr>
      <w:r>
        <w:rPr>
          <w:rFonts w:hint="eastAsia" w:ascii="宋体" w:hAnsi="宋体"/>
        </w:rPr>
        <w:t>7.外贸代理费说明</w:t>
      </w:r>
    </w:p>
    <w:p>
      <w:pPr>
        <w:ind w:firstLine="480" w:firstLineChars="200"/>
        <w:rPr>
          <w:rFonts w:ascii="宋体" w:hAnsi="宋体"/>
        </w:rPr>
      </w:pPr>
      <w:r>
        <w:rPr>
          <w:rFonts w:hint="eastAsia" w:ascii="宋体" w:hAnsi="宋体"/>
        </w:rPr>
        <w:t>外贸代理费用包括外贸代理公司的服务费和代收费用，均由成交供应商承担。为规范计费，将代收费用分为常规代收费和额外代收费两类。杭州进港杭州地区安装及约定的常规方式产生的代收费特指为常规代收费，服务费和常规代收费根据单个外贸合同的金额(人民币金额)按下表费率包干计算：</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7"/>
        <w:gridCol w:w="3347"/>
        <w:gridCol w:w="2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外贸合同金额</w:t>
            </w:r>
          </w:p>
        </w:tc>
        <w:tc>
          <w:tcPr>
            <w:tcW w:w="1738"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费率报价</w:t>
            </w:r>
          </w:p>
        </w:tc>
        <w:tc>
          <w:tcPr>
            <w:tcW w:w="1512" w:type="pct"/>
            <w:tcBorders>
              <w:bottom w:val="single" w:color="auto" w:sz="4" w:space="0"/>
            </w:tcBorders>
            <w:vAlign w:val="center"/>
          </w:tcPr>
          <w:p>
            <w:pPr>
              <w:spacing w:line="288" w:lineRule="auto"/>
              <w:jc w:val="center"/>
              <w:rPr>
                <w:rFonts w:ascii="宋体" w:hAnsi="宋体"/>
                <w:bCs/>
                <w:sz w:val="21"/>
                <w:szCs w:val="21"/>
              </w:rPr>
            </w:pPr>
            <w:r>
              <w:rPr>
                <w:rFonts w:hint="eastAsia" w:ascii="宋体" w:hAnsi="宋体"/>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10万以下</w:t>
            </w:r>
          </w:p>
        </w:tc>
        <w:tc>
          <w:tcPr>
            <w:tcW w:w="1738" w:type="pct"/>
            <w:vAlign w:val="center"/>
          </w:tcPr>
          <w:p>
            <w:pPr>
              <w:spacing w:line="288" w:lineRule="auto"/>
              <w:jc w:val="center"/>
              <w:rPr>
                <w:rFonts w:ascii="宋体" w:hAnsi="宋体"/>
                <w:bCs/>
                <w:sz w:val="21"/>
                <w:szCs w:val="21"/>
              </w:rPr>
            </w:pPr>
            <w:r>
              <w:rPr>
                <w:rFonts w:hint="eastAsia" w:ascii="宋体" w:hAnsi="宋体"/>
                <w:bCs/>
                <w:sz w:val="21"/>
                <w:szCs w:val="21"/>
              </w:rPr>
              <w:t>2450人民币元</w:t>
            </w:r>
          </w:p>
        </w:tc>
        <w:tc>
          <w:tcPr>
            <w:tcW w:w="1512" w:type="pct"/>
            <w:vAlign w:val="center"/>
          </w:tcPr>
          <w:p>
            <w:pPr>
              <w:spacing w:line="288" w:lineRule="auto"/>
              <w:jc w:val="center"/>
              <w:rPr>
                <w:rFonts w:ascii="宋体" w:hAnsi="宋体"/>
                <w:bCs/>
                <w:sz w:val="21"/>
                <w:szCs w:val="21"/>
              </w:rPr>
            </w:pPr>
            <w:r>
              <w:rPr>
                <w:rFonts w:hint="eastAsia" w:ascii="宋体" w:hAnsi="宋体"/>
                <w:bCs/>
                <w:sz w:val="21"/>
                <w:szCs w:val="21"/>
              </w:rPr>
              <w:t>固定金额收费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［10-35)万</w:t>
            </w:r>
          </w:p>
        </w:tc>
        <w:tc>
          <w:tcPr>
            <w:tcW w:w="3347" w:type="dxa"/>
            <w:vAlign w:val="center"/>
          </w:tcPr>
          <w:p>
            <w:pPr>
              <w:spacing w:line="288" w:lineRule="auto"/>
              <w:jc w:val="center"/>
              <w:rPr>
                <w:rFonts w:ascii="宋体" w:hAnsi="宋体"/>
                <w:bCs/>
                <w:sz w:val="21"/>
                <w:szCs w:val="21"/>
              </w:rPr>
            </w:pPr>
            <w:r>
              <w:rPr>
                <w:rFonts w:hint="eastAsia" w:ascii="宋体" w:hAnsi="宋体"/>
                <w:bCs/>
                <w:sz w:val="21"/>
                <w:szCs w:val="21"/>
              </w:rPr>
              <w:t>2.00%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［35-70)万</w:t>
            </w:r>
          </w:p>
        </w:tc>
        <w:tc>
          <w:tcPr>
            <w:tcW w:w="3347" w:type="dxa"/>
            <w:vAlign w:val="center"/>
          </w:tcPr>
          <w:p>
            <w:pPr>
              <w:spacing w:line="288" w:lineRule="auto"/>
              <w:jc w:val="center"/>
              <w:rPr>
                <w:rFonts w:ascii="宋体" w:hAnsi="宋体"/>
                <w:bCs/>
                <w:sz w:val="21"/>
                <w:szCs w:val="21"/>
              </w:rPr>
            </w:pPr>
            <w:r>
              <w:rPr>
                <w:rFonts w:hint="eastAsia" w:ascii="宋体" w:hAnsi="宋体"/>
                <w:bCs/>
                <w:sz w:val="21"/>
                <w:szCs w:val="21"/>
              </w:rPr>
              <w:t>1.50%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［70-140)万</w:t>
            </w:r>
          </w:p>
        </w:tc>
        <w:tc>
          <w:tcPr>
            <w:tcW w:w="3347" w:type="dxa"/>
            <w:vAlign w:val="center"/>
          </w:tcPr>
          <w:p>
            <w:pPr>
              <w:spacing w:line="288" w:lineRule="auto"/>
              <w:jc w:val="center"/>
              <w:rPr>
                <w:rFonts w:ascii="宋体" w:hAnsi="宋体"/>
                <w:bCs/>
                <w:sz w:val="21"/>
                <w:szCs w:val="21"/>
              </w:rPr>
            </w:pPr>
            <w:r>
              <w:rPr>
                <w:rFonts w:hint="eastAsia" w:ascii="宋体" w:hAnsi="宋体"/>
                <w:bCs/>
                <w:sz w:val="21"/>
                <w:szCs w:val="21"/>
              </w:rPr>
              <w:t>1.20%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［140-350)万</w:t>
            </w:r>
          </w:p>
        </w:tc>
        <w:tc>
          <w:tcPr>
            <w:tcW w:w="3347" w:type="dxa"/>
            <w:vAlign w:val="center"/>
          </w:tcPr>
          <w:p>
            <w:pPr>
              <w:spacing w:line="288" w:lineRule="auto"/>
              <w:jc w:val="center"/>
              <w:rPr>
                <w:rFonts w:ascii="宋体" w:hAnsi="宋体"/>
                <w:bCs/>
                <w:sz w:val="21"/>
                <w:szCs w:val="21"/>
              </w:rPr>
            </w:pPr>
            <w:r>
              <w:rPr>
                <w:rFonts w:hint="eastAsia" w:ascii="宋体" w:hAnsi="宋体"/>
                <w:bCs/>
                <w:sz w:val="21"/>
                <w:szCs w:val="21"/>
              </w:rPr>
              <w:t>0.70%</w:t>
            </w:r>
          </w:p>
        </w:tc>
        <w:tc>
          <w:tcPr>
            <w:tcW w:w="1512" w:type="pct"/>
            <w:vAlign w:val="center"/>
          </w:tcPr>
          <w:p>
            <w:pPr>
              <w:spacing w:line="288"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8" w:type="pct"/>
            <w:vAlign w:val="center"/>
          </w:tcPr>
          <w:p>
            <w:pPr>
              <w:spacing w:line="288" w:lineRule="auto"/>
              <w:jc w:val="center"/>
              <w:rPr>
                <w:rFonts w:ascii="宋体" w:hAnsi="宋体"/>
                <w:bCs/>
                <w:sz w:val="21"/>
                <w:szCs w:val="21"/>
              </w:rPr>
            </w:pPr>
            <w:r>
              <w:rPr>
                <w:rFonts w:hint="eastAsia" w:ascii="宋体" w:hAnsi="宋体"/>
                <w:bCs/>
                <w:sz w:val="21"/>
                <w:szCs w:val="21"/>
              </w:rPr>
              <w:t>350万及以上</w:t>
            </w:r>
          </w:p>
        </w:tc>
        <w:tc>
          <w:tcPr>
            <w:tcW w:w="3347" w:type="dxa"/>
            <w:vAlign w:val="center"/>
          </w:tcPr>
          <w:p>
            <w:pPr>
              <w:spacing w:line="288" w:lineRule="auto"/>
              <w:jc w:val="center"/>
              <w:rPr>
                <w:rFonts w:ascii="宋体" w:hAnsi="宋体"/>
                <w:bCs/>
                <w:sz w:val="21"/>
                <w:szCs w:val="21"/>
              </w:rPr>
            </w:pPr>
            <w:r>
              <w:rPr>
                <w:rFonts w:hint="eastAsia" w:ascii="宋体" w:hAnsi="宋体"/>
                <w:bCs/>
                <w:sz w:val="21"/>
                <w:szCs w:val="21"/>
              </w:rPr>
              <w:t>0.50%</w:t>
            </w:r>
          </w:p>
        </w:tc>
        <w:tc>
          <w:tcPr>
            <w:tcW w:w="1512" w:type="pct"/>
            <w:vAlign w:val="center"/>
          </w:tcPr>
          <w:p>
            <w:pPr>
              <w:spacing w:line="288" w:lineRule="auto"/>
              <w:jc w:val="center"/>
              <w:rPr>
                <w:rFonts w:ascii="宋体" w:hAnsi="宋体"/>
                <w:bCs/>
                <w:sz w:val="21"/>
                <w:szCs w:val="21"/>
              </w:rPr>
            </w:pPr>
          </w:p>
        </w:tc>
      </w:tr>
    </w:tbl>
    <w:p>
      <w:pPr>
        <w:ind w:firstLine="480" w:firstLineChars="200"/>
        <w:rPr>
          <w:rFonts w:ascii="宋体" w:hAnsi="宋体"/>
        </w:rPr>
      </w:pPr>
      <w:r>
        <w:rPr>
          <w:rFonts w:hint="eastAsia" w:ascii="宋体" w:hAnsi="宋体"/>
        </w:rPr>
        <w:t>额外代收费指在办理进口及减免税过程中不能按约定的常规方式办理导致的额外支出，如以下费用：</w:t>
      </w:r>
    </w:p>
    <w:p>
      <w:pPr>
        <w:ind w:firstLine="480" w:firstLineChars="200"/>
        <w:rPr>
          <w:rFonts w:ascii="宋体" w:hAnsi="宋体"/>
        </w:rPr>
      </w:pPr>
      <w:r>
        <w:rPr>
          <w:rFonts w:hint="eastAsia" w:ascii="宋体" w:hAnsi="宋体"/>
        </w:rPr>
        <w:t>（1）将一次性支付变更为多次付费的，由提出方承担增加的银行费用。如一个成交项目需要分开签署多份外贸合同的，每个合同根据合同金额所处区间确定代理费率。</w:t>
      </w:r>
    </w:p>
    <w:p>
      <w:pPr>
        <w:ind w:firstLine="480" w:firstLineChars="200"/>
        <w:rPr>
          <w:rFonts w:ascii="宋体" w:hAnsi="宋体"/>
        </w:rPr>
      </w:pPr>
      <w:r>
        <w:rPr>
          <w:rFonts w:hint="eastAsia" w:ascii="宋体" w:hAnsi="宋体"/>
        </w:rPr>
        <w:t>（2）货物到港地为杭州以外的异地目的港，或者货物最终目的地为杭州以外的异地地点时，需要产生的额外运费、保险费和搬卸费。</w:t>
      </w:r>
    </w:p>
    <w:p>
      <w:pPr>
        <w:ind w:firstLine="480" w:firstLineChars="200"/>
        <w:rPr>
          <w:rFonts w:ascii="宋体" w:hAnsi="宋体"/>
        </w:rPr>
      </w:pPr>
      <w:r>
        <w:rPr>
          <w:rFonts w:hint="eastAsia" w:ascii="宋体" w:hAnsi="宋体"/>
        </w:rPr>
        <w:t xml:space="preserve">（3）海运进口换单费超出 300元/票的部分 (此条款针对个别海运进口的供应商，在发货当地选择价格特别低廉甚至0成本运费的方式，从而把物流成本转嫁到国内段，以换单费等形式向国内客户收取的情况)。 </w:t>
      </w:r>
    </w:p>
    <w:p>
      <w:pPr>
        <w:ind w:firstLine="480" w:firstLineChars="200"/>
        <w:rPr>
          <w:rFonts w:ascii="宋体" w:hAnsi="宋体"/>
        </w:rPr>
      </w:pPr>
      <w:r>
        <w:rPr>
          <w:rFonts w:hint="eastAsia" w:ascii="宋体" w:hAnsi="宋体"/>
        </w:rPr>
        <w:t>（4）特种设备检测费、能效检测费、最终用户和最终用途说明办理费用；特殊物品生物卫生检验备案费等其它特殊收费；因特殊原因导致额外增加的仓储费，如入冷冻仓库和危险品仓库的仓储费；需要使用特殊运输车辆（如避震车、冷链运输等）的费用；试剂类产品额外增加费用。</w:t>
      </w:r>
    </w:p>
    <w:p>
      <w:pPr>
        <w:ind w:firstLine="480" w:firstLineChars="200"/>
        <w:rPr>
          <w:rFonts w:ascii="宋体" w:hAnsi="宋体"/>
        </w:rPr>
      </w:pPr>
      <w:r>
        <w:rPr>
          <w:rFonts w:hint="eastAsia" w:ascii="宋体" w:hAnsi="宋体"/>
        </w:rPr>
        <w:t>（5）因供应商指定货代导致的额外费用。</w:t>
      </w:r>
    </w:p>
    <w:p>
      <w:pPr>
        <w:ind w:firstLine="480" w:firstLineChars="200"/>
        <w:rPr>
          <w:rFonts w:ascii="宋体" w:hAnsi="宋体"/>
        </w:rPr>
      </w:pPr>
      <w:r>
        <w:rPr>
          <w:rFonts w:hint="eastAsia" w:ascii="宋体" w:hAnsi="宋体"/>
        </w:rPr>
        <w:t>如遇以上未涉及的收费，参照以上协商处理。</w:t>
      </w:r>
    </w:p>
    <w:p>
      <w:pPr>
        <w:ind w:firstLine="480" w:firstLineChars="200"/>
        <w:rPr>
          <w:rFonts w:ascii="宋体" w:hAnsi="宋体"/>
        </w:rPr>
      </w:pPr>
      <w:r>
        <w:rPr>
          <w:rFonts w:hint="eastAsia" w:ascii="宋体" w:hAnsi="宋体"/>
        </w:rPr>
        <w:t>额外代收费用由成交供应商承担，外贸代理公司在结算时需向收费人列出明细及单据，并接受浙江大学采购中心的监督。</w:t>
      </w:r>
    </w:p>
    <w:p>
      <w:pPr>
        <w:pStyle w:val="6"/>
        <w:rPr>
          <w:rFonts w:ascii="宋体" w:hAnsi="宋体" w:cs="宋体"/>
        </w:rPr>
      </w:pPr>
      <w:bookmarkStart w:id="75" w:name="_Toc8285"/>
      <w:r>
        <w:rPr>
          <w:rFonts w:hint="eastAsia" w:ascii="宋体" w:hAnsi="宋体" w:cs="宋体"/>
        </w:rPr>
        <w:t>四、响应文件的有效期</w:t>
      </w:r>
      <w:bookmarkEnd w:id="75"/>
    </w:p>
    <w:p>
      <w:pPr>
        <w:ind w:firstLine="240" w:firstLineChars="100"/>
        <w:jc w:val="left"/>
        <w:rPr>
          <w:rFonts w:ascii="宋体" w:hAnsi="宋体"/>
          <w:spacing w:val="-6"/>
        </w:rPr>
      </w:pPr>
      <w:r>
        <w:rPr>
          <w:rFonts w:hint="eastAsia" w:ascii="宋体" w:hAnsi="宋体"/>
          <w:szCs w:val="21"/>
        </w:rPr>
        <w:t>▲</w:t>
      </w:r>
      <w:r>
        <w:rPr>
          <w:rFonts w:hint="eastAsia" w:ascii="宋体" w:hAnsi="宋体"/>
        </w:rPr>
        <w:t>1.</w:t>
      </w:r>
      <w:r>
        <w:rPr>
          <w:rFonts w:hint="eastAsia" w:ascii="宋体" w:hAnsi="宋体"/>
          <w:spacing w:val="-6"/>
        </w:rPr>
        <w:t>自提交响应文件截止日起90天响应文件应保持有效。有效期不足的响应文件将被拒绝。</w:t>
      </w:r>
    </w:p>
    <w:p>
      <w:pPr>
        <w:ind w:firstLine="480" w:firstLineChars="200"/>
        <w:jc w:val="left"/>
        <w:rPr>
          <w:rFonts w:ascii="宋体" w:hAnsi="宋体"/>
          <w:spacing w:val="-6"/>
        </w:rPr>
      </w:pPr>
      <w:r>
        <w:rPr>
          <w:rFonts w:hint="eastAsia" w:ascii="宋体" w:hAnsi="宋体"/>
        </w:rPr>
        <w:t>2.</w:t>
      </w:r>
      <w:r>
        <w:rPr>
          <w:rFonts w:hint="eastAsia" w:ascii="宋体" w:hAnsi="宋体"/>
          <w:spacing w:val="-6"/>
        </w:rPr>
        <w:t>在特殊情况下，采购代理机构可与磋商响应供应商协商延长响应文件的有效期，这种要求和答复均以书面形式进行。</w:t>
      </w:r>
    </w:p>
    <w:p>
      <w:pPr>
        <w:ind w:firstLine="480" w:firstLineChars="200"/>
        <w:jc w:val="left"/>
        <w:rPr>
          <w:rFonts w:ascii="宋体" w:hAnsi="宋体"/>
          <w:spacing w:val="-6"/>
        </w:rPr>
      </w:pPr>
      <w:r>
        <w:rPr>
          <w:rFonts w:hint="eastAsia" w:ascii="宋体" w:hAnsi="宋体"/>
        </w:rPr>
        <w:t>3.</w:t>
      </w:r>
      <w:r>
        <w:rPr>
          <w:rFonts w:hint="eastAsia" w:ascii="宋体" w:hAnsi="宋体"/>
          <w:spacing w:val="-6"/>
        </w:rPr>
        <w:t>成交供应商的响应文件自开启之日起至合同履行完毕止均应保持有效。</w:t>
      </w:r>
    </w:p>
    <w:p>
      <w:pPr>
        <w:pStyle w:val="6"/>
        <w:rPr>
          <w:rFonts w:ascii="宋体" w:hAnsi="宋体" w:cs="宋体"/>
        </w:rPr>
      </w:pPr>
      <w:bookmarkStart w:id="76" w:name="_Toc5262"/>
      <w:r>
        <w:rPr>
          <w:rFonts w:hint="eastAsia" w:ascii="宋体" w:hAnsi="宋体" w:cs="宋体"/>
        </w:rPr>
        <w:t>五、磋商响应无效的情形</w:t>
      </w:r>
      <w:bookmarkEnd w:id="76"/>
    </w:p>
    <w:p>
      <w:pPr>
        <w:tabs>
          <w:tab w:val="left" w:pos="0"/>
        </w:tabs>
        <w:ind w:firstLine="540" w:firstLineChars="225"/>
        <w:rPr>
          <w:rFonts w:ascii="宋体" w:hAnsi="宋体"/>
          <w:b/>
        </w:rPr>
      </w:pPr>
      <w:r>
        <w:rPr>
          <w:rFonts w:hint="eastAsia" w:ascii="宋体" w:hAnsi="宋体"/>
        </w:rPr>
        <w:t>（一）</w:t>
      </w:r>
      <w:r>
        <w:rPr>
          <w:rFonts w:hint="eastAsia" w:ascii="宋体" w:hAnsi="宋体"/>
          <w:b/>
        </w:rPr>
        <w:t>响应文件资格性审查（按照磋商文件“第六章应提交的有关响应文件格式范例”中的“格式一：资格审查材料 ”审查）</w:t>
      </w:r>
    </w:p>
    <w:p>
      <w:pPr>
        <w:ind w:firstLine="480" w:firstLineChars="200"/>
        <w:rPr>
          <w:rFonts w:ascii="宋体" w:hAnsi="宋体"/>
        </w:rPr>
      </w:pPr>
      <w:r>
        <w:rPr>
          <w:rFonts w:hint="eastAsia" w:ascii="宋体" w:hAnsi="宋体"/>
          <w:kern w:val="0"/>
        </w:rPr>
        <w:t>1.</w:t>
      </w:r>
      <w:r>
        <w:rPr>
          <w:rFonts w:hint="eastAsia" w:ascii="宋体" w:hAnsi="宋体"/>
        </w:rPr>
        <w:t>采购人或者采购代理机构应当依法对响应供应商的资格进行审查，以确定响应供应商是否具备磋商资格。审查结果告知所有磋商响应供应商，未通过审查的告知其原因。</w:t>
      </w:r>
    </w:p>
    <w:p>
      <w:pPr>
        <w:ind w:firstLine="480" w:firstLineChars="200"/>
        <w:rPr>
          <w:rFonts w:ascii="宋体" w:hAnsi="宋体"/>
        </w:rPr>
      </w:pPr>
      <w:r>
        <w:rPr>
          <w:rFonts w:hint="eastAsia" w:ascii="宋体" w:hAnsi="宋体"/>
          <w:kern w:val="0"/>
        </w:rPr>
        <w:t>2.</w:t>
      </w:r>
      <w:r>
        <w:rPr>
          <w:rFonts w:hint="eastAsia" w:ascii="宋体" w:hAnsi="宋体"/>
        </w:rPr>
        <w:t>响应供应商以响应文件中提供的书面材料为准。</w:t>
      </w:r>
    </w:p>
    <w:p>
      <w:pPr>
        <w:ind w:firstLine="480" w:firstLineChars="200"/>
        <w:rPr>
          <w:rFonts w:ascii="宋体" w:hAnsi="宋体"/>
        </w:rPr>
      </w:pPr>
      <w:r>
        <w:rPr>
          <w:rFonts w:hint="eastAsia" w:ascii="宋体" w:hAnsi="宋体"/>
          <w:kern w:val="0"/>
        </w:rPr>
        <w:t>3.</w:t>
      </w:r>
      <w:r>
        <w:rPr>
          <w:rFonts w:hint="eastAsia" w:ascii="宋体" w:hAnsi="宋体"/>
        </w:rPr>
        <w:t>采购人或者采购代理机构对响应文件的判定，只依据响应内容本身，不依靠开标后的任何外来证明。如响应供应商提交的资质证明或其他内容不齐全， 由此造成的后果由响应自己负责。</w:t>
      </w:r>
    </w:p>
    <w:p>
      <w:pPr>
        <w:ind w:firstLine="240" w:firstLineChars="100"/>
        <w:rPr>
          <w:rFonts w:ascii="宋体" w:hAnsi="宋体"/>
          <w:b/>
        </w:rPr>
      </w:pPr>
      <w:r>
        <w:rPr>
          <w:rFonts w:hint="eastAsia" w:ascii="宋体" w:hAnsi="宋体"/>
        </w:rPr>
        <w:t>（二）</w:t>
      </w:r>
      <w:r>
        <w:rPr>
          <w:rFonts w:hint="eastAsia" w:ascii="宋体" w:hAnsi="宋体"/>
          <w:b/>
        </w:rPr>
        <w:t>响应文件符合性审查</w:t>
      </w:r>
    </w:p>
    <w:p>
      <w:pPr>
        <w:ind w:firstLine="480" w:firstLineChars="200"/>
        <w:rPr>
          <w:rFonts w:ascii="宋体" w:hAnsi="宋体"/>
        </w:rPr>
      </w:pPr>
      <w:r>
        <w:rPr>
          <w:rFonts w:hint="eastAsia" w:ascii="宋体" w:hAnsi="宋体"/>
        </w:rPr>
        <w:t>1.评审小组会应当对符合资格的响应供应商的响应文件进行符合性审查，以确定其是否满足磋商文件的实质性要求。符合磋商无效情形的，则按照无效响应处理。</w:t>
      </w:r>
      <w:bookmarkStart w:id="77" w:name="_Toc501022804"/>
      <w:bookmarkStart w:id="78" w:name="_Toc495582135"/>
    </w:p>
    <w:p>
      <w:pPr>
        <w:ind w:firstLine="482" w:firstLineChars="200"/>
        <w:rPr>
          <w:rFonts w:ascii="宋体" w:hAnsi="宋体"/>
          <w:b/>
        </w:rPr>
      </w:pPr>
      <w:r>
        <w:rPr>
          <w:rFonts w:hint="eastAsia" w:ascii="宋体" w:hAnsi="宋体"/>
          <w:b/>
        </w:rPr>
        <w:t>2.无效标情形</w:t>
      </w:r>
      <w:bookmarkEnd w:id="77"/>
      <w:bookmarkEnd w:id="78"/>
      <w:r>
        <w:rPr>
          <w:rFonts w:hint="eastAsia" w:ascii="宋体" w:hAnsi="宋体"/>
          <w:b/>
        </w:rPr>
        <w:t>，有下列情况之一的，响应文件无效：</w:t>
      </w:r>
    </w:p>
    <w:p>
      <w:pPr>
        <w:ind w:firstLine="480" w:firstLineChars="200"/>
        <w:rPr>
          <w:rFonts w:ascii="宋体" w:hAnsi="宋体"/>
          <w:kern w:val="0"/>
        </w:rPr>
      </w:pPr>
      <w:r>
        <w:rPr>
          <w:rFonts w:hint="eastAsia" w:ascii="宋体" w:hAnsi="宋体"/>
          <w:kern w:val="0"/>
        </w:rPr>
        <w:t xml:space="preserve">（1）为采购项目提供整体设计、规范编制或者项目管理、监理、检测等服务的供应商再参加该采购项目的其他采购活动的； </w:t>
      </w:r>
    </w:p>
    <w:p>
      <w:pPr>
        <w:ind w:firstLine="480" w:firstLineChars="200"/>
        <w:rPr>
          <w:rFonts w:ascii="宋体" w:hAnsi="宋体"/>
          <w:kern w:val="0"/>
        </w:rPr>
      </w:pPr>
      <w:r>
        <w:rPr>
          <w:rFonts w:hint="eastAsia" w:ascii="宋体" w:hAnsi="宋体"/>
          <w:kern w:val="0"/>
        </w:rPr>
        <w:t>（2）响应文件未按规定的格式编制的；</w:t>
      </w:r>
    </w:p>
    <w:p>
      <w:pPr>
        <w:ind w:firstLine="480" w:firstLineChars="200"/>
        <w:rPr>
          <w:rFonts w:ascii="宋体" w:hAnsi="宋体"/>
          <w:kern w:val="0"/>
        </w:rPr>
      </w:pPr>
      <w:r>
        <w:rPr>
          <w:rFonts w:hint="eastAsia" w:ascii="宋体" w:hAnsi="宋体"/>
          <w:kern w:val="0"/>
        </w:rPr>
        <w:t>（3）未提供或未按要求提供响应函、法定代表人资格证明书、法定代表人授权委托书、响应声明书；</w:t>
      </w:r>
    </w:p>
    <w:p>
      <w:pPr>
        <w:ind w:firstLine="480" w:firstLineChars="200"/>
        <w:rPr>
          <w:rFonts w:ascii="宋体" w:hAnsi="宋体"/>
          <w:kern w:val="0"/>
        </w:rPr>
      </w:pPr>
      <w:r>
        <w:rPr>
          <w:rFonts w:hint="eastAsia" w:ascii="宋体" w:hAnsi="宋体"/>
          <w:kern w:val="0"/>
        </w:rPr>
        <w:t>（4）法定代表人委托授权代表参加但未提供响应文件授权代表社保缴纳证明的；</w:t>
      </w:r>
    </w:p>
    <w:p>
      <w:pPr>
        <w:ind w:firstLine="480" w:firstLineChars="200"/>
        <w:rPr>
          <w:rFonts w:ascii="宋体" w:hAnsi="宋体"/>
          <w:kern w:val="0"/>
        </w:rPr>
      </w:pPr>
      <w:r>
        <w:rPr>
          <w:rFonts w:hint="eastAsia" w:ascii="宋体" w:hAnsi="宋体"/>
          <w:kern w:val="0"/>
        </w:rPr>
        <w:t>（5）未提供或未如实提供采购需求偏离表的；</w:t>
      </w:r>
    </w:p>
    <w:p>
      <w:pPr>
        <w:ind w:firstLine="480" w:firstLineChars="200"/>
        <w:rPr>
          <w:rFonts w:ascii="宋体" w:hAnsi="宋体"/>
          <w:kern w:val="0"/>
        </w:rPr>
      </w:pPr>
      <w:r>
        <w:rPr>
          <w:rFonts w:hint="eastAsia" w:ascii="宋体" w:hAnsi="宋体"/>
          <w:kern w:val="0"/>
        </w:rPr>
        <w:t>（6）明显不符合磋商文件要求，或者与磋商文件中标“</w:t>
      </w:r>
      <w:r>
        <w:rPr>
          <w:rFonts w:hint="eastAsia" w:ascii="宋体" w:hAnsi="宋体"/>
          <w:szCs w:val="21"/>
        </w:rPr>
        <w:t>▲</w:t>
      </w:r>
      <w:r>
        <w:rPr>
          <w:rFonts w:hint="eastAsia" w:ascii="宋体" w:hAnsi="宋体"/>
          <w:kern w:val="0"/>
        </w:rPr>
        <w:t>”的项目发生实质性偏离的；</w:t>
      </w:r>
    </w:p>
    <w:p>
      <w:pPr>
        <w:ind w:firstLine="480" w:firstLineChars="200"/>
        <w:rPr>
          <w:rFonts w:ascii="宋体" w:hAnsi="宋体"/>
          <w:kern w:val="0"/>
        </w:rPr>
      </w:pPr>
      <w:r>
        <w:rPr>
          <w:rFonts w:hint="eastAsia" w:ascii="宋体" w:hAnsi="宋体"/>
          <w:kern w:val="0"/>
        </w:rPr>
        <w:t>（7）未提供或未如实提供货物的技术参数，或者响应文件标明的响应或偏离与事实不符或虚假响应的；</w:t>
      </w:r>
    </w:p>
    <w:p>
      <w:pPr>
        <w:ind w:firstLine="480" w:firstLineChars="200"/>
        <w:rPr>
          <w:rFonts w:ascii="宋体" w:hAnsi="宋体"/>
          <w:kern w:val="0"/>
        </w:rPr>
      </w:pPr>
      <w:r>
        <w:rPr>
          <w:rFonts w:hint="eastAsia" w:ascii="宋体" w:hAnsi="宋体"/>
          <w:kern w:val="0"/>
        </w:rPr>
        <w:t>（8）技术方案不明确，存在一个或一个以上备选（替代）方案的；</w:t>
      </w:r>
    </w:p>
    <w:p>
      <w:pPr>
        <w:ind w:firstLine="480" w:firstLineChars="200"/>
        <w:rPr>
          <w:rFonts w:ascii="宋体" w:hAnsi="宋体"/>
          <w:kern w:val="0"/>
        </w:rPr>
      </w:pPr>
      <w:r>
        <w:rPr>
          <w:rFonts w:hint="eastAsia" w:ascii="宋体" w:hAnsi="宋体"/>
          <w:kern w:val="0"/>
        </w:rPr>
        <w:t>（9）响应文件组成漏项，内容不全或内容字迹模糊辨认不清的；</w:t>
      </w:r>
    </w:p>
    <w:p>
      <w:pPr>
        <w:ind w:firstLine="480" w:firstLineChars="200"/>
        <w:rPr>
          <w:rFonts w:ascii="宋体" w:hAnsi="宋体"/>
          <w:kern w:val="0"/>
        </w:rPr>
      </w:pPr>
      <w:r>
        <w:rPr>
          <w:rFonts w:hint="eastAsia" w:ascii="宋体" w:hAnsi="宋体"/>
          <w:kern w:val="0"/>
        </w:rPr>
        <w:t>（10）响应文件未按照磋商文件要求签署、盖章和密封的；</w:t>
      </w:r>
    </w:p>
    <w:p>
      <w:pPr>
        <w:ind w:firstLine="480" w:firstLineChars="200"/>
        <w:rPr>
          <w:rFonts w:ascii="宋体" w:hAnsi="宋体"/>
          <w:kern w:val="0"/>
        </w:rPr>
      </w:pPr>
      <w:r>
        <w:rPr>
          <w:rFonts w:hint="eastAsia" w:ascii="宋体" w:hAnsi="宋体"/>
          <w:kern w:val="0"/>
        </w:rPr>
        <w:t>（11）响应文件正、副本份数不足，其响应文件作无效处理；</w:t>
      </w:r>
    </w:p>
    <w:p>
      <w:pPr>
        <w:ind w:firstLine="480" w:firstLineChars="200"/>
        <w:rPr>
          <w:rFonts w:ascii="宋体" w:hAnsi="宋体"/>
          <w:kern w:val="0"/>
        </w:rPr>
      </w:pPr>
      <w:r>
        <w:rPr>
          <w:rFonts w:hint="eastAsia" w:ascii="宋体" w:hAnsi="宋体"/>
          <w:kern w:val="0"/>
        </w:rPr>
        <w:t>（12）磋商文件要求提供样品，响应供应商没有提供样品的；</w:t>
      </w:r>
    </w:p>
    <w:p>
      <w:pPr>
        <w:ind w:firstLine="480" w:firstLineChars="200"/>
        <w:rPr>
          <w:rFonts w:ascii="宋体" w:hAnsi="宋体"/>
          <w:kern w:val="0"/>
        </w:rPr>
      </w:pPr>
      <w:r>
        <w:rPr>
          <w:rFonts w:hint="eastAsia" w:ascii="宋体" w:hAnsi="宋体"/>
          <w:kern w:val="0"/>
        </w:rPr>
        <w:t>（13）响应文件含有采购人不能接受的附加条件的；</w:t>
      </w:r>
    </w:p>
    <w:p>
      <w:pPr>
        <w:ind w:firstLine="480" w:firstLineChars="200"/>
        <w:rPr>
          <w:rFonts w:ascii="宋体" w:hAnsi="宋体"/>
          <w:kern w:val="0"/>
        </w:rPr>
      </w:pPr>
      <w:r>
        <w:rPr>
          <w:rFonts w:hint="eastAsia" w:ascii="宋体" w:hAnsi="宋体"/>
          <w:kern w:val="0"/>
        </w:rPr>
        <w:t>（14）响应文件中承诺的响应有效期少于磋商文件中载明的响应有效期的；</w:t>
      </w:r>
    </w:p>
    <w:p>
      <w:pPr>
        <w:ind w:firstLine="480" w:firstLineChars="200"/>
        <w:rPr>
          <w:rFonts w:ascii="宋体" w:hAnsi="宋体"/>
          <w:kern w:val="0"/>
        </w:rPr>
      </w:pPr>
      <w:r>
        <w:rPr>
          <w:rFonts w:hint="eastAsia" w:ascii="宋体" w:hAnsi="宋体"/>
          <w:kern w:val="0"/>
        </w:rPr>
        <w:t>（15）响应文件出现不是唯一的、有选择性报价的;</w:t>
      </w:r>
    </w:p>
    <w:p>
      <w:pPr>
        <w:ind w:firstLine="480" w:firstLineChars="200"/>
        <w:rPr>
          <w:rFonts w:ascii="宋体" w:hAnsi="宋体"/>
          <w:kern w:val="0"/>
        </w:rPr>
      </w:pPr>
      <w:r>
        <w:rPr>
          <w:rFonts w:hint="eastAsia" w:ascii="宋体" w:hAnsi="宋体"/>
          <w:kern w:val="0"/>
        </w:rPr>
        <w:t>（16）《初次报价明细表》填写不完整或字迹不能辨认或有漏项的；</w:t>
      </w:r>
    </w:p>
    <w:p>
      <w:pPr>
        <w:ind w:firstLine="480" w:firstLineChars="200"/>
        <w:rPr>
          <w:rFonts w:ascii="宋体" w:hAnsi="宋体"/>
          <w:kern w:val="0"/>
        </w:rPr>
      </w:pPr>
      <w:r>
        <w:rPr>
          <w:rFonts w:hint="eastAsia" w:ascii="宋体" w:hAnsi="宋体"/>
          <w:kern w:val="0"/>
        </w:rPr>
        <w:t>（17）响应供应商对根据修正原则修正后的报价不确认的；</w:t>
      </w:r>
    </w:p>
    <w:p>
      <w:pPr>
        <w:ind w:firstLine="480" w:firstLineChars="200"/>
        <w:rPr>
          <w:rFonts w:ascii="宋体" w:hAnsi="宋体"/>
          <w:kern w:val="0"/>
        </w:rPr>
      </w:pPr>
      <w:r>
        <w:rPr>
          <w:rFonts w:hint="eastAsia" w:ascii="宋体" w:hAnsi="宋体"/>
          <w:kern w:val="0"/>
        </w:rPr>
        <w:t>（18）最终报价超出最高限价，或者超出采购预算金额的；</w:t>
      </w:r>
    </w:p>
    <w:p>
      <w:pPr>
        <w:ind w:firstLine="480" w:firstLineChars="200"/>
        <w:rPr>
          <w:rFonts w:ascii="宋体" w:hAnsi="宋体"/>
          <w:kern w:val="0"/>
        </w:rPr>
      </w:pPr>
      <w:r>
        <w:rPr>
          <w:rFonts w:hint="eastAsia" w:ascii="宋体" w:hAnsi="宋体"/>
          <w:kern w:val="0"/>
        </w:rPr>
        <w:t>（19）磋商小组认为响应供应商的报价明显低于其他通过符合性审查响应供应商的报价，有可能影响产品质量或者不能诚信履约的，应当要求其在评标现场合理的时间内提供书面说明，必要时提交相关证明材料;响应供应商不能证明其报价合理性的，磋商小组应当将其作为无效响应处理；</w:t>
      </w:r>
    </w:p>
    <w:p>
      <w:pPr>
        <w:ind w:firstLine="480" w:firstLineChars="200"/>
        <w:rPr>
          <w:rFonts w:ascii="宋体" w:hAnsi="宋体"/>
          <w:kern w:val="0"/>
        </w:rPr>
      </w:pPr>
      <w:r>
        <w:rPr>
          <w:rFonts w:hint="eastAsia" w:ascii="宋体" w:hAnsi="宋体"/>
          <w:kern w:val="0"/>
        </w:rPr>
        <w:t>（20）响应供应商提供虚假材料响应的（包括但不限于以下情节）</w:t>
      </w:r>
    </w:p>
    <w:p>
      <w:pPr>
        <w:ind w:firstLine="480" w:firstLineChars="200"/>
        <w:rPr>
          <w:rFonts w:ascii="宋体" w:hAnsi="宋体"/>
          <w:kern w:val="0"/>
        </w:rPr>
      </w:pPr>
      <w:r>
        <w:rPr>
          <w:rFonts w:hint="eastAsia" w:ascii="宋体" w:hAnsi="宋体"/>
          <w:kern w:val="0"/>
        </w:rPr>
        <w:t>a.使用伪造、变造的许可证件；</w:t>
      </w:r>
    </w:p>
    <w:p>
      <w:pPr>
        <w:ind w:firstLine="480" w:firstLineChars="200"/>
        <w:rPr>
          <w:rFonts w:ascii="宋体" w:hAnsi="宋体"/>
          <w:kern w:val="0"/>
        </w:rPr>
      </w:pPr>
      <w:r>
        <w:rPr>
          <w:rFonts w:hint="eastAsia" w:ascii="宋体" w:hAnsi="宋体"/>
          <w:kern w:val="0"/>
        </w:rPr>
        <w:t>b.提供虚假的财务状况或者业绩；</w:t>
      </w:r>
    </w:p>
    <w:p>
      <w:pPr>
        <w:ind w:firstLine="480" w:firstLineChars="200"/>
        <w:rPr>
          <w:rFonts w:ascii="宋体" w:hAnsi="宋体"/>
          <w:kern w:val="0"/>
        </w:rPr>
      </w:pPr>
      <w:r>
        <w:rPr>
          <w:rFonts w:hint="eastAsia" w:ascii="宋体" w:hAnsi="宋体"/>
          <w:kern w:val="0"/>
        </w:rPr>
        <w:t>c.提供虚假的项目负责人或者主要技术人员简历、劳动关系证明；</w:t>
      </w:r>
    </w:p>
    <w:p>
      <w:pPr>
        <w:ind w:firstLine="480" w:firstLineChars="200"/>
        <w:rPr>
          <w:rFonts w:ascii="宋体" w:hAnsi="宋体"/>
          <w:kern w:val="0"/>
        </w:rPr>
      </w:pPr>
      <w:r>
        <w:rPr>
          <w:rFonts w:hint="eastAsia" w:ascii="宋体" w:hAnsi="宋体"/>
          <w:kern w:val="0"/>
        </w:rPr>
        <w:t>d.提供虚假的信用状况；</w:t>
      </w:r>
    </w:p>
    <w:p>
      <w:pPr>
        <w:ind w:firstLine="480" w:firstLineChars="200"/>
        <w:rPr>
          <w:rFonts w:ascii="宋体" w:hAnsi="宋体"/>
          <w:kern w:val="0"/>
        </w:rPr>
      </w:pPr>
      <w:r>
        <w:rPr>
          <w:rFonts w:hint="eastAsia" w:ascii="宋体" w:hAnsi="宋体"/>
          <w:kern w:val="0"/>
        </w:rPr>
        <w:t>e.其他弄虚作假的行为。</w:t>
      </w:r>
    </w:p>
    <w:p>
      <w:pPr>
        <w:ind w:firstLine="480" w:firstLineChars="200"/>
        <w:rPr>
          <w:rFonts w:ascii="宋体" w:hAnsi="宋体"/>
          <w:kern w:val="0"/>
        </w:rPr>
      </w:pPr>
      <w:r>
        <w:rPr>
          <w:rFonts w:hint="eastAsia" w:ascii="宋体" w:hAnsi="宋体"/>
          <w:kern w:val="0"/>
        </w:rPr>
        <w:t>（21）响应供应商有恶意串通、妨碍其他磋商响应供应商的竞争行为、损害采购人或者其他磋商响应供应商的合法权益情形的；由采购人或采购代理机构上报相关采购监督管理部门，视情列入不良行为记录名单，在一至三年内禁止参加采购活动：</w:t>
      </w:r>
    </w:p>
    <w:p>
      <w:pPr>
        <w:ind w:firstLine="480" w:firstLineChars="200"/>
        <w:rPr>
          <w:rFonts w:ascii="宋体" w:hAnsi="宋体"/>
          <w:kern w:val="0"/>
        </w:rPr>
      </w:pPr>
      <w:r>
        <w:rPr>
          <w:rFonts w:hint="eastAsia" w:ascii="宋体" w:hAnsi="宋体"/>
          <w:kern w:val="0"/>
        </w:rPr>
        <w:t>有下列情形之一的，属于或视为恶意串通，其响应文件无效：</w:t>
      </w:r>
    </w:p>
    <w:p>
      <w:pPr>
        <w:ind w:firstLine="480" w:firstLineChars="200"/>
        <w:rPr>
          <w:rFonts w:ascii="宋体" w:hAnsi="宋体"/>
          <w:kern w:val="0"/>
        </w:rPr>
      </w:pPr>
      <w:r>
        <w:rPr>
          <w:rFonts w:hint="eastAsia" w:ascii="宋体" w:hAnsi="宋体"/>
          <w:kern w:val="0"/>
        </w:rPr>
        <w:t>a.供应商直接或者间接从采购人或者采购机构处获得其他供应商的相关情况并修改其响应文件或者响应文件；</w:t>
      </w:r>
    </w:p>
    <w:p>
      <w:pPr>
        <w:ind w:firstLine="480" w:firstLineChars="200"/>
        <w:rPr>
          <w:rFonts w:ascii="宋体" w:hAnsi="宋体"/>
          <w:kern w:val="0"/>
        </w:rPr>
      </w:pPr>
      <w:r>
        <w:rPr>
          <w:rFonts w:hint="eastAsia" w:ascii="宋体" w:hAnsi="宋体"/>
          <w:kern w:val="0"/>
        </w:rPr>
        <w:t>b.供应商按照采购人或者采购机构的授意撤换、修改响应文件或者响应文件；</w:t>
      </w:r>
    </w:p>
    <w:p>
      <w:pPr>
        <w:ind w:firstLine="480" w:firstLineChars="200"/>
        <w:rPr>
          <w:rFonts w:ascii="宋体" w:hAnsi="宋体"/>
          <w:kern w:val="0"/>
        </w:rPr>
      </w:pPr>
      <w:r>
        <w:rPr>
          <w:rFonts w:hint="eastAsia" w:ascii="宋体" w:hAnsi="宋体"/>
          <w:kern w:val="0"/>
        </w:rPr>
        <w:t>c.供应商之间协商报价、技术方案等响应文件或者响应文件的实质性内容；</w:t>
      </w:r>
    </w:p>
    <w:p>
      <w:pPr>
        <w:ind w:firstLine="480" w:firstLineChars="200"/>
        <w:rPr>
          <w:rFonts w:ascii="宋体" w:hAnsi="宋体"/>
          <w:kern w:val="0"/>
        </w:rPr>
      </w:pPr>
      <w:r>
        <w:rPr>
          <w:rFonts w:hint="eastAsia" w:ascii="宋体" w:hAnsi="宋体"/>
          <w:kern w:val="0"/>
        </w:rPr>
        <w:t>d.属于同一集团、协会、商会等组织成员的供应商按照该组织要求协同参加采购活动；</w:t>
      </w:r>
    </w:p>
    <w:p>
      <w:pPr>
        <w:ind w:firstLine="480" w:firstLineChars="200"/>
        <w:rPr>
          <w:rFonts w:ascii="宋体" w:hAnsi="宋体"/>
          <w:kern w:val="0"/>
        </w:rPr>
      </w:pPr>
      <w:r>
        <w:rPr>
          <w:rFonts w:hint="eastAsia" w:ascii="宋体" w:hAnsi="宋体"/>
          <w:kern w:val="0"/>
        </w:rPr>
        <w:t>e.供应商之间事先约定由某一特定供应商成交；</w:t>
      </w:r>
    </w:p>
    <w:p>
      <w:pPr>
        <w:ind w:firstLine="480" w:firstLineChars="200"/>
        <w:rPr>
          <w:rFonts w:ascii="宋体" w:hAnsi="宋体"/>
          <w:kern w:val="0"/>
        </w:rPr>
      </w:pPr>
      <w:r>
        <w:rPr>
          <w:rFonts w:hint="eastAsia" w:ascii="宋体" w:hAnsi="宋体"/>
          <w:kern w:val="0"/>
        </w:rPr>
        <w:t>f.供应商之间商定部分供应商放弃参加采购活动或者放弃成交；</w:t>
      </w:r>
    </w:p>
    <w:p>
      <w:pPr>
        <w:ind w:firstLine="480" w:firstLineChars="200"/>
        <w:rPr>
          <w:rFonts w:ascii="宋体" w:hAnsi="宋体"/>
          <w:kern w:val="0"/>
        </w:rPr>
      </w:pPr>
      <w:r>
        <w:rPr>
          <w:rFonts w:hint="eastAsia" w:ascii="宋体" w:hAnsi="宋体"/>
          <w:kern w:val="0"/>
        </w:rPr>
        <w:t>g.供应商与采购人或者采购机构之间、供应商相互之间，为谋求特定供应商成交或者排斥其他供应商的其他串通行为。</w:t>
      </w:r>
    </w:p>
    <w:p>
      <w:pPr>
        <w:ind w:firstLine="480" w:firstLineChars="200"/>
        <w:rPr>
          <w:rFonts w:ascii="宋体" w:hAnsi="宋体"/>
          <w:kern w:val="0"/>
        </w:rPr>
      </w:pPr>
      <w:r>
        <w:rPr>
          <w:rFonts w:hint="eastAsia" w:ascii="宋体" w:hAnsi="宋体"/>
          <w:kern w:val="0"/>
        </w:rPr>
        <w:t>h.不同磋商响应供应商的响应文件由同一单位或者个人编制；</w:t>
      </w:r>
    </w:p>
    <w:p>
      <w:pPr>
        <w:ind w:firstLine="480" w:firstLineChars="200"/>
        <w:rPr>
          <w:rFonts w:ascii="宋体" w:hAnsi="宋体"/>
          <w:kern w:val="0"/>
        </w:rPr>
      </w:pPr>
      <w:r>
        <w:rPr>
          <w:rFonts w:hint="eastAsia" w:ascii="宋体" w:hAnsi="宋体"/>
          <w:kern w:val="0"/>
        </w:rPr>
        <w:t>i.不同磋商响应供应商委托同一单位或者个人办理响应事宜；</w:t>
      </w:r>
    </w:p>
    <w:p>
      <w:pPr>
        <w:ind w:firstLine="480" w:firstLineChars="200"/>
        <w:rPr>
          <w:rFonts w:ascii="宋体" w:hAnsi="宋体"/>
          <w:kern w:val="0"/>
        </w:rPr>
      </w:pPr>
      <w:r>
        <w:rPr>
          <w:rFonts w:hint="eastAsia" w:ascii="宋体" w:hAnsi="宋体"/>
          <w:kern w:val="0"/>
        </w:rPr>
        <w:t>j.不同磋商响应供应商的响应文件载明的项目管理成员或者联系人员为同一人；</w:t>
      </w:r>
    </w:p>
    <w:p>
      <w:pPr>
        <w:ind w:firstLine="480" w:firstLineChars="200"/>
        <w:rPr>
          <w:rFonts w:ascii="宋体" w:hAnsi="宋体"/>
          <w:kern w:val="0"/>
        </w:rPr>
      </w:pPr>
      <w:r>
        <w:rPr>
          <w:rFonts w:hint="eastAsia" w:ascii="宋体" w:hAnsi="宋体"/>
          <w:kern w:val="0"/>
        </w:rPr>
        <w:t>k.不同磋商响应供应商的响应文件异常一致或者响应报价呈规律性差异；</w:t>
      </w:r>
    </w:p>
    <w:p>
      <w:pPr>
        <w:ind w:firstLine="480" w:firstLineChars="200"/>
        <w:rPr>
          <w:rFonts w:ascii="宋体" w:hAnsi="宋体"/>
        </w:rPr>
      </w:pPr>
      <w:r>
        <w:rPr>
          <w:rFonts w:hint="eastAsia" w:ascii="宋体" w:hAnsi="宋体"/>
          <w:kern w:val="0"/>
        </w:rPr>
        <w:t>l.不同磋商响应供应商的响应文件相互混装；</w:t>
      </w:r>
    </w:p>
    <w:p>
      <w:pPr>
        <w:ind w:firstLine="480" w:firstLineChars="200"/>
        <w:rPr>
          <w:rFonts w:ascii="宋体" w:hAnsi="宋体"/>
          <w:kern w:val="0"/>
        </w:rPr>
      </w:pPr>
      <w:r>
        <w:rPr>
          <w:rFonts w:hint="eastAsia" w:ascii="宋体" w:hAnsi="宋体"/>
          <w:kern w:val="0"/>
        </w:rPr>
        <w:t>（22）法律、法规及省级以上规范性文件规定的其他无效情形。</w:t>
      </w:r>
    </w:p>
    <w:p>
      <w:pPr>
        <w:rPr>
          <w:rFonts w:ascii="宋体" w:hAnsi="宋体"/>
          <w:b/>
        </w:rPr>
      </w:pPr>
      <w:bookmarkStart w:id="79" w:name="_Toc501022805"/>
      <w:bookmarkStart w:id="80" w:name="_Toc495582136"/>
      <w:r>
        <w:rPr>
          <w:rFonts w:hint="eastAsia" w:ascii="宋体" w:hAnsi="宋体"/>
        </w:rPr>
        <w:t>（三）</w:t>
      </w:r>
      <w:r>
        <w:rPr>
          <w:rFonts w:hint="eastAsia" w:ascii="宋体" w:hAnsi="宋体"/>
          <w:b/>
        </w:rPr>
        <w:t>废标</w:t>
      </w:r>
      <w:bookmarkEnd w:id="79"/>
      <w:bookmarkEnd w:id="80"/>
    </w:p>
    <w:p>
      <w:pPr>
        <w:ind w:firstLine="480" w:firstLineChars="200"/>
        <w:rPr>
          <w:rFonts w:ascii="宋体" w:hAnsi="宋体"/>
        </w:rPr>
      </w:pPr>
      <w:r>
        <w:rPr>
          <w:rFonts w:hint="eastAsia" w:ascii="宋体" w:hAnsi="宋体"/>
        </w:rPr>
        <w:t>根据《中华人民共和国政府采购法》第三十六条之规定，在采购中，出现下列情况之一的，应予以废标：</w:t>
      </w:r>
    </w:p>
    <w:p>
      <w:pPr>
        <w:ind w:firstLine="480" w:firstLineChars="200"/>
        <w:rPr>
          <w:rFonts w:ascii="宋体" w:hAnsi="宋体"/>
        </w:rPr>
      </w:pPr>
      <w:r>
        <w:rPr>
          <w:rFonts w:hint="eastAsia" w:ascii="宋体" w:hAnsi="宋体"/>
          <w:kern w:val="0"/>
        </w:rPr>
        <w:t>1.</w:t>
      </w:r>
      <w:r>
        <w:rPr>
          <w:rFonts w:hint="eastAsia" w:ascii="宋体" w:hAnsi="宋体"/>
        </w:rPr>
        <w:t>符合专业条件的供应商或者对磋商文件作实质响应的供应商不足3家的（政府购买服务项目（含政府和社会资本合作项目）符合专业条件的供应商或者对竞争性磋商文件作实质响应的供应商不足2家的）；</w:t>
      </w:r>
    </w:p>
    <w:p>
      <w:pPr>
        <w:ind w:firstLine="480" w:firstLineChars="200"/>
        <w:rPr>
          <w:rFonts w:ascii="宋体" w:hAnsi="宋体"/>
        </w:rPr>
      </w:pPr>
      <w:r>
        <w:rPr>
          <w:rFonts w:hint="eastAsia" w:ascii="宋体" w:hAnsi="宋体"/>
        </w:rPr>
        <w:t>2.出现影响采购公正的违法、违规行为的；</w:t>
      </w:r>
    </w:p>
    <w:p>
      <w:pPr>
        <w:ind w:firstLine="480" w:firstLineChars="200"/>
        <w:rPr>
          <w:rFonts w:ascii="宋体" w:hAnsi="宋体"/>
        </w:rPr>
      </w:pPr>
      <w:r>
        <w:rPr>
          <w:rFonts w:hint="eastAsia" w:ascii="宋体" w:hAnsi="宋体"/>
        </w:rPr>
        <w:t>3.磋商响应供应商的最终报价均超过了采购预算，采购单位不能支付的；</w:t>
      </w:r>
    </w:p>
    <w:p>
      <w:pPr>
        <w:ind w:firstLine="480" w:firstLineChars="200"/>
        <w:rPr>
          <w:rFonts w:ascii="宋体" w:hAnsi="宋体"/>
        </w:rPr>
      </w:pPr>
      <w:r>
        <w:rPr>
          <w:rFonts w:hint="eastAsia" w:ascii="宋体" w:hAnsi="宋体"/>
        </w:rPr>
        <w:t>4.因重大变故，采购任务取消的。</w:t>
      </w:r>
    </w:p>
    <w:p>
      <w:pPr>
        <w:ind w:firstLine="480" w:firstLineChars="200"/>
        <w:rPr>
          <w:rFonts w:ascii="宋体" w:hAnsi="宋体"/>
        </w:rPr>
      </w:pPr>
      <w:r>
        <w:rPr>
          <w:rFonts w:hint="eastAsia" w:ascii="宋体" w:hAnsi="宋体"/>
        </w:rPr>
        <w:t>废标后，采购代理机构应当将废标理由通知所有磋商响应供应商。</w:t>
      </w:r>
    </w:p>
    <w:p>
      <w:pPr>
        <w:rPr>
          <w:rFonts w:ascii="宋体" w:hAnsi="宋体"/>
          <w:b/>
        </w:rPr>
      </w:pPr>
      <w:bookmarkStart w:id="81" w:name="_Toc495582137"/>
      <w:bookmarkStart w:id="82" w:name="_Toc501022806"/>
      <w:r>
        <w:rPr>
          <w:rFonts w:hint="eastAsia" w:ascii="宋体" w:hAnsi="宋体"/>
          <w:b/>
        </w:rPr>
        <w:t>（四）情形认定</w:t>
      </w:r>
      <w:bookmarkEnd w:id="81"/>
      <w:bookmarkEnd w:id="82"/>
    </w:p>
    <w:p>
      <w:pPr>
        <w:ind w:firstLine="480" w:firstLineChars="200"/>
        <w:rPr>
          <w:rFonts w:ascii="宋体" w:hAnsi="宋体"/>
        </w:rPr>
      </w:pPr>
      <w:r>
        <w:rPr>
          <w:rFonts w:hint="eastAsia" w:ascii="宋体" w:hAnsi="宋体"/>
        </w:rPr>
        <w:t>1.当磋商小组有充分理由确认所有供应商的报价没有达到预期的竞争效果，经磋商小组半数以上成员确认，可以否决本次采购。</w:t>
      </w:r>
    </w:p>
    <w:p>
      <w:pPr>
        <w:ind w:firstLine="480" w:firstLineChars="200"/>
        <w:rPr>
          <w:rFonts w:ascii="宋体" w:hAnsi="宋体"/>
          <w:b/>
        </w:rPr>
      </w:pPr>
      <w:r>
        <w:rPr>
          <w:rFonts w:hint="eastAsia" w:ascii="宋体" w:hAnsi="宋体"/>
        </w:rPr>
        <w:t>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bookmarkStart w:id="83" w:name="_Toc528579042"/>
      <w:bookmarkStart w:id="84" w:name="_Toc23106"/>
      <w:bookmarkStart w:id="85" w:name="_Toc14588"/>
    </w:p>
    <w:p>
      <w:pPr>
        <w:pStyle w:val="6"/>
        <w:rPr>
          <w:rFonts w:ascii="宋体" w:hAnsi="宋体" w:cs="宋体"/>
        </w:rPr>
      </w:pPr>
      <w:r>
        <w:rPr>
          <w:rFonts w:hint="eastAsia" w:ascii="宋体" w:hAnsi="宋体" w:cs="宋体"/>
        </w:rPr>
        <w:t>六、响应文件接收与开启</w:t>
      </w:r>
      <w:bookmarkEnd w:id="83"/>
      <w:bookmarkEnd w:id="84"/>
      <w:bookmarkEnd w:id="85"/>
    </w:p>
    <w:p>
      <w:pPr>
        <w:pStyle w:val="6"/>
        <w:rPr>
          <w:rFonts w:ascii="宋体" w:hAnsi="宋体" w:cs="宋体"/>
        </w:rPr>
      </w:pPr>
      <w:bookmarkStart w:id="86" w:name="_Toc26048"/>
      <w:r>
        <w:rPr>
          <w:rFonts w:hint="eastAsia" w:ascii="宋体" w:hAnsi="宋体" w:cs="宋体"/>
        </w:rPr>
        <w:t>（一）响应文件</w:t>
      </w:r>
      <w:bookmarkEnd w:id="86"/>
      <w:r>
        <w:rPr>
          <w:rFonts w:hint="eastAsia" w:ascii="宋体" w:hAnsi="宋体" w:cs="宋体"/>
        </w:rPr>
        <w:t>接收</w:t>
      </w:r>
    </w:p>
    <w:p>
      <w:pPr>
        <w:pStyle w:val="12"/>
        <w:spacing w:line="360" w:lineRule="auto"/>
        <w:ind w:firstLine="464" w:firstLineChars="200"/>
        <w:rPr>
          <w:rFonts w:hAnsi="宋体" w:cs="宋体"/>
          <w:sz w:val="24"/>
          <w:szCs w:val="24"/>
        </w:rPr>
      </w:pPr>
      <w:bookmarkStart w:id="87" w:name="_Toc8867"/>
      <w:r>
        <w:rPr>
          <w:rFonts w:hint="eastAsia" w:hAnsi="宋体" w:cs="宋体"/>
          <w:sz w:val="24"/>
          <w:szCs w:val="24"/>
        </w:rPr>
        <w:t>1.开启响应文件开启场地的录音录像采集设备，并确保其正常运行。</w:t>
      </w:r>
    </w:p>
    <w:p>
      <w:pPr>
        <w:pStyle w:val="12"/>
        <w:spacing w:line="360" w:lineRule="auto"/>
        <w:ind w:firstLine="464" w:firstLineChars="200"/>
        <w:rPr>
          <w:rFonts w:hAnsi="宋体" w:cs="宋体"/>
          <w:sz w:val="24"/>
          <w:szCs w:val="24"/>
        </w:rPr>
      </w:pPr>
      <w:r>
        <w:rPr>
          <w:rFonts w:hint="eastAsia" w:hAnsi="宋体" w:cs="宋体"/>
          <w:sz w:val="24"/>
          <w:szCs w:val="24"/>
        </w:rPr>
        <w:t>2.采购代理机构按照磋商文件规定的时间、地点（若现场有变动时，请看一楼指示牌）接收响应文件。</w:t>
      </w:r>
    </w:p>
    <w:p>
      <w:pPr>
        <w:pStyle w:val="12"/>
        <w:spacing w:line="360" w:lineRule="auto"/>
        <w:ind w:firstLine="464" w:firstLineChars="200"/>
        <w:rPr>
          <w:rFonts w:hAnsi="宋体" w:cs="宋体"/>
          <w:sz w:val="24"/>
          <w:szCs w:val="24"/>
        </w:rPr>
      </w:pPr>
      <w:r>
        <w:rPr>
          <w:rFonts w:hint="eastAsia" w:hAnsi="宋体" w:cs="宋体"/>
          <w:sz w:val="24"/>
          <w:szCs w:val="24"/>
        </w:rPr>
        <w:t>3.响应供应商应在磋商文件规定的响应文件递交截止时间前提交响应文件。逾期送达的或者未送达指定地点的响应文件，采购代理机构将不予接收。</w:t>
      </w:r>
    </w:p>
    <w:p>
      <w:pPr>
        <w:pStyle w:val="12"/>
        <w:spacing w:line="360" w:lineRule="auto"/>
        <w:ind w:firstLine="464" w:firstLineChars="200"/>
        <w:rPr>
          <w:rFonts w:hAnsi="宋体" w:cs="宋体"/>
          <w:sz w:val="24"/>
          <w:szCs w:val="24"/>
        </w:rPr>
      </w:pPr>
      <w:r>
        <w:rPr>
          <w:rFonts w:hint="eastAsia" w:hAnsi="宋体" w:cs="宋体"/>
          <w:sz w:val="24"/>
          <w:szCs w:val="24"/>
        </w:rPr>
        <w:t>4.提交各个授权代表的身份证明原件，并组织供应商签署不存在影响公平竞争的《政府采购活动现场确认声明书》。</w:t>
      </w:r>
    </w:p>
    <w:p>
      <w:pPr>
        <w:pStyle w:val="12"/>
        <w:spacing w:line="360" w:lineRule="auto"/>
        <w:ind w:firstLine="464" w:firstLineChars="200"/>
        <w:rPr>
          <w:rFonts w:hAnsi="宋体" w:cs="宋体"/>
          <w:sz w:val="24"/>
          <w:szCs w:val="24"/>
        </w:rPr>
      </w:pPr>
      <w:r>
        <w:rPr>
          <w:rFonts w:hint="eastAsia" w:hAnsi="宋体" w:cs="宋体"/>
          <w:sz w:val="24"/>
          <w:szCs w:val="24"/>
        </w:rPr>
        <w:t>5.响应文件递交截止时间后参加标项磋商的供应商不足三家的，除财政部门另有规定外，应当终止该标项的磋商并作废标处理。</w:t>
      </w:r>
    </w:p>
    <w:p>
      <w:pPr>
        <w:pStyle w:val="6"/>
        <w:rPr>
          <w:rFonts w:ascii="宋体" w:hAnsi="宋体" w:cs="宋体"/>
        </w:rPr>
      </w:pPr>
      <w:r>
        <w:rPr>
          <w:rFonts w:hint="eastAsia" w:ascii="宋体" w:hAnsi="宋体" w:cs="宋体"/>
        </w:rPr>
        <w:t>（二）响应文件开启程序</w:t>
      </w:r>
      <w:bookmarkEnd w:id="87"/>
    </w:p>
    <w:p>
      <w:pPr>
        <w:pStyle w:val="12"/>
        <w:spacing w:line="360" w:lineRule="auto"/>
        <w:ind w:firstLine="522" w:firstLineChars="225"/>
        <w:rPr>
          <w:rFonts w:hAnsi="宋体" w:cs="宋体"/>
          <w:sz w:val="24"/>
          <w:szCs w:val="24"/>
        </w:rPr>
      </w:pPr>
      <w:r>
        <w:rPr>
          <w:rFonts w:hint="eastAsia" w:hAnsi="宋体" w:cs="宋体"/>
          <w:sz w:val="24"/>
          <w:szCs w:val="24"/>
        </w:rPr>
        <w:t>1.响应文件递交截止时间止，主持人宣布响应文件开启，介绍响应文件开启现场的人员情况，宣读递交响应文件的供应商名单、响应文件开启纪律、应当回避的情形等注意事项。</w:t>
      </w:r>
    </w:p>
    <w:p>
      <w:pPr>
        <w:pStyle w:val="12"/>
        <w:spacing w:line="360" w:lineRule="auto"/>
        <w:ind w:firstLine="464" w:firstLineChars="200"/>
        <w:rPr>
          <w:rFonts w:hAnsi="宋体" w:cs="宋体"/>
          <w:sz w:val="24"/>
          <w:szCs w:val="24"/>
        </w:rPr>
      </w:pPr>
      <w:r>
        <w:rPr>
          <w:rFonts w:hint="eastAsia" w:hAnsi="宋体" w:cs="宋体"/>
          <w:sz w:val="24"/>
          <w:szCs w:val="24"/>
        </w:rPr>
        <w:t>2.请供应商代表查验响应文件密封情况。不符合装订要求的响应文件，由现场工作人员退还供应商代表。</w:t>
      </w:r>
    </w:p>
    <w:p>
      <w:pPr>
        <w:pStyle w:val="12"/>
        <w:spacing w:line="360" w:lineRule="auto"/>
        <w:ind w:firstLine="464" w:firstLineChars="200"/>
        <w:rPr>
          <w:rFonts w:hAnsi="宋体" w:cs="宋体"/>
          <w:sz w:val="24"/>
          <w:szCs w:val="24"/>
        </w:rPr>
      </w:pPr>
      <w:r>
        <w:rPr>
          <w:rFonts w:hint="eastAsia" w:hAnsi="宋体" w:cs="宋体"/>
          <w:sz w:val="24"/>
          <w:szCs w:val="24"/>
        </w:rPr>
        <w:t>3.按供应商提交响应文件的先后顺序当众拆封、清点响应文件（包括正本、副本）数量，将拆封后的响应文件由现场工作人员护送至指定的评审地点。采购代理机构对各响应供应商的响应文件进行资格性审查。</w:t>
      </w:r>
    </w:p>
    <w:p>
      <w:pPr>
        <w:pStyle w:val="5"/>
        <w:rPr>
          <w:rFonts w:ascii="宋体" w:hAnsi="宋体" w:cs="宋体"/>
          <w:color w:val="auto"/>
        </w:rPr>
      </w:pPr>
      <w:r>
        <w:rPr>
          <w:rFonts w:hint="eastAsia" w:ascii="宋体" w:hAnsi="宋体" w:cs="宋体"/>
          <w:color w:val="auto"/>
        </w:rPr>
        <w:br w:type="page"/>
      </w:r>
      <w:bookmarkStart w:id="88" w:name="_Toc17783"/>
      <w:bookmarkStart w:id="89" w:name="_Toc528579043"/>
      <w:bookmarkStart w:id="90" w:name="_Toc13260"/>
      <w:bookmarkStart w:id="91" w:name="_Toc12193"/>
      <w:bookmarkStart w:id="92" w:name="_Toc11858"/>
      <w:r>
        <w:rPr>
          <w:rFonts w:hint="eastAsia" w:ascii="宋体" w:hAnsi="宋体" w:cs="宋体"/>
          <w:color w:val="auto"/>
        </w:rPr>
        <w:t>第四节  磋商小组评审程序</w:t>
      </w:r>
      <w:bookmarkEnd w:id="88"/>
      <w:bookmarkEnd w:id="89"/>
      <w:bookmarkEnd w:id="90"/>
      <w:bookmarkEnd w:id="91"/>
      <w:bookmarkEnd w:id="92"/>
    </w:p>
    <w:p>
      <w:pPr>
        <w:pStyle w:val="6"/>
        <w:rPr>
          <w:rFonts w:ascii="宋体" w:hAnsi="宋体" w:cs="宋体"/>
        </w:rPr>
      </w:pPr>
      <w:bookmarkStart w:id="93" w:name="_Toc25326"/>
      <w:r>
        <w:rPr>
          <w:rFonts w:hint="eastAsia" w:ascii="宋体" w:hAnsi="宋体" w:cs="宋体"/>
        </w:rPr>
        <w:t>一、组建磋商小组</w:t>
      </w:r>
      <w:bookmarkEnd w:id="93"/>
    </w:p>
    <w:p>
      <w:pPr>
        <w:pStyle w:val="15"/>
        <w:spacing w:before="120" w:after="120" w:line="360" w:lineRule="auto"/>
        <w:ind w:firstLine="456" w:firstLineChars="200"/>
        <w:rPr>
          <w:rFonts w:hAnsi="宋体"/>
          <w:spacing w:val="-6"/>
        </w:rPr>
      </w:pPr>
      <w:r>
        <w:rPr>
          <w:rFonts w:hint="eastAsia" w:hAnsi="宋体"/>
          <w:spacing w:val="-6"/>
        </w:rPr>
        <w:t>本项目磋商小组由采购评审专家共3人组成。</w:t>
      </w:r>
    </w:p>
    <w:p>
      <w:pPr>
        <w:pStyle w:val="6"/>
        <w:rPr>
          <w:rFonts w:ascii="宋体" w:hAnsi="宋体" w:cs="宋体"/>
        </w:rPr>
      </w:pPr>
      <w:bookmarkStart w:id="94" w:name="_Toc8723"/>
      <w:r>
        <w:rPr>
          <w:rFonts w:hint="eastAsia" w:ascii="宋体" w:hAnsi="宋体" w:cs="宋体"/>
        </w:rPr>
        <w:t>二、评审的方式</w:t>
      </w:r>
      <w:bookmarkEnd w:id="94"/>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本项目采用不公开方式评审，评审的依据为磋商文件、响应文件和磋商记录。</w:t>
      </w:r>
    </w:p>
    <w:p>
      <w:pPr>
        <w:pStyle w:val="6"/>
        <w:rPr>
          <w:rFonts w:ascii="宋体" w:hAnsi="宋体" w:cs="宋体"/>
        </w:rPr>
      </w:pPr>
      <w:bookmarkStart w:id="95" w:name="_Toc25069"/>
      <w:r>
        <w:rPr>
          <w:rFonts w:hint="eastAsia" w:ascii="宋体" w:hAnsi="宋体" w:cs="宋体"/>
        </w:rPr>
        <w:t>三、评审程序</w:t>
      </w:r>
      <w:bookmarkEnd w:id="95"/>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采购代理机构按照磋商文件规定的时间、地点及程序组织评审。评审活动一般应按以下程序组织开展：</w:t>
      </w:r>
    </w:p>
    <w:p>
      <w:pPr>
        <w:pStyle w:val="12"/>
        <w:spacing w:line="360" w:lineRule="auto"/>
        <w:ind w:firstLine="464" w:firstLineChars="200"/>
        <w:rPr>
          <w:rFonts w:hAnsi="宋体" w:cs="宋体"/>
          <w:spacing w:val="-6"/>
          <w:sz w:val="24"/>
          <w:szCs w:val="24"/>
        </w:rPr>
      </w:pPr>
      <w:r>
        <w:rPr>
          <w:rFonts w:hint="eastAsia" w:hAnsi="宋体" w:cs="宋体"/>
          <w:sz w:val="24"/>
          <w:szCs w:val="24"/>
        </w:rPr>
        <w:t>1.</w:t>
      </w:r>
      <w:r>
        <w:rPr>
          <w:rFonts w:hint="eastAsia" w:hAnsi="宋体" w:cs="宋体"/>
          <w:spacing w:val="-6"/>
          <w:sz w:val="24"/>
          <w:szCs w:val="24"/>
        </w:rPr>
        <w:t>开启评审场地的录音录像采集设备，并确保其正常运行。</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2.核验出席评审活动现场的磋商小组各成员和相关监督人员身份，并要求其分别登记、签到，按规定统一收缴、保存其通讯工具，无关人员一律拒绝其进入评审现场。</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3.介绍评审现场的人员情况，宣布评审工作纪律，告知磋商小组应当回避情形；组织推选磋商小组组长。</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4.通报报名参加本项目采购的供应商名单及资格预审情况（如有），宣读最终通过资格审查响应文件的供应商名单，组织磋商小组各位成员签订《采购评审人员廉洁自律承诺书》。</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pStyle w:val="12"/>
        <w:spacing w:line="360" w:lineRule="auto"/>
        <w:ind w:firstLine="456" w:firstLineChars="200"/>
        <w:rPr>
          <w:rFonts w:hAnsi="宋体" w:cs="宋体"/>
          <w:sz w:val="24"/>
          <w:szCs w:val="24"/>
        </w:rPr>
      </w:pPr>
      <w:r>
        <w:rPr>
          <w:rFonts w:hint="eastAsia" w:hAnsi="宋体" w:cs="宋体"/>
          <w:spacing w:val="-6"/>
          <w:sz w:val="24"/>
          <w:szCs w:val="24"/>
        </w:rPr>
        <w:t>6.磋商小组组长组织磋商小组成员根据</w:t>
      </w:r>
      <w:r>
        <w:rPr>
          <w:rFonts w:hint="eastAsia" w:hAnsi="宋体" w:cs="宋体"/>
          <w:kern w:val="0"/>
          <w:sz w:val="24"/>
          <w:szCs w:val="24"/>
        </w:rPr>
        <w:t>磋商文件规定的评审程序、评审方法和评审标准进行独立评审。未实质性响应磋商文件的响应文件按无效响应处理，磋商小组告知提交响应文件的供应商</w:t>
      </w:r>
      <w:r>
        <w:rPr>
          <w:rFonts w:hint="eastAsia" w:hAnsi="宋体" w:cs="宋体"/>
          <w:sz w:val="24"/>
          <w:szCs w:val="24"/>
        </w:rPr>
        <w:t>。</w:t>
      </w:r>
    </w:p>
    <w:p>
      <w:pPr>
        <w:pStyle w:val="12"/>
        <w:spacing w:line="360" w:lineRule="auto"/>
        <w:ind w:firstLine="464" w:firstLineChars="200"/>
        <w:rPr>
          <w:rFonts w:hAnsi="宋体" w:cs="宋体"/>
          <w:kern w:val="0"/>
          <w:sz w:val="24"/>
          <w:szCs w:val="24"/>
        </w:rPr>
      </w:pPr>
      <w:r>
        <w:rPr>
          <w:rFonts w:hint="eastAsia" w:hAnsi="宋体" w:cs="宋体"/>
          <w:kern w:val="0"/>
          <w:sz w:val="24"/>
          <w:szCs w:val="24"/>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在按照磋商文件的变动情况和磋商小组的要求重新提交响应文件，并由其法定代表人或授权代表签字或者加盖公章。</w:t>
      </w:r>
    </w:p>
    <w:p>
      <w:pPr>
        <w:pStyle w:val="12"/>
        <w:spacing w:line="360" w:lineRule="auto"/>
        <w:ind w:firstLine="464" w:firstLineChars="200"/>
        <w:rPr>
          <w:rFonts w:hAnsi="宋体" w:cs="宋体"/>
          <w:kern w:val="0"/>
          <w:sz w:val="24"/>
          <w:szCs w:val="24"/>
        </w:rPr>
      </w:pPr>
      <w:r>
        <w:rPr>
          <w:rFonts w:hint="eastAsia" w:hAnsi="宋体" w:cs="宋体"/>
          <w:kern w:val="0"/>
          <w:sz w:val="24"/>
          <w:szCs w:val="24"/>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pStyle w:val="12"/>
        <w:spacing w:line="360" w:lineRule="auto"/>
        <w:ind w:firstLine="464" w:firstLineChars="200"/>
        <w:rPr>
          <w:rFonts w:hAnsi="宋体" w:cs="宋体"/>
          <w:kern w:val="0"/>
          <w:sz w:val="24"/>
          <w:szCs w:val="24"/>
        </w:rPr>
      </w:pPr>
      <w:r>
        <w:rPr>
          <w:rFonts w:hint="eastAsia" w:hAnsi="宋体" w:cs="宋体"/>
          <w:sz w:val="24"/>
          <w:szCs w:val="24"/>
        </w:rPr>
        <w:t>9.</w:t>
      </w:r>
      <w:r>
        <w:rPr>
          <w:rFonts w:hint="eastAsia" w:hAnsi="宋体" w:cs="宋体"/>
          <w:kern w:val="0"/>
          <w:sz w:val="24"/>
          <w:szCs w:val="24"/>
        </w:rPr>
        <w:t>经磋商确定最终采购需求和提交最后磋商报价的供应商后，由磋商小组采用综合评分法对提交最后磋商报价的供应商的响应文件和最后磋商报价进行综合评分。</w:t>
      </w:r>
    </w:p>
    <w:p>
      <w:pPr>
        <w:pStyle w:val="12"/>
        <w:spacing w:line="360" w:lineRule="auto"/>
        <w:ind w:firstLine="464" w:firstLineChars="200"/>
        <w:rPr>
          <w:rFonts w:hAnsi="宋体" w:cs="宋体"/>
          <w:kern w:val="0"/>
          <w:sz w:val="24"/>
          <w:szCs w:val="24"/>
        </w:rPr>
      </w:pPr>
      <w:r>
        <w:rPr>
          <w:rFonts w:hint="eastAsia" w:hAnsi="宋体" w:cs="宋体"/>
          <w:kern w:val="0"/>
          <w:sz w:val="24"/>
          <w:szCs w:val="24"/>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pStyle w:val="12"/>
        <w:spacing w:line="360" w:lineRule="auto"/>
        <w:ind w:firstLine="464" w:firstLineChars="200"/>
        <w:rPr>
          <w:rFonts w:hAnsi="宋体" w:cs="宋体"/>
          <w:kern w:val="0"/>
          <w:sz w:val="24"/>
          <w:szCs w:val="24"/>
        </w:rPr>
      </w:pPr>
      <w:r>
        <w:rPr>
          <w:rFonts w:hint="eastAsia" w:hAnsi="宋体" w:cs="宋体"/>
          <w:kern w:val="0"/>
          <w:sz w:val="24"/>
          <w:szCs w:val="24"/>
        </w:rPr>
        <w:t>11.做好评审现场相关记录，协助磋商小组组长做好评审报告起草、有关内容电脑文字录入等工作，并要求磋商小组各成员签字确认。</w:t>
      </w:r>
    </w:p>
    <w:p>
      <w:pPr>
        <w:pStyle w:val="12"/>
        <w:spacing w:line="360" w:lineRule="auto"/>
        <w:ind w:firstLine="464" w:firstLineChars="200"/>
        <w:rPr>
          <w:rFonts w:hAnsi="宋体" w:cs="宋体"/>
          <w:spacing w:val="-6"/>
          <w:sz w:val="24"/>
          <w:szCs w:val="24"/>
        </w:rPr>
      </w:pPr>
      <w:r>
        <w:rPr>
          <w:rFonts w:hint="eastAsia" w:hAnsi="宋体" w:cs="宋体"/>
          <w:kern w:val="0"/>
          <w:sz w:val="24"/>
          <w:szCs w:val="24"/>
        </w:rPr>
        <w:t>12.评审结束后，采购代理机构交还评审人员及其他现场相关人员的通讯工具，主持人公布成交候选供应</w:t>
      </w:r>
      <w:r>
        <w:rPr>
          <w:rFonts w:hint="eastAsia" w:hAnsi="宋体" w:cs="宋体"/>
          <w:spacing w:val="-6"/>
          <w:sz w:val="24"/>
          <w:szCs w:val="24"/>
        </w:rPr>
        <w:t>商名单，及采购人最终确定成交供应商名单的时间和公告方式等。</w:t>
      </w:r>
    </w:p>
    <w:p>
      <w:pPr>
        <w:pStyle w:val="12"/>
        <w:spacing w:line="360" w:lineRule="auto"/>
        <w:ind w:firstLine="456" w:firstLineChars="200"/>
        <w:rPr>
          <w:rFonts w:hAnsi="宋体" w:cs="宋体"/>
          <w:spacing w:val="-6"/>
          <w:sz w:val="24"/>
          <w:szCs w:val="24"/>
        </w:rPr>
      </w:pPr>
    </w:p>
    <w:p>
      <w:pPr>
        <w:pStyle w:val="6"/>
        <w:rPr>
          <w:rFonts w:ascii="宋体" w:hAnsi="宋体" w:cs="宋体"/>
        </w:rPr>
      </w:pPr>
      <w:bookmarkStart w:id="96" w:name="_Toc11759"/>
      <w:r>
        <w:rPr>
          <w:rFonts w:hint="eastAsia" w:ascii="宋体" w:hAnsi="宋体" w:cs="宋体"/>
        </w:rPr>
        <w:t>四、澄清问题的形式</w:t>
      </w:r>
      <w:bookmarkEnd w:id="96"/>
    </w:p>
    <w:p>
      <w:pPr>
        <w:pStyle w:val="12"/>
        <w:spacing w:line="360" w:lineRule="auto"/>
        <w:ind w:firstLine="456" w:firstLineChars="200"/>
        <w:rPr>
          <w:rFonts w:hAnsi="宋体" w:cs="宋体"/>
          <w:spacing w:val="-6"/>
          <w:sz w:val="24"/>
          <w:szCs w:val="24"/>
        </w:rPr>
      </w:pPr>
      <w:bookmarkStart w:id="97" w:name="_Toc23780"/>
      <w:r>
        <w:rPr>
          <w:rFonts w:hint="eastAsia" w:hAnsi="宋体" w:cs="宋体"/>
          <w:spacing w:val="-6"/>
          <w:sz w:val="24"/>
          <w:szCs w:val="24"/>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磋商小组要求供应商澄清、说明或者更正响应文件应当以书面形式做出。供应商的澄清、说明或者更正应当由法定代表人或其授权代表签字或者加盖公章。</w:t>
      </w:r>
    </w:p>
    <w:p>
      <w:pPr>
        <w:pStyle w:val="6"/>
        <w:rPr>
          <w:rFonts w:ascii="宋体" w:hAnsi="宋体" w:cs="宋体"/>
        </w:rPr>
      </w:pPr>
      <w:r>
        <w:rPr>
          <w:rFonts w:hint="eastAsia" w:ascii="宋体" w:hAnsi="宋体" w:cs="宋体"/>
        </w:rPr>
        <w:t>五、评审原则和评审办法</w:t>
      </w:r>
      <w:bookmarkEnd w:id="97"/>
    </w:p>
    <w:p>
      <w:pPr>
        <w:ind w:firstLine="480" w:firstLineChars="200"/>
        <w:rPr>
          <w:rFonts w:ascii="宋体" w:hAnsi="宋体"/>
          <w:spacing w:val="-6"/>
        </w:rPr>
      </w:pPr>
      <w:r>
        <w:rPr>
          <w:rFonts w:hint="eastAsia" w:ascii="宋体" w:hAnsi="宋体"/>
        </w:rPr>
        <w:t>1.</w:t>
      </w:r>
      <w:r>
        <w:rPr>
          <w:rFonts w:hint="eastAsia" w:ascii="宋体" w:hAnsi="宋体"/>
          <w:spacing w:val="-6"/>
        </w:rPr>
        <w:t>评审专家应当遵守评审工作纪律，不得泄露评审情况和评审中获悉的商业秘密。磋商小组成员应当按照客观、公正、审慎的原则，根据</w:t>
      </w:r>
      <w:r>
        <w:rPr>
          <w:rFonts w:hint="eastAsia" w:ascii="宋体" w:hAnsi="宋体"/>
          <w:kern w:val="0"/>
        </w:rPr>
        <w:t>磋商文件规定的评审程序、评审方法和评审标准进行独立评审。</w:t>
      </w:r>
    </w:p>
    <w:p>
      <w:pPr>
        <w:ind w:firstLine="480" w:firstLineChars="200"/>
        <w:rPr>
          <w:rFonts w:ascii="宋体" w:hAnsi="宋体"/>
          <w:bCs/>
          <w:spacing w:val="-6"/>
        </w:rPr>
      </w:pPr>
      <w:r>
        <w:rPr>
          <w:rFonts w:hint="eastAsia" w:ascii="宋体" w:hAnsi="宋体"/>
        </w:rPr>
        <w:t>2.</w:t>
      </w:r>
      <w:r>
        <w:rPr>
          <w:rFonts w:hint="eastAsia" w:ascii="宋体" w:hAnsi="宋体"/>
          <w:bCs/>
          <w:spacing w:val="-6"/>
        </w:rPr>
        <w:t>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ind w:firstLine="480" w:firstLineChars="200"/>
        <w:rPr>
          <w:rFonts w:ascii="宋体" w:hAnsi="宋体"/>
          <w:bCs/>
          <w:spacing w:val="-6"/>
        </w:rPr>
      </w:pPr>
      <w:r>
        <w:rPr>
          <w:rFonts w:hint="eastAsia" w:ascii="宋体" w:hAnsi="宋体"/>
        </w:rPr>
        <w:t>3.</w:t>
      </w:r>
      <w:r>
        <w:rPr>
          <w:rFonts w:hint="eastAsia" w:ascii="宋体" w:hAnsi="宋体"/>
          <w:bCs/>
          <w:spacing w:val="-6"/>
        </w:rPr>
        <w:t>磋商文件内容违反国家有关强制性规定的，磋商小组应当停止评审并向采购人或者采购代理机构说明情况。</w:t>
      </w:r>
    </w:p>
    <w:p>
      <w:pPr>
        <w:ind w:firstLine="480" w:firstLineChars="200"/>
        <w:rPr>
          <w:rFonts w:ascii="宋体" w:hAnsi="宋体"/>
          <w:kern w:val="0"/>
        </w:rPr>
      </w:pPr>
      <w:r>
        <w:rPr>
          <w:rFonts w:hint="eastAsia" w:ascii="宋体" w:hAnsi="宋体"/>
        </w:rPr>
        <w:t>4.</w:t>
      </w:r>
      <w:r>
        <w:rPr>
          <w:rFonts w:hint="eastAsia" w:ascii="宋体" w:hAnsi="宋体"/>
          <w:kern w:val="0"/>
        </w:rPr>
        <w:t>采购人、采购代理机构不得向磋商小组中的评审专家作倾向性、误导性的解释或者说明。</w:t>
      </w:r>
    </w:p>
    <w:p>
      <w:pPr>
        <w:ind w:firstLine="480" w:firstLineChars="200"/>
        <w:rPr>
          <w:rFonts w:ascii="宋体" w:hAnsi="宋体"/>
          <w:bCs/>
          <w:spacing w:val="-6"/>
        </w:rPr>
      </w:pPr>
      <w:r>
        <w:rPr>
          <w:rFonts w:hint="eastAsia" w:ascii="宋体" w:hAnsi="宋体"/>
        </w:rPr>
        <w:t>5.</w:t>
      </w:r>
      <w:r>
        <w:rPr>
          <w:rFonts w:hint="eastAsia" w:ascii="宋体" w:hAnsi="宋体"/>
          <w:bCs/>
          <w:spacing w:val="-6"/>
        </w:rPr>
        <w:t>已提交响应文件的供应商，在提交最后磋商报价之前，可以根据磋商情况退出磋商。</w:t>
      </w:r>
    </w:p>
    <w:p>
      <w:pPr>
        <w:ind w:firstLine="480" w:firstLineChars="200"/>
        <w:rPr>
          <w:rFonts w:ascii="宋体" w:hAnsi="宋体"/>
          <w:bCs/>
          <w:spacing w:val="-6"/>
        </w:rPr>
      </w:pPr>
      <w:r>
        <w:rPr>
          <w:rFonts w:hint="eastAsia" w:ascii="宋体" w:hAnsi="宋体"/>
        </w:rPr>
        <w:t>6.</w:t>
      </w:r>
      <w:r>
        <w:rPr>
          <w:rFonts w:hint="eastAsia" w:ascii="宋体" w:hAnsi="宋体"/>
          <w:kern w:val="0"/>
        </w:rPr>
        <w:t>采用竞争性磋商采购方式采购的政府购买服务项目（含政府和社会资本合作项目），在采购过程中符合要求的供应商（社会资本）只有2家的，竞争性磋商采购活动可以继续进行。</w:t>
      </w:r>
    </w:p>
    <w:p>
      <w:pPr>
        <w:pStyle w:val="12"/>
        <w:spacing w:line="360" w:lineRule="auto"/>
        <w:ind w:firstLine="480" w:firstLineChars="200"/>
        <w:rPr>
          <w:rFonts w:hAnsi="宋体" w:cs="宋体"/>
          <w:spacing w:val="0"/>
          <w:sz w:val="24"/>
          <w:szCs w:val="24"/>
        </w:rPr>
      </w:pPr>
      <w:r>
        <w:rPr>
          <w:rFonts w:hint="eastAsia" w:hAnsi="宋体" w:cs="宋体"/>
          <w:spacing w:val="0"/>
          <w:sz w:val="24"/>
          <w:szCs w:val="24"/>
        </w:rPr>
        <w:t>7.磋商及报价轮次不超过三轮,具体根据项目的情况由磋商小组决定。</w:t>
      </w:r>
    </w:p>
    <w:p>
      <w:pPr>
        <w:ind w:firstLine="480" w:firstLineChars="200"/>
        <w:rPr>
          <w:rFonts w:ascii="宋体" w:hAnsi="宋体"/>
          <w:bCs/>
          <w:spacing w:val="-6"/>
        </w:rPr>
      </w:pPr>
      <w:r>
        <w:rPr>
          <w:rFonts w:hint="eastAsia" w:ascii="宋体" w:hAnsi="宋体"/>
        </w:rPr>
        <w:t>8.</w:t>
      </w:r>
      <w:r>
        <w:rPr>
          <w:rFonts w:hint="eastAsia" w:ascii="宋体" w:hAnsi="宋体"/>
          <w:bCs/>
          <w:spacing w:val="-6"/>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ind w:firstLine="480" w:firstLineChars="200"/>
        <w:rPr>
          <w:rFonts w:ascii="宋体" w:hAnsi="宋体"/>
          <w:spacing w:val="-6"/>
        </w:rPr>
      </w:pPr>
      <w:r>
        <w:rPr>
          <w:rFonts w:hint="eastAsia" w:ascii="宋体" w:hAnsi="宋体"/>
        </w:rPr>
        <w:t>9.</w:t>
      </w:r>
      <w:r>
        <w:rPr>
          <w:rFonts w:hint="eastAsia" w:ascii="宋体" w:hAnsi="宋体"/>
          <w:spacing w:val="-6"/>
        </w:rPr>
        <w:t>评审办法。本项目评审办法是综合评分法，具体评审内容及评分标准等详见《第四章：评审办法及标准》。</w:t>
      </w:r>
    </w:p>
    <w:p>
      <w:pPr>
        <w:pStyle w:val="6"/>
        <w:rPr>
          <w:rFonts w:ascii="宋体" w:hAnsi="宋体" w:cs="宋体"/>
        </w:rPr>
      </w:pPr>
      <w:bookmarkStart w:id="98" w:name="_Toc13829"/>
      <w:r>
        <w:rPr>
          <w:rFonts w:hint="eastAsia" w:ascii="宋体" w:hAnsi="宋体" w:cs="宋体"/>
        </w:rPr>
        <w:t>六、成交</w:t>
      </w:r>
      <w:bookmarkEnd w:id="98"/>
    </w:p>
    <w:p>
      <w:pPr>
        <w:ind w:firstLine="480" w:firstLineChars="200"/>
        <w:rPr>
          <w:rFonts w:ascii="宋体" w:hAnsi="宋体"/>
          <w:spacing w:val="-6"/>
        </w:rPr>
      </w:pPr>
      <w:r>
        <w:rPr>
          <w:rFonts w:hint="eastAsia" w:ascii="宋体" w:hAnsi="宋体"/>
        </w:rPr>
        <w:t>1.</w:t>
      </w:r>
      <w:r>
        <w:rPr>
          <w:rFonts w:hint="eastAsia" w:ascii="宋体" w:hAnsi="宋体"/>
          <w:spacing w:val="-6"/>
        </w:rPr>
        <w:t>采购代理机构在评审结束后2个工作日内将评审报告送采购人确认。采购人在收到评审报告后5个工作日内会</w:t>
      </w:r>
      <w:r>
        <w:rPr>
          <w:rFonts w:hint="eastAsia" w:ascii="宋体" w:hAnsi="宋体"/>
          <w:shd w:val="clear" w:color="auto" w:fill="FFFFFF"/>
        </w:rPr>
        <w:t>联系有效响应供应商进行资质、资信在线复审查验，对于复审查验通过的有效供应商</w:t>
      </w:r>
      <w:r>
        <w:rPr>
          <w:rFonts w:hint="eastAsia" w:ascii="宋体" w:hAnsi="宋体"/>
          <w:spacing w:val="-6"/>
        </w:rPr>
        <w:t>按照排序由高到低的原则确定成交供应商。采购人逾期未确定成交供应商且不提出异议的，视为确定评审报告提出的排序第一的供应商为成交供应商。</w:t>
      </w:r>
    </w:p>
    <w:p>
      <w:pPr>
        <w:ind w:firstLine="480" w:firstLineChars="200"/>
        <w:rPr>
          <w:rFonts w:ascii="宋体" w:hAnsi="宋体"/>
          <w:spacing w:val="-6"/>
        </w:rPr>
      </w:pPr>
      <w:r>
        <w:rPr>
          <w:rFonts w:hint="eastAsia" w:ascii="宋体" w:hAnsi="宋体"/>
        </w:rPr>
        <w:t>2.</w:t>
      </w:r>
      <w:r>
        <w:rPr>
          <w:rFonts w:hint="eastAsia" w:ascii="宋体" w:hAnsi="宋体"/>
          <w:spacing w:val="-6"/>
        </w:rPr>
        <w:t>采购代理机构在成交供应商确定后2个工作日内在浙江大学采购网</w:t>
      </w:r>
      <w:r>
        <w:rPr>
          <w:rFonts w:hint="eastAsia" w:ascii="宋体" w:hAnsi="宋体"/>
        </w:rPr>
        <w:t>等相关网站或媒体</w:t>
      </w:r>
      <w:r>
        <w:rPr>
          <w:rFonts w:hint="eastAsia" w:ascii="宋体" w:hAnsi="宋体"/>
          <w:spacing w:val="-6"/>
        </w:rPr>
        <w:t>上公告成交结果，同时向成交供应商发出成交通知书，并将磋商文件随成交结果同时公告。</w:t>
      </w:r>
    </w:p>
    <w:p>
      <w:pPr>
        <w:pStyle w:val="6"/>
        <w:rPr>
          <w:rFonts w:ascii="宋体" w:hAnsi="宋体" w:cs="宋体"/>
        </w:rPr>
      </w:pPr>
      <w:bookmarkStart w:id="99" w:name="_Toc23508"/>
      <w:r>
        <w:rPr>
          <w:rFonts w:hint="eastAsia" w:ascii="宋体" w:hAnsi="宋体" w:cs="宋体"/>
        </w:rPr>
        <w:t>七、合同授予</w:t>
      </w:r>
      <w:bookmarkEnd w:id="99"/>
    </w:p>
    <w:p>
      <w:pPr>
        <w:ind w:firstLine="480" w:firstLineChars="200"/>
        <w:rPr>
          <w:rFonts w:ascii="宋体" w:hAnsi="宋体"/>
          <w:spacing w:val="-6"/>
        </w:rPr>
      </w:pPr>
      <w:r>
        <w:rPr>
          <w:rFonts w:hint="eastAsia" w:ascii="宋体" w:hAnsi="宋体"/>
        </w:rPr>
        <w:t>1.</w:t>
      </w:r>
      <w:r>
        <w:rPr>
          <w:rFonts w:hint="eastAsia" w:ascii="宋体" w:hAnsi="宋体"/>
          <w:spacing w:val="-6"/>
        </w:rPr>
        <w:t>成交供应商应当在《成交通知书》发出之日起30日内与采购人签订采购合同。</w:t>
      </w:r>
    </w:p>
    <w:p>
      <w:pPr>
        <w:ind w:firstLine="480" w:firstLineChars="200"/>
        <w:rPr>
          <w:rFonts w:ascii="宋体" w:hAnsi="宋体"/>
          <w:spacing w:val="-6"/>
        </w:rPr>
      </w:pPr>
      <w:r>
        <w:rPr>
          <w:rFonts w:hint="eastAsia" w:ascii="宋体" w:hAnsi="宋体"/>
        </w:rPr>
        <w:t>2.</w:t>
      </w:r>
      <w:r>
        <w:rPr>
          <w:rFonts w:hint="eastAsia" w:ascii="宋体" w:hAnsi="宋体"/>
          <w:spacing w:val="-6"/>
        </w:rPr>
        <w:t>成交后无正当理由拒不与采购人签订合同，处以采购金额千分之五以上千分之十以下的罚款，由相关采购监督管理部门列入不良行为记录名单，在一至三年内禁止参加采购活动，有违法所得的，并处没收违法所得，情节严重的，由工商行政管理机关吊销营业执照。</w:t>
      </w:r>
    </w:p>
    <w:p>
      <w:pPr>
        <w:ind w:firstLine="456" w:firstLineChars="200"/>
        <w:rPr>
          <w:rFonts w:ascii="宋体" w:hAnsi="宋体"/>
          <w:spacing w:val="-6"/>
        </w:rPr>
      </w:pPr>
    </w:p>
    <w:p>
      <w:pPr>
        <w:ind w:firstLine="456" w:firstLineChars="200"/>
        <w:rPr>
          <w:rFonts w:ascii="宋体" w:hAnsi="宋体"/>
          <w:spacing w:val="-6"/>
        </w:rPr>
        <w:sectPr>
          <w:footerReference r:id="rId14" w:type="default"/>
          <w:pgSz w:w="11906" w:h="16838"/>
          <w:pgMar w:top="1247" w:right="1247" w:bottom="1247" w:left="1247" w:header="170" w:footer="567" w:gutter="0"/>
          <w:cols w:space="720" w:num="1"/>
          <w:docGrid w:linePitch="381" w:charSpace="0"/>
        </w:sectPr>
      </w:pPr>
    </w:p>
    <w:p>
      <w:pPr>
        <w:pStyle w:val="4"/>
        <w:spacing w:line="360" w:lineRule="auto"/>
        <w:rPr>
          <w:color w:val="auto"/>
          <w:spacing w:val="-6"/>
        </w:rPr>
      </w:pPr>
      <w:bookmarkStart w:id="100" w:name="_Toc27969"/>
      <w:bookmarkStart w:id="101" w:name="_Toc5229"/>
      <w:bookmarkStart w:id="102" w:name="_Toc528579044"/>
      <w:bookmarkStart w:id="103" w:name="_Toc2157"/>
      <w:r>
        <w:rPr>
          <w:rFonts w:hint="eastAsia"/>
          <w:color w:val="auto"/>
          <w:spacing w:val="-6"/>
        </w:rPr>
        <w:t>第四章  评审办法及标准</w:t>
      </w:r>
      <w:bookmarkEnd w:id="100"/>
      <w:bookmarkEnd w:id="101"/>
      <w:bookmarkEnd w:id="102"/>
      <w:bookmarkEnd w:id="103"/>
    </w:p>
    <w:p>
      <w:pPr>
        <w:pStyle w:val="6"/>
        <w:rPr>
          <w:rFonts w:ascii="宋体" w:hAnsi="宋体" w:cs="宋体"/>
        </w:rPr>
      </w:pPr>
      <w:bookmarkStart w:id="104" w:name="_Toc11555"/>
      <w:bookmarkStart w:id="105" w:name="_Toc528579045"/>
      <w:r>
        <w:rPr>
          <w:rFonts w:hint="eastAsia" w:ascii="宋体" w:hAnsi="宋体" w:cs="宋体"/>
        </w:rPr>
        <w:t>一、总则</w:t>
      </w:r>
      <w:bookmarkEnd w:id="104"/>
      <w:bookmarkEnd w:id="105"/>
    </w:p>
    <w:p>
      <w:pPr>
        <w:ind w:firstLine="456" w:firstLineChars="200"/>
        <w:rPr>
          <w:rFonts w:ascii="宋体" w:hAnsi="宋体"/>
          <w:bCs/>
          <w:spacing w:val="-6"/>
        </w:rPr>
      </w:pPr>
      <w:r>
        <w:rPr>
          <w:rFonts w:hint="eastAsia" w:ascii="宋体" w:hAnsi="宋体"/>
          <w:spacing w:val="-6"/>
        </w:rPr>
        <w:t>本次评审采用综合评分法，总分为100分。合格磋商响应供应商的评审得分为各项目汇总得分，磋商小组应当根据综合评分情况，按照评审得分由高到低顺序推荐3名以上成交候选供应商，评审得分相同的，按照最后磋商报价由低到高的顺序推荐。评审得分且最后磋商报价相同的，按照技术指标优劣顺序推荐。</w:t>
      </w:r>
      <w:r>
        <w:rPr>
          <w:rFonts w:hint="eastAsia" w:ascii="宋体" w:hAnsi="宋体"/>
          <w:bCs/>
          <w:spacing w:val="-6"/>
        </w:rPr>
        <w:t>评分过程中采用四舍五入法，并保留小数2位。</w:t>
      </w:r>
    </w:p>
    <w:p>
      <w:pPr>
        <w:ind w:firstLine="456" w:firstLineChars="200"/>
        <w:rPr>
          <w:rFonts w:ascii="宋体" w:hAnsi="宋体"/>
          <w:bCs/>
          <w:spacing w:val="-6"/>
        </w:rPr>
      </w:pPr>
      <w:r>
        <w:rPr>
          <w:rFonts w:hint="eastAsia" w:ascii="宋体" w:hAnsi="宋体"/>
          <w:spacing w:val="-6"/>
        </w:rPr>
        <w:t>磋商响应供应商评审</w:t>
      </w:r>
      <w:r>
        <w:rPr>
          <w:rFonts w:hint="eastAsia" w:ascii="宋体" w:hAnsi="宋体"/>
          <w:bCs/>
          <w:spacing w:val="-6"/>
        </w:rPr>
        <w:t>综合得分=商务分+技术分+价格分</w:t>
      </w:r>
    </w:p>
    <w:p>
      <w:pPr>
        <w:ind w:firstLine="456" w:firstLineChars="200"/>
        <w:rPr>
          <w:rFonts w:ascii="宋体" w:hAnsi="宋体"/>
          <w:spacing w:val="-6"/>
        </w:rPr>
      </w:pPr>
      <w:r>
        <w:rPr>
          <w:rFonts w:hint="eastAsia" w:ascii="宋体" w:hAnsi="宋体"/>
          <w:bCs/>
          <w:spacing w:val="-6"/>
        </w:rPr>
        <w:t>商务分、技术分按照磋商小组成员的独立评分结果的算术平均分计算，计算公式为：商务分、技术分=（磋商小组所有成员评分合计数）/（磋商小组组成人员数）</w:t>
      </w:r>
    </w:p>
    <w:p>
      <w:pPr>
        <w:pStyle w:val="6"/>
        <w:rPr>
          <w:rFonts w:ascii="宋体" w:hAnsi="宋体" w:cs="宋体"/>
        </w:rPr>
      </w:pPr>
      <w:bookmarkStart w:id="106" w:name="_Toc528579046"/>
      <w:bookmarkStart w:id="107" w:name="_Toc23279"/>
      <w:r>
        <w:rPr>
          <w:rFonts w:hint="eastAsia" w:ascii="宋体" w:hAnsi="宋体" w:cs="宋体"/>
        </w:rPr>
        <w:t>二、评审内容及标准</w:t>
      </w:r>
      <w:bookmarkEnd w:id="106"/>
      <w:bookmarkEnd w:id="107"/>
    </w:p>
    <w:tbl>
      <w:tblPr>
        <w:tblStyle w:val="2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6"/>
        <w:gridCol w:w="7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2" w:type="dxa"/>
            <w:vAlign w:val="center"/>
          </w:tcPr>
          <w:p>
            <w:pPr>
              <w:pStyle w:val="63"/>
              <w:spacing w:line="240" w:lineRule="auto"/>
              <w:rPr>
                <w:rFonts w:hint="default" w:ascii="宋体" w:hAnsi="宋体" w:eastAsia="宋体"/>
                <w:b/>
                <w:spacing w:val="-6"/>
              </w:rPr>
            </w:pPr>
            <w:r>
              <w:rPr>
                <w:rFonts w:ascii="宋体" w:hAnsi="宋体" w:eastAsia="宋体"/>
                <w:b/>
                <w:spacing w:val="-6"/>
              </w:rPr>
              <w:t>评审因素</w:t>
            </w:r>
          </w:p>
        </w:tc>
        <w:tc>
          <w:tcPr>
            <w:tcW w:w="666" w:type="dxa"/>
            <w:vAlign w:val="center"/>
          </w:tcPr>
          <w:p>
            <w:pPr>
              <w:pStyle w:val="63"/>
              <w:spacing w:line="240" w:lineRule="auto"/>
              <w:rPr>
                <w:rFonts w:hint="default" w:ascii="宋体" w:hAnsi="宋体" w:eastAsia="宋体"/>
                <w:b/>
                <w:spacing w:val="-6"/>
              </w:rPr>
            </w:pPr>
            <w:r>
              <w:rPr>
                <w:rFonts w:ascii="宋体" w:hAnsi="宋体" w:eastAsia="宋体"/>
                <w:b/>
                <w:spacing w:val="-6"/>
              </w:rPr>
              <w:t>分值</w:t>
            </w:r>
          </w:p>
        </w:tc>
        <w:tc>
          <w:tcPr>
            <w:tcW w:w="7130" w:type="dxa"/>
            <w:vAlign w:val="center"/>
          </w:tcPr>
          <w:p>
            <w:pPr>
              <w:pStyle w:val="63"/>
              <w:spacing w:line="240" w:lineRule="auto"/>
              <w:rPr>
                <w:rFonts w:hint="default" w:ascii="宋体" w:hAnsi="宋体" w:eastAsia="宋体"/>
                <w:b/>
                <w:spacing w:val="-6"/>
              </w:rPr>
            </w:pPr>
            <w:r>
              <w:rPr>
                <w:rFonts w:ascii="宋体" w:hAnsi="宋体" w:eastAsia="宋体"/>
                <w:b/>
                <w:spacing w:val="-6"/>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98" w:type="dxa"/>
            <w:gridSpan w:val="3"/>
            <w:vAlign w:val="center"/>
          </w:tcPr>
          <w:p>
            <w:pPr>
              <w:pStyle w:val="63"/>
              <w:spacing w:line="240" w:lineRule="auto"/>
              <w:rPr>
                <w:rFonts w:hint="default" w:ascii="宋体" w:hAnsi="宋体" w:eastAsia="宋体"/>
                <w:spacing w:val="-6"/>
              </w:rPr>
            </w:pPr>
            <w:r>
              <w:rPr>
                <w:rFonts w:ascii="宋体" w:hAnsi="宋体" w:eastAsia="宋体"/>
                <w:b/>
                <w:bCs/>
                <w:spacing w:val="-6"/>
                <w:kern w:val="2"/>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jc w:val="center"/>
              <w:rPr>
                <w:rFonts w:hAnsi="宋体" w:cs="宋体"/>
                <w:spacing w:val="-6"/>
                <w:sz w:val="24"/>
                <w:szCs w:val="24"/>
              </w:rPr>
            </w:pPr>
            <w:r>
              <w:rPr>
                <w:rFonts w:hint="eastAsia" w:hAnsi="宋体" w:cs="宋体"/>
                <w:spacing w:val="-6"/>
                <w:sz w:val="24"/>
                <w:szCs w:val="24"/>
              </w:rPr>
              <w:t>响应报价</w:t>
            </w:r>
          </w:p>
        </w:tc>
        <w:tc>
          <w:tcPr>
            <w:tcW w:w="66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r>
              <w:rPr>
                <w:rFonts w:hint="eastAsia" w:ascii="宋体" w:hAnsi="宋体"/>
                <w:spacing w:val="-6"/>
              </w:rPr>
              <w:t>30</w:t>
            </w:r>
          </w:p>
        </w:tc>
        <w:tc>
          <w:tcPr>
            <w:tcW w:w="7130"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rPr>
                <w:rFonts w:hAnsi="宋体" w:cs="宋体"/>
                <w:spacing w:val="-6"/>
                <w:sz w:val="24"/>
                <w:szCs w:val="24"/>
              </w:rPr>
            </w:pPr>
            <w:r>
              <w:rPr>
                <w:rFonts w:hint="eastAsia" w:hAnsi="宋体" w:cs="宋体"/>
                <w:spacing w:val="-6"/>
                <w:sz w:val="24"/>
                <w:szCs w:val="24"/>
              </w:rPr>
              <w:t>价格分计算，满足竞争性磋商文件要求且响应价格最低的响应报价为评标基准价，其他响应单位的价格分按照下列公式计算：</w:t>
            </w:r>
          </w:p>
          <w:p>
            <w:pPr>
              <w:rPr>
                <w:rFonts w:ascii="宋体" w:hAnsi="宋体"/>
                <w:spacing w:val="-6"/>
              </w:rPr>
            </w:pPr>
            <w:r>
              <w:rPr>
                <w:rFonts w:hint="eastAsia" w:ascii="宋体" w:hAnsi="宋体"/>
                <w:spacing w:val="-6"/>
              </w:rPr>
              <w:t>价格分=（评标基准价/响应报价）×30%×100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98" w:type="dxa"/>
            <w:gridSpan w:val="3"/>
            <w:vAlign w:val="center"/>
          </w:tcPr>
          <w:p>
            <w:pPr>
              <w:pStyle w:val="63"/>
              <w:spacing w:line="240" w:lineRule="auto"/>
              <w:rPr>
                <w:rFonts w:hint="default" w:ascii="宋体" w:hAnsi="宋体" w:eastAsia="宋体"/>
                <w:b/>
                <w:spacing w:val="-6"/>
              </w:rPr>
            </w:pPr>
            <w:r>
              <w:rPr>
                <w:rFonts w:ascii="宋体" w:hAnsi="宋体" w:eastAsia="宋体"/>
                <w:b/>
                <w:spacing w:val="-6"/>
              </w:rPr>
              <w:t>商务分（8分）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702" w:type="dxa"/>
            <w:vAlign w:val="center"/>
          </w:tcPr>
          <w:p>
            <w:pPr>
              <w:jc w:val="center"/>
              <w:rPr>
                <w:rFonts w:ascii="宋体" w:hAnsi="宋体"/>
                <w:spacing w:val="-6"/>
              </w:rPr>
            </w:pPr>
            <w:r>
              <w:rPr>
                <w:rFonts w:hint="eastAsia" w:ascii="宋体" w:hAnsi="宋体"/>
                <w:spacing w:val="-6"/>
              </w:rPr>
              <w:t>类似业绩</w:t>
            </w:r>
          </w:p>
        </w:tc>
        <w:tc>
          <w:tcPr>
            <w:tcW w:w="666" w:type="dxa"/>
            <w:vAlign w:val="center"/>
          </w:tcPr>
          <w:p>
            <w:pPr>
              <w:jc w:val="center"/>
              <w:rPr>
                <w:rFonts w:ascii="宋体" w:hAnsi="宋体"/>
                <w:spacing w:val="-6"/>
              </w:rPr>
            </w:pPr>
            <w:r>
              <w:rPr>
                <w:rFonts w:hint="eastAsia" w:ascii="宋体" w:hAnsi="宋体"/>
                <w:spacing w:val="-6"/>
              </w:rPr>
              <w:t>5</w:t>
            </w:r>
          </w:p>
        </w:tc>
        <w:tc>
          <w:tcPr>
            <w:tcW w:w="7130" w:type="dxa"/>
            <w:vAlign w:val="center"/>
          </w:tcPr>
          <w:p>
            <w:pPr>
              <w:pStyle w:val="12"/>
              <w:spacing w:line="360" w:lineRule="auto"/>
              <w:ind w:firstLine="0"/>
              <w:rPr>
                <w:rFonts w:hAnsi="宋体" w:cs="宋体"/>
                <w:sz w:val="24"/>
                <w:szCs w:val="24"/>
              </w:rPr>
            </w:pPr>
            <w:r>
              <w:rPr>
                <w:rFonts w:hint="eastAsia" w:hAnsi="宋体" w:cs="宋体"/>
                <w:spacing w:val="-6"/>
                <w:sz w:val="24"/>
                <w:szCs w:val="24"/>
              </w:rPr>
              <w:t>响应人提供2017年1月1日以来的所投产品同类业绩合同，经评标委员会认定为有效业绩合同的，每份得1分，最高得5分。（提供合同复印件加盖公章，原件备查）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1702" w:type="dxa"/>
            <w:vAlign w:val="center"/>
          </w:tcPr>
          <w:p>
            <w:pPr>
              <w:jc w:val="center"/>
              <w:rPr>
                <w:rFonts w:ascii="宋体" w:hAnsi="宋体"/>
                <w:spacing w:val="-6"/>
              </w:rPr>
            </w:pPr>
            <w:r>
              <w:rPr>
                <w:rFonts w:hint="eastAsia" w:ascii="宋体" w:hAnsi="宋体"/>
                <w:spacing w:val="-6"/>
              </w:rPr>
              <w:t>认证证书</w:t>
            </w:r>
          </w:p>
        </w:tc>
        <w:tc>
          <w:tcPr>
            <w:tcW w:w="666" w:type="dxa"/>
            <w:vAlign w:val="center"/>
          </w:tcPr>
          <w:p>
            <w:pPr>
              <w:jc w:val="center"/>
              <w:rPr>
                <w:rFonts w:ascii="宋体" w:hAnsi="宋体"/>
                <w:spacing w:val="-6"/>
              </w:rPr>
            </w:pPr>
            <w:r>
              <w:rPr>
                <w:rFonts w:hint="eastAsia" w:ascii="宋体" w:hAnsi="宋体"/>
                <w:spacing w:val="-6"/>
              </w:rPr>
              <w:t>3</w:t>
            </w:r>
          </w:p>
        </w:tc>
        <w:tc>
          <w:tcPr>
            <w:tcW w:w="7130" w:type="dxa"/>
            <w:vAlign w:val="center"/>
          </w:tcPr>
          <w:p>
            <w:pPr>
              <w:jc w:val="left"/>
              <w:rPr>
                <w:rFonts w:ascii="宋体" w:hAnsi="宋体"/>
                <w:spacing w:val="-6"/>
              </w:rPr>
            </w:pPr>
            <w:r>
              <w:rPr>
                <w:rFonts w:hint="eastAsia" w:ascii="宋体" w:hAnsi="宋体"/>
                <w:spacing w:val="-6"/>
              </w:rPr>
              <w:t>响应人制造商通过有效的ISO9001质量管理体系、ISO14000环境认证体系、企业注册地工商行政管理局信用等级评定AAA（含）级以上及其他国际、国内权威机构认证并获得相关证书，凭相关证书复印件每项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98" w:type="dxa"/>
            <w:gridSpan w:val="3"/>
            <w:vAlign w:val="center"/>
          </w:tcPr>
          <w:p>
            <w:pPr>
              <w:pStyle w:val="12"/>
              <w:spacing w:line="240" w:lineRule="auto"/>
              <w:ind w:firstLine="0"/>
              <w:jc w:val="center"/>
              <w:rPr>
                <w:rFonts w:hAnsi="宋体" w:cs="宋体"/>
                <w:spacing w:val="-6"/>
                <w:sz w:val="24"/>
                <w:szCs w:val="24"/>
              </w:rPr>
            </w:pPr>
            <w:r>
              <w:rPr>
                <w:rFonts w:hint="eastAsia" w:hAnsi="宋体" w:cs="宋体"/>
                <w:b/>
                <w:spacing w:val="-6"/>
                <w:sz w:val="24"/>
                <w:szCs w:val="24"/>
              </w:rPr>
              <w:t>技术分（62分）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702" w:type="dxa"/>
            <w:vAlign w:val="center"/>
          </w:tcPr>
          <w:p>
            <w:pPr>
              <w:jc w:val="center"/>
              <w:rPr>
                <w:rFonts w:ascii="宋体" w:hAnsi="宋体"/>
              </w:rPr>
            </w:pPr>
            <w:r>
              <w:rPr>
                <w:rFonts w:hint="eastAsia" w:ascii="宋体" w:hAnsi="宋体"/>
                <w:spacing w:val="-6"/>
              </w:rPr>
              <w:t>响应</w:t>
            </w:r>
            <w:r>
              <w:rPr>
                <w:rFonts w:hint="eastAsia" w:ascii="宋体" w:hAnsi="宋体"/>
              </w:rPr>
              <w:t>产品技术响应情况</w:t>
            </w:r>
          </w:p>
        </w:tc>
        <w:tc>
          <w:tcPr>
            <w:tcW w:w="666" w:type="dxa"/>
            <w:vAlign w:val="center"/>
          </w:tcPr>
          <w:p>
            <w:pPr>
              <w:jc w:val="center"/>
              <w:rPr>
                <w:rFonts w:ascii="宋体" w:hAnsi="宋体"/>
                <w:spacing w:val="-6"/>
              </w:rPr>
            </w:pPr>
            <w:r>
              <w:rPr>
                <w:rFonts w:hint="eastAsia" w:ascii="宋体" w:hAnsi="宋体"/>
                <w:spacing w:val="-6"/>
              </w:rPr>
              <w:t>32</w:t>
            </w:r>
          </w:p>
        </w:tc>
        <w:tc>
          <w:tcPr>
            <w:tcW w:w="7130" w:type="dxa"/>
            <w:vAlign w:val="center"/>
          </w:tcPr>
          <w:p>
            <w:pPr>
              <w:pStyle w:val="69"/>
              <w:rPr>
                <w:rFonts w:ascii="宋体" w:hAnsi="宋体"/>
                <w:spacing w:val="-6"/>
                <w:szCs w:val="24"/>
              </w:rPr>
            </w:pPr>
            <w:r>
              <w:rPr>
                <w:rFonts w:hint="eastAsia" w:ascii="宋体" w:hAnsi="宋体"/>
                <w:spacing w:val="-6"/>
                <w:szCs w:val="24"/>
              </w:rPr>
              <w:t>由评委根据响应方提供的设备配置方案和响应响应情况等进行综合评议，全部满足技术参数</w:t>
            </w:r>
            <w:r>
              <w:rPr>
                <w:rFonts w:hint="eastAsia" w:ascii="宋体" w:hAnsi="宋体"/>
                <w:szCs w:val="24"/>
              </w:rPr>
              <w:t>或明显优于竞争性磋商文件要求</w:t>
            </w:r>
            <w:r>
              <w:rPr>
                <w:rFonts w:hint="eastAsia" w:ascii="宋体" w:hAnsi="宋体"/>
                <w:spacing w:val="-6"/>
                <w:szCs w:val="24"/>
              </w:rPr>
              <w:t>的得32分；技术参数每负偏离一条参数，扣4分，打“</w:t>
            </w:r>
            <w:r>
              <w:rPr>
                <w:rFonts w:hint="eastAsia" w:ascii="宋体" w:hAnsi="宋体"/>
                <w:szCs w:val="24"/>
              </w:rPr>
              <w:t>★</w:t>
            </w:r>
            <w:r>
              <w:rPr>
                <w:rFonts w:hint="eastAsia" w:ascii="宋体" w:hAnsi="宋体"/>
                <w:spacing w:val="-6"/>
                <w:szCs w:val="24"/>
              </w:rPr>
              <w:t>”参数为重要参数，每负偏离一条扣6分，扣完为止。打“</w:t>
            </w:r>
            <w:r>
              <w:rPr>
                <w:rFonts w:hint="eastAsia" w:ascii="宋体" w:hAnsi="宋体"/>
                <w:szCs w:val="24"/>
              </w:rPr>
              <w:t>▲”为实质性条款，不符合则作无效</w:t>
            </w:r>
            <w:r>
              <w:rPr>
                <w:rFonts w:hint="eastAsia" w:ascii="宋体" w:hAnsi="宋体"/>
                <w:spacing w:val="-6"/>
                <w:szCs w:val="24"/>
              </w:rPr>
              <w:t>响应</w:t>
            </w:r>
            <w:r>
              <w:rPr>
                <w:rFonts w:hint="eastAsia" w:ascii="宋体" w:hAnsi="宋体"/>
                <w:szCs w:val="24"/>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702" w:type="dxa"/>
            <w:vAlign w:val="center"/>
          </w:tcPr>
          <w:p>
            <w:pPr>
              <w:rPr>
                <w:rFonts w:ascii="宋体" w:hAnsi="宋体"/>
              </w:rPr>
            </w:pPr>
            <w:r>
              <w:rPr>
                <w:rFonts w:hint="eastAsia" w:ascii="宋体" w:hAnsi="宋体"/>
                <w:spacing w:val="-6"/>
              </w:rPr>
              <w:t>响应</w:t>
            </w:r>
            <w:r>
              <w:rPr>
                <w:rFonts w:hint="eastAsia" w:ascii="宋体" w:hAnsi="宋体"/>
              </w:rPr>
              <w:t>货物的性能、质量的整体评价</w:t>
            </w:r>
          </w:p>
        </w:tc>
        <w:tc>
          <w:tcPr>
            <w:tcW w:w="666" w:type="dxa"/>
            <w:vAlign w:val="center"/>
          </w:tcPr>
          <w:p>
            <w:pPr>
              <w:jc w:val="center"/>
              <w:rPr>
                <w:rFonts w:ascii="宋体" w:hAnsi="宋体"/>
                <w:spacing w:val="-6"/>
              </w:rPr>
            </w:pPr>
            <w:r>
              <w:rPr>
                <w:rFonts w:hint="eastAsia" w:ascii="宋体" w:hAnsi="宋体"/>
                <w:spacing w:val="-6"/>
              </w:rPr>
              <w:t>5</w:t>
            </w:r>
          </w:p>
        </w:tc>
        <w:tc>
          <w:tcPr>
            <w:tcW w:w="7130" w:type="dxa"/>
            <w:vAlign w:val="center"/>
          </w:tcPr>
          <w:p>
            <w:pPr>
              <w:rPr>
                <w:rFonts w:ascii="宋体" w:hAnsi="宋体"/>
              </w:rPr>
            </w:pPr>
            <w:r>
              <w:rPr>
                <w:rFonts w:hint="eastAsia" w:ascii="宋体" w:hAnsi="宋体"/>
              </w:rPr>
              <w:t>根据</w:t>
            </w:r>
            <w:r>
              <w:rPr>
                <w:rFonts w:hint="eastAsia" w:ascii="宋体" w:hAnsi="宋体"/>
                <w:spacing w:val="-6"/>
              </w:rPr>
              <w:t>响应</w:t>
            </w:r>
            <w:r>
              <w:rPr>
                <w:rFonts w:hint="eastAsia" w:ascii="宋体" w:hAnsi="宋体"/>
              </w:rPr>
              <w:t>货物的技术参数先进性、市场占有率，按实际情况酌情给分。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702" w:type="dxa"/>
            <w:vAlign w:val="center"/>
          </w:tcPr>
          <w:p>
            <w:pPr>
              <w:pStyle w:val="2"/>
              <w:jc w:val="center"/>
              <w:rPr>
                <w:rFonts w:ascii="宋体" w:hAnsi="宋体" w:eastAsia="宋体" w:cs="宋体"/>
                <w:color w:val="auto"/>
              </w:rPr>
            </w:pPr>
            <w:r>
              <w:rPr>
                <w:rFonts w:hint="eastAsia" w:ascii="宋体" w:hAnsi="宋体" w:eastAsia="宋体" w:cs="宋体"/>
                <w:color w:val="auto"/>
                <w:spacing w:val="-6"/>
              </w:rPr>
              <w:t>质量保证措施</w:t>
            </w:r>
          </w:p>
        </w:tc>
        <w:tc>
          <w:tcPr>
            <w:tcW w:w="666" w:type="dxa"/>
            <w:vAlign w:val="center"/>
          </w:tcPr>
          <w:p>
            <w:pPr>
              <w:jc w:val="center"/>
              <w:rPr>
                <w:rFonts w:ascii="宋体" w:hAnsi="宋体"/>
                <w:spacing w:val="-6"/>
              </w:rPr>
            </w:pPr>
            <w:r>
              <w:rPr>
                <w:rFonts w:hint="eastAsia" w:ascii="宋体" w:hAnsi="宋体"/>
                <w:spacing w:val="-6"/>
              </w:rPr>
              <w:t>5</w:t>
            </w:r>
          </w:p>
        </w:tc>
        <w:tc>
          <w:tcPr>
            <w:tcW w:w="7130" w:type="dxa"/>
            <w:vAlign w:val="center"/>
          </w:tcPr>
          <w:p>
            <w:pPr>
              <w:rPr>
                <w:rFonts w:ascii="宋体" w:hAnsi="宋体"/>
                <w:spacing w:val="-6"/>
              </w:rPr>
            </w:pPr>
            <w:r>
              <w:rPr>
                <w:rFonts w:hint="eastAsia" w:ascii="宋体" w:hAnsi="宋体"/>
                <w:spacing w:val="-6"/>
              </w:rPr>
              <w:t>是否具有严密的质量监控措施和先进的质量检测设施；是否建立定期巡检制度和设备运行情况报告制度，定期出具巡检和设备运行情况报告；是否建立服务档案和解决方案资料库等。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702" w:type="dxa"/>
            <w:vAlign w:val="center"/>
          </w:tcPr>
          <w:p>
            <w:pPr>
              <w:jc w:val="center"/>
              <w:rPr>
                <w:rFonts w:ascii="宋体" w:hAnsi="宋体"/>
              </w:rPr>
            </w:pPr>
            <w:r>
              <w:rPr>
                <w:rFonts w:hint="eastAsia" w:ascii="宋体" w:hAnsi="宋体"/>
              </w:rPr>
              <w:t>针对本项目的详细实施计划</w:t>
            </w:r>
          </w:p>
        </w:tc>
        <w:tc>
          <w:tcPr>
            <w:tcW w:w="666" w:type="dxa"/>
            <w:vAlign w:val="center"/>
          </w:tcPr>
          <w:p>
            <w:pPr>
              <w:jc w:val="center"/>
              <w:rPr>
                <w:rFonts w:ascii="宋体" w:hAnsi="宋体"/>
                <w:spacing w:val="-6"/>
              </w:rPr>
            </w:pPr>
            <w:r>
              <w:rPr>
                <w:rFonts w:hint="eastAsia" w:ascii="宋体" w:hAnsi="宋体"/>
                <w:spacing w:val="-6"/>
              </w:rPr>
              <w:t>8</w:t>
            </w:r>
          </w:p>
        </w:tc>
        <w:tc>
          <w:tcPr>
            <w:tcW w:w="7130" w:type="dxa"/>
            <w:vAlign w:val="center"/>
          </w:tcPr>
          <w:p>
            <w:pPr>
              <w:jc w:val="left"/>
              <w:rPr>
                <w:rFonts w:ascii="宋体" w:hAnsi="宋体"/>
              </w:rPr>
            </w:pPr>
            <w:r>
              <w:rPr>
                <w:rFonts w:hint="eastAsia" w:ascii="宋体" w:hAnsi="宋体"/>
              </w:rPr>
              <w:t>1.运输方案保障措施有效、方案严密的最高得2分；措施及方案存在欠缺、影响或者可能影响供货期的，酌情扣分；</w:t>
            </w:r>
          </w:p>
          <w:p>
            <w:pPr>
              <w:jc w:val="left"/>
              <w:rPr>
                <w:rFonts w:ascii="宋体" w:hAnsi="宋体"/>
              </w:rPr>
            </w:pPr>
            <w:r>
              <w:rPr>
                <w:rFonts w:hint="eastAsia" w:ascii="宋体" w:hAnsi="宋体"/>
              </w:rPr>
              <w:t>2.安装、调试方案合理、严密的最高得2分，有缺漏的酌情扣分；</w:t>
            </w:r>
          </w:p>
          <w:p>
            <w:pPr>
              <w:jc w:val="left"/>
              <w:rPr>
                <w:rFonts w:ascii="宋体" w:hAnsi="宋体"/>
              </w:rPr>
            </w:pPr>
            <w:r>
              <w:rPr>
                <w:rFonts w:hint="eastAsia" w:ascii="宋体" w:hAnsi="宋体"/>
              </w:rPr>
              <w:t>3.验收方案合理、有效，能真实体现产品合格情况的最高得2分，有缺漏的酌情扣分；</w:t>
            </w:r>
          </w:p>
          <w:p>
            <w:pPr>
              <w:jc w:val="left"/>
              <w:rPr>
                <w:rFonts w:ascii="宋体" w:hAnsi="宋体"/>
              </w:rPr>
            </w:pPr>
            <w:r>
              <w:rPr>
                <w:rFonts w:hint="eastAsia" w:ascii="宋体" w:hAnsi="宋体"/>
              </w:rPr>
              <w:t>4.设备维护方式和时间：各</w:t>
            </w:r>
            <w:r>
              <w:rPr>
                <w:rFonts w:hint="eastAsia" w:ascii="宋体" w:hAnsi="宋体"/>
                <w:spacing w:val="-6"/>
              </w:rPr>
              <w:t>响应</w:t>
            </w:r>
            <w:r>
              <w:rPr>
                <w:rFonts w:hint="eastAsia" w:ascii="宋体" w:hAnsi="宋体"/>
              </w:rPr>
              <w:t>人需提供具体设备维护措施，措施合理有效的最高得2分，有缺漏的酌情扣分。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702" w:type="dxa"/>
            <w:vMerge w:val="restart"/>
            <w:vAlign w:val="center"/>
          </w:tcPr>
          <w:p>
            <w:pPr>
              <w:jc w:val="center"/>
              <w:rPr>
                <w:rFonts w:ascii="宋体" w:hAnsi="宋体"/>
              </w:rPr>
            </w:pPr>
            <w:r>
              <w:rPr>
                <w:rFonts w:hint="eastAsia" w:ascii="宋体" w:hAnsi="宋体"/>
                <w:kern w:val="0"/>
              </w:rPr>
              <w:t>售后服务</w:t>
            </w:r>
          </w:p>
        </w:tc>
        <w:tc>
          <w:tcPr>
            <w:tcW w:w="666" w:type="dxa"/>
            <w:vMerge w:val="restart"/>
            <w:vAlign w:val="center"/>
          </w:tcPr>
          <w:p>
            <w:pPr>
              <w:jc w:val="center"/>
              <w:rPr>
                <w:rFonts w:ascii="宋体" w:hAnsi="宋体"/>
                <w:spacing w:val="-6"/>
              </w:rPr>
            </w:pPr>
            <w:r>
              <w:rPr>
                <w:rFonts w:hint="eastAsia" w:ascii="宋体" w:hAnsi="宋体"/>
                <w:spacing w:val="-6"/>
              </w:rPr>
              <w:t>3</w:t>
            </w:r>
          </w:p>
        </w:tc>
        <w:tc>
          <w:tcPr>
            <w:tcW w:w="7130" w:type="dxa"/>
            <w:vAlign w:val="center"/>
          </w:tcPr>
          <w:p>
            <w:pPr>
              <w:pStyle w:val="69"/>
              <w:rPr>
                <w:rFonts w:ascii="宋体" w:hAnsi="宋体"/>
              </w:rPr>
            </w:pPr>
            <w:r>
              <w:rPr>
                <w:rFonts w:hint="eastAsia" w:ascii="宋体" w:hAnsi="宋体"/>
                <w:szCs w:val="24"/>
              </w:rPr>
              <w:t>（1）完全响应竞争性磋商文件要求（完全响应竞争性磋商文件要求（接到采购人通知后，4小时内响应（工作日内），2个工作日内到现场进行故障解决）的得1分，不响应不得分。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702" w:type="dxa"/>
            <w:vMerge w:val="continue"/>
            <w:vAlign w:val="center"/>
          </w:tcPr>
          <w:p>
            <w:pPr>
              <w:pStyle w:val="69"/>
              <w:rPr>
                <w:rFonts w:ascii="宋体" w:hAnsi="宋体"/>
              </w:rPr>
            </w:pPr>
          </w:p>
        </w:tc>
        <w:tc>
          <w:tcPr>
            <w:tcW w:w="666" w:type="dxa"/>
            <w:vMerge w:val="continue"/>
            <w:vAlign w:val="center"/>
          </w:tcPr>
          <w:p>
            <w:pPr>
              <w:pStyle w:val="69"/>
              <w:rPr>
                <w:rFonts w:ascii="宋体" w:hAnsi="宋体"/>
                <w:spacing w:val="-6"/>
              </w:rPr>
            </w:pPr>
          </w:p>
        </w:tc>
        <w:tc>
          <w:tcPr>
            <w:tcW w:w="7130" w:type="dxa"/>
            <w:vAlign w:val="center"/>
          </w:tcPr>
          <w:p>
            <w:pPr>
              <w:pStyle w:val="69"/>
              <w:rPr>
                <w:rFonts w:ascii="宋体" w:hAnsi="宋体"/>
              </w:rPr>
            </w:pPr>
            <w:r>
              <w:rPr>
                <w:rFonts w:hint="eastAsia" w:ascii="宋体" w:hAnsi="宋体"/>
                <w:szCs w:val="24"/>
              </w:rPr>
              <w:t>（2）在满足竞争性磋商文件的基础上，额外提供其它售后服务的，根据售后服务方案的合理性、有效性酌情打分，最高得2分，未提供不得分。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2" w:type="dxa"/>
            <w:vAlign w:val="center"/>
          </w:tcPr>
          <w:p>
            <w:pPr>
              <w:jc w:val="center"/>
              <w:rPr>
                <w:rFonts w:ascii="宋体" w:hAnsi="宋体"/>
              </w:rPr>
            </w:pPr>
            <w:r>
              <w:rPr>
                <w:rFonts w:hint="eastAsia" w:ascii="宋体" w:hAnsi="宋体"/>
              </w:rPr>
              <w:t>质保期满后配件及专用耗材供应价格</w:t>
            </w:r>
          </w:p>
        </w:tc>
        <w:tc>
          <w:tcPr>
            <w:tcW w:w="666" w:type="dxa"/>
            <w:vAlign w:val="center"/>
          </w:tcPr>
          <w:p>
            <w:pPr>
              <w:jc w:val="center"/>
              <w:rPr>
                <w:rFonts w:ascii="宋体" w:hAnsi="宋体"/>
              </w:rPr>
            </w:pPr>
            <w:r>
              <w:rPr>
                <w:rFonts w:hint="eastAsia" w:ascii="宋体" w:hAnsi="宋体"/>
              </w:rPr>
              <w:t>6</w:t>
            </w:r>
          </w:p>
        </w:tc>
        <w:tc>
          <w:tcPr>
            <w:tcW w:w="7130" w:type="dxa"/>
            <w:vAlign w:val="center"/>
          </w:tcPr>
          <w:p>
            <w:pPr>
              <w:rPr>
                <w:rFonts w:ascii="宋体" w:hAnsi="宋体"/>
              </w:rPr>
            </w:pPr>
            <w:r>
              <w:rPr>
                <w:rFonts w:hint="eastAsia" w:ascii="宋体" w:hAnsi="宋体"/>
              </w:rPr>
              <w:t>根据各</w:t>
            </w:r>
            <w:r>
              <w:rPr>
                <w:rFonts w:hint="eastAsia" w:ascii="宋体" w:hAnsi="宋体"/>
                <w:spacing w:val="-6"/>
              </w:rPr>
              <w:t>响应</w:t>
            </w:r>
            <w:r>
              <w:rPr>
                <w:rFonts w:hint="eastAsia" w:ascii="宋体" w:hAnsi="宋体"/>
              </w:rPr>
              <w:t>人同类配件及专用耗材供应让利幅度，酌情给分。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2" w:type="dxa"/>
            <w:vAlign w:val="center"/>
          </w:tcPr>
          <w:p>
            <w:pPr>
              <w:jc w:val="center"/>
              <w:rPr>
                <w:rFonts w:ascii="宋体" w:hAnsi="宋体"/>
              </w:rPr>
            </w:pPr>
            <w:r>
              <w:rPr>
                <w:rFonts w:hint="eastAsia" w:ascii="宋体" w:hAnsi="宋体"/>
              </w:rPr>
              <w:t>合理化建议和改进措施</w:t>
            </w:r>
          </w:p>
        </w:tc>
        <w:tc>
          <w:tcPr>
            <w:tcW w:w="666" w:type="dxa"/>
            <w:vAlign w:val="center"/>
          </w:tcPr>
          <w:p>
            <w:pPr>
              <w:jc w:val="center"/>
              <w:rPr>
                <w:rFonts w:ascii="宋体" w:hAnsi="宋体"/>
              </w:rPr>
            </w:pPr>
            <w:r>
              <w:rPr>
                <w:rFonts w:hint="eastAsia" w:ascii="宋体" w:hAnsi="宋体"/>
              </w:rPr>
              <w:t>3</w:t>
            </w:r>
          </w:p>
        </w:tc>
        <w:tc>
          <w:tcPr>
            <w:tcW w:w="7130" w:type="dxa"/>
            <w:vAlign w:val="center"/>
          </w:tcPr>
          <w:p>
            <w:pPr>
              <w:rPr>
                <w:rFonts w:ascii="宋体" w:hAnsi="宋体"/>
              </w:rPr>
            </w:pPr>
            <w:r>
              <w:rPr>
                <w:rFonts w:hint="eastAsia" w:ascii="宋体" w:hAnsi="宋体"/>
                <w:spacing w:val="-6"/>
              </w:rPr>
              <w:t>响应</w:t>
            </w:r>
            <w:r>
              <w:rPr>
                <w:rFonts w:hint="eastAsia" w:ascii="宋体" w:hAnsi="宋体"/>
              </w:rPr>
              <w:t>人对本项目的合理化建议和改进措施的合理、可行性。</w:t>
            </w:r>
          </w:p>
          <w:p>
            <w:pPr>
              <w:rPr>
                <w:rFonts w:ascii="宋体" w:hAnsi="宋体"/>
              </w:rPr>
            </w:pPr>
            <w:r>
              <w:rPr>
                <w:rFonts w:hint="eastAsia" w:ascii="宋体" w:hAnsi="宋体"/>
              </w:rPr>
              <w:t>最高得3分，存在缺漏的酌情扣分，未提供不得分。</w:t>
            </w:r>
          </w:p>
        </w:tc>
      </w:tr>
    </w:tbl>
    <w:p>
      <w:pPr>
        <w:rPr>
          <w:rFonts w:ascii="宋体" w:hAnsi="宋体"/>
        </w:rPr>
      </w:pPr>
    </w:p>
    <w:p>
      <w:pPr>
        <w:ind w:firstLine="480"/>
        <w:jc w:val="left"/>
        <w:rPr>
          <w:rFonts w:ascii="宋体" w:hAnsi="宋体"/>
          <w:bCs/>
        </w:rPr>
      </w:pPr>
      <w:bookmarkStart w:id="108" w:name="_Toc1521"/>
      <w:bookmarkStart w:id="109" w:name="_Toc528579047"/>
      <w:r>
        <w:rPr>
          <w:rFonts w:hint="eastAsia" w:ascii="宋体" w:hAnsi="宋体"/>
          <w:bCs/>
        </w:rPr>
        <w:t>说明：</w:t>
      </w:r>
    </w:p>
    <w:p>
      <w:pPr>
        <w:spacing w:line="288" w:lineRule="auto"/>
        <w:ind w:firstLine="456"/>
        <w:rPr>
          <w:rFonts w:ascii="宋体" w:hAnsi="宋体"/>
          <w:bCs/>
          <w:spacing w:val="-6"/>
        </w:rPr>
      </w:pPr>
      <w:r>
        <w:rPr>
          <w:rFonts w:hint="eastAsia" w:ascii="宋体" w:hAnsi="宋体"/>
          <w:bCs/>
          <w:spacing w:val="-6"/>
        </w:rPr>
        <w:t>1.根据《政府采购促进中小企业发展暂行办法》（财库[2011]181号）的规定，磋商响应供应商如为小型或微型企业并提交相关证明材料且所投产品为小型或微型企业制造的，其小型或微型企业部分的</w:t>
      </w:r>
      <w:r>
        <w:rPr>
          <w:rFonts w:hint="eastAsia" w:ascii="宋体" w:hAnsi="宋体"/>
          <w:spacing w:val="-6"/>
        </w:rPr>
        <w:t>响应</w:t>
      </w:r>
      <w:r>
        <w:rPr>
          <w:rFonts w:hint="eastAsia" w:ascii="宋体" w:hAnsi="宋体"/>
          <w:bCs/>
          <w:spacing w:val="-6"/>
        </w:rPr>
        <w:t>报价扣除6%后参与评审；</w:t>
      </w:r>
      <w:r>
        <w:rPr>
          <w:rFonts w:hint="eastAsia" w:ascii="宋体" w:hAnsi="宋体"/>
          <w:b/>
          <w:spacing w:val="-6"/>
        </w:rPr>
        <w:t>（在浙江省政府采购网注册入库并</w:t>
      </w:r>
      <w:r>
        <w:rPr>
          <w:rFonts w:hint="eastAsia" w:ascii="宋体" w:hAnsi="宋体"/>
          <w:b/>
        </w:rPr>
        <w:t>提供《企业类型申明函》和相关网站的截图证明（如中小企业网、浙江省政府采购网等）</w:t>
      </w:r>
      <w:r>
        <w:rPr>
          <w:rFonts w:hint="eastAsia" w:ascii="宋体" w:hAnsi="宋体"/>
          <w:b/>
          <w:spacing w:val="-6"/>
        </w:rPr>
        <w:t>）</w:t>
      </w:r>
    </w:p>
    <w:p>
      <w:pPr>
        <w:spacing w:line="288" w:lineRule="auto"/>
        <w:ind w:firstLine="456"/>
        <w:rPr>
          <w:rFonts w:ascii="宋体" w:hAnsi="宋体"/>
          <w:bCs/>
          <w:spacing w:val="-6"/>
        </w:rPr>
      </w:pPr>
      <w:r>
        <w:rPr>
          <w:rFonts w:hint="eastAsia" w:ascii="宋体" w:hAnsi="宋体"/>
          <w:bCs/>
          <w:spacing w:val="-6"/>
        </w:rPr>
        <w:t>2.根据《关于政府采购支持监狱企业发展有关问题的通知》（财库[2014]68号）的规定，磋商响应供应商如为监狱企业并提交相关证明材料的视同小型或微型企业，享受</w:t>
      </w:r>
      <w:r>
        <w:rPr>
          <w:rFonts w:hint="eastAsia" w:ascii="宋体" w:hAnsi="宋体"/>
          <w:spacing w:val="-6"/>
        </w:rPr>
        <w:t>响应</w:t>
      </w:r>
      <w:r>
        <w:rPr>
          <w:rFonts w:hint="eastAsia" w:ascii="宋体" w:hAnsi="宋体"/>
          <w:bCs/>
          <w:spacing w:val="-6"/>
        </w:rPr>
        <w:t>报价扣除6%后参与评审；</w:t>
      </w:r>
    </w:p>
    <w:p>
      <w:pPr>
        <w:spacing w:line="288" w:lineRule="auto"/>
        <w:ind w:firstLine="456"/>
        <w:rPr>
          <w:rFonts w:ascii="宋体" w:hAnsi="宋体"/>
          <w:bCs/>
          <w:spacing w:val="-6"/>
        </w:rPr>
      </w:pPr>
      <w:r>
        <w:rPr>
          <w:rFonts w:hint="eastAsia" w:ascii="宋体" w:hAnsi="宋体"/>
          <w:bCs/>
          <w:spacing w:val="-6"/>
        </w:rPr>
        <w:t>3.根据《关于促进残疾人就业政府采购政策的通知》（财库[2017]141号）的规定，磋商响应供应商如为残疾人福利性单位并提交《残疾人福利性单位声明函》的视同小型或微型企业，享受</w:t>
      </w:r>
      <w:r>
        <w:rPr>
          <w:rFonts w:hint="eastAsia" w:ascii="宋体" w:hAnsi="宋体"/>
          <w:spacing w:val="-6"/>
        </w:rPr>
        <w:t>响应</w:t>
      </w:r>
      <w:r>
        <w:rPr>
          <w:rFonts w:hint="eastAsia" w:ascii="宋体" w:hAnsi="宋体"/>
          <w:bCs/>
          <w:spacing w:val="-6"/>
        </w:rPr>
        <w:t>报价扣除6%后参与评审；</w:t>
      </w:r>
    </w:p>
    <w:p>
      <w:pPr>
        <w:spacing w:line="288" w:lineRule="auto"/>
        <w:ind w:firstLine="456"/>
        <w:rPr>
          <w:rFonts w:ascii="宋体" w:hAnsi="宋体"/>
          <w:bCs/>
          <w:spacing w:val="-6"/>
        </w:rPr>
      </w:pPr>
      <w:r>
        <w:rPr>
          <w:rFonts w:hint="eastAsia" w:ascii="宋体" w:hAnsi="宋体"/>
          <w:bCs/>
          <w:spacing w:val="-6"/>
        </w:rPr>
        <w:t>4.残疾人福利性单位属于小型、微型企业的，不重复享受政策。</w:t>
      </w:r>
    </w:p>
    <w:p>
      <w:pPr>
        <w:pStyle w:val="4"/>
        <w:spacing w:line="360" w:lineRule="auto"/>
        <w:rPr>
          <w:color w:val="auto"/>
          <w:spacing w:val="-6"/>
        </w:rPr>
        <w:sectPr>
          <w:pgSz w:w="11906" w:h="16838"/>
          <w:pgMar w:top="1247" w:right="1247" w:bottom="1247" w:left="1247" w:header="170" w:footer="567" w:gutter="0"/>
          <w:cols w:space="720" w:num="1"/>
          <w:docGrid w:linePitch="381" w:charSpace="0"/>
        </w:sectPr>
      </w:pPr>
    </w:p>
    <w:p>
      <w:pPr>
        <w:pStyle w:val="4"/>
        <w:numPr>
          <w:ilvl w:val="0"/>
          <w:numId w:val="8"/>
        </w:numPr>
        <w:spacing w:line="360" w:lineRule="auto"/>
        <w:rPr>
          <w:color w:val="auto"/>
          <w:spacing w:val="-6"/>
        </w:rPr>
      </w:pPr>
      <w:r>
        <w:rPr>
          <w:rFonts w:hint="eastAsia"/>
          <w:color w:val="auto"/>
          <w:spacing w:val="-6"/>
        </w:rPr>
        <w:t xml:space="preserve">  </w:t>
      </w:r>
      <w:bookmarkStart w:id="110" w:name="_Toc19339"/>
      <w:bookmarkStart w:id="111" w:name="_Toc1096"/>
      <w:bookmarkStart w:id="112" w:name="_Toc2411"/>
      <w:r>
        <w:rPr>
          <w:rFonts w:hint="eastAsia"/>
          <w:color w:val="auto"/>
          <w:spacing w:val="-6"/>
        </w:rPr>
        <w:t>合同格式及合同条款</w:t>
      </w:r>
      <w:bookmarkEnd w:id="110"/>
      <w:bookmarkEnd w:id="111"/>
      <w:bookmarkEnd w:id="112"/>
    </w:p>
    <w:p>
      <w:pPr>
        <w:spacing w:line="400" w:lineRule="exact"/>
        <w:ind w:firstLine="442"/>
        <w:rPr>
          <w:rFonts w:ascii="宋体" w:hAnsi="宋体"/>
          <w:sz w:val="21"/>
          <w:szCs w:val="21"/>
        </w:rPr>
      </w:pPr>
      <w:r>
        <w:rPr>
          <w:rFonts w:hint="eastAsia" w:ascii="宋体" w:hAnsi="宋体"/>
          <w:sz w:val="21"/>
          <w:szCs w:val="21"/>
        </w:rPr>
        <w:t>本章所述《合同格式及合同条款》为指引性文件。在合同签订时，采购人有权合理修改本合同条款。若采购人和成交供应商双方同意，合同格式也可以按照其他形式。合同条款的基本内容应与本章所述《合同格式及合同条款》要求的内容相一致，同时竞争性磋商文件及其答疑、补充、修改；成交供应商的响应文件正本；磋商响应供应商在评标答疑时的书面澄清或说明；成交通知书等文件是构成合同不可分割的部分。</w:t>
      </w:r>
    </w:p>
    <w:p>
      <w:pPr>
        <w:ind w:firstLine="480"/>
        <w:rPr>
          <w:rFonts w:ascii="宋体" w:hAnsi="宋体"/>
        </w:rPr>
      </w:pPr>
    </w:p>
    <w:p>
      <w:r>
        <w:rPr>
          <w:rFonts w:hint="eastAsia"/>
        </w:rPr>
        <w:t>请前往以下网址下载对应技术协议模板</w:t>
      </w:r>
    </w:p>
    <w:p>
      <w:pPr>
        <w:pStyle w:val="2"/>
        <w:rPr>
          <w:rFonts w:ascii="宋体" w:hAnsi="宋体" w:eastAsia="宋体" w:cs="宋体"/>
          <w:b/>
          <w:bCs/>
          <w:color w:val="auto"/>
          <w:kern w:val="2"/>
        </w:rPr>
      </w:pPr>
      <w:r>
        <w:rPr>
          <w:rFonts w:hint="eastAsia" w:ascii="宋体" w:hAnsi="宋体" w:eastAsia="宋体" w:cs="宋体"/>
          <w:b/>
          <w:bCs/>
          <w:color w:val="auto"/>
          <w:kern w:val="2"/>
        </w:rPr>
        <w:t>进口设备</w:t>
      </w:r>
    </w:p>
    <w:p>
      <w:pPr>
        <w:pStyle w:val="2"/>
        <w:rPr>
          <w:rFonts w:ascii="宋体" w:hAnsi="宋体" w:eastAsia="宋体" w:cs="宋体"/>
          <w:color w:val="auto"/>
          <w:kern w:val="2"/>
        </w:rPr>
      </w:pPr>
      <w:r>
        <w:rPr>
          <w:rFonts w:hint="eastAsia" w:ascii="宋体" w:hAnsi="宋体" w:eastAsia="宋体" w:cs="宋体"/>
          <w:color w:val="auto"/>
          <w:kern w:val="2"/>
        </w:rPr>
        <w:t>http://cgzx.zju.edu.cn/uploads/wmmb.doc</w:t>
      </w:r>
    </w:p>
    <w:p>
      <w:pPr>
        <w:pStyle w:val="2"/>
        <w:rPr>
          <w:rFonts w:ascii="宋体" w:hAnsi="宋体" w:eastAsia="宋体" w:cs="宋体"/>
          <w:b/>
          <w:bCs/>
          <w:color w:val="auto"/>
          <w:kern w:val="2"/>
        </w:rPr>
      </w:pPr>
      <w:r>
        <w:rPr>
          <w:rFonts w:hint="eastAsia" w:ascii="宋体" w:hAnsi="宋体" w:eastAsia="宋体" w:cs="宋体"/>
          <w:b/>
          <w:bCs/>
          <w:color w:val="auto"/>
          <w:kern w:val="2"/>
        </w:rPr>
        <w:t>国产设备</w:t>
      </w:r>
    </w:p>
    <w:p>
      <w:pPr>
        <w:pStyle w:val="2"/>
        <w:rPr>
          <w:rFonts w:ascii="宋体" w:hAnsi="宋体" w:eastAsia="宋体" w:cs="宋体"/>
          <w:color w:val="auto"/>
          <w:kern w:val="2"/>
        </w:rPr>
      </w:pPr>
      <w:r>
        <w:rPr>
          <w:rFonts w:hint="eastAsia" w:ascii="宋体" w:hAnsi="宋体" w:eastAsia="宋体" w:cs="宋体"/>
          <w:color w:val="auto"/>
          <w:kern w:val="2"/>
        </w:rPr>
        <w:t>http://cgzx.zju.edu.cn/uploads/nmmb.doc</w:t>
      </w:r>
    </w:p>
    <w:p>
      <w:pPr>
        <w:rPr>
          <w:rFonts w:ascii="宋体" w:hAnsi="宋体"/>
        </w:rPr>
      </w:pPr>
    </w:p>
    <w:p>
      <w:pPr>
        <w:rPr>
          <w:rFonts w:ascii="宋体" w:hAnsi="宋体"/>
        </w:rPr>
      </w:pPr>
      <w:r>
        <w:rPr>
          <w:rFonts w:hint="eastAsia" w:ascii="宋体" w:hAnsi="宋体"/>
        </w:rPr>
        <w:br w:type="page"/>
      </w:r>
    </w:p>
    <w:p>
      <w:pPr>
        <w:pStyle w:val="4"/>
        <w:numPr>
          <w:ilvl w:val="0"/>
          <w:numId w:val="8"/>
        </w:numPr>
        <w:spacing w:line="360" w:lineRule="auto"/>
        <w:rPr>
          <w:color w:val="auto"/>
          <w:spacing w:val="-6"/>
        </w:rPr>
      </w:pPr>
      <w:bookmarkStart w:id="113" w:name="_Toc2227"/>
      <w:r>
        <w:rPr>
          <w:rFonts w:hint="eastAsia"/>
          <w:color w:val="auto"/>
          <w:spacing w:val="-6"/>
        </w:rPr>
        <w:t xml:space="preserve"> </w:t>
      </w:r>
      <w:bookmarkEnd w:id="108"/>
      <w:bookmarkEnd w:id="109"/>
      <w:bookmarkEnd w:id="113"/>
      <w:r>
        <w:rPr>
          <w:rFonts w:hint="eastAsia"/>
          <w:color w:val="auto"/>
          <w:spacing w:val="-6"/>
        </w:rPr>
        <w:t xml:space="preserve"> </w:t>
      </w:r>
      <w:bookmarkStart w:id="114" w:name="_Toc8289"/>
      <w:r>
        <w:rPr>
          <w:rFonts w:hint="eastAsia"/>
          <w:color w:val="auto"/>
          <w:spacing w:val="-6"/>
        </w:rPr>
        <w:t>应提交的有关响应文件格式范例</w:t>
      </w:r>
      <w:bookmarkEnd w:id="114"/>
    </w:p>
    <w:p>
      <w:pPr>
        <w:pStyle w:val="15"/>
        <w:spacing w:before="120" w:after="120" w:line="288" w:lineRule="auto"/>
        <w:rPr>
          <w:rFonts w:hAnsi="宋体"/>
          <w:bCs/>
        </w:rPr>
      </w:pPr>
    </w:p>
    <w:p>
      <w:pPr>
        <w:pStyle w:val="15"/>
        <w:spacing w:before="120" w:after="120" w:line="288" w:lineRule="auto"/>
        <w:rPr>
          <w:rFonts w:hAnsi="宋体"/>
          <w:bCs/>
        </w:rPr>
      </w:pPr>
      <w:r>
        <w:rPr>
          <w:rFonts w:hint="eastAsia" w:hAnsi="宋体"/>
          <w:bCs/>
        </w:rPr>
        <w:t>供应商按照以下格式编制响应文件，并将</w:t>
      </w:r>
      <w:r>
        <w:rPr>
          <w:rFonts w:hint="eastAsia" w:hAnsi="宋体"/>
          <w:bCs/>
          <w:u w:val="single"/>
        </w:rPr>
        <w:t>资格证明文件</w:t>
      </w:r>
      <w:r>
        <w:rPr>
          <w:rFonts w:hint="eastAsia" w:hAnsi="宋体"/>
          <w:bCs/>
        </w:rPr>
        <w:t>和</w:t>
      </w:r>
      <w:r>
        <w:rPr>
          <w:rFonts w:hint="eastAsia" w:hAnsi="宋体"/>
          <w:bCs/>
          <w:u w:val="single"/>
        </w:rPr>
        <w:t>报价、商务技术文件</w:t>
      </w:r>
      <w:r>
        <w:rPr>
          <w:rFonts w:hint="eastAsia" w:hAnsi="宋体"/>
          <w:bCs/>
        </w:rPr>
        <w:t>两部分分别装订成册。</w:t>
      </w:r>
    </w:p>
    <w:p>
      <w:pPr>
        <w:rPr>
          <w:rFonts w:ascii="宋体" w:hAnsi="宋体"/>
          <w:b/>
          <w:bCs/>
          <w:spacing w:val="-6"/>
        </w:rPr>
      </w:pPr>
    </w:p>
    <w:p>
      <w:pPr>
        <w:rPr>
          <w:rFonts w:ascii="宋体" w:hAnsi="宋体"/>
          <w:b/>
          <w:bCs/>
          <w:spacing w:val="-6"/>
        </w:rPr>
      </w:pPr>
    </w:p>
    <w:p>
      <w:pPr>
        <w:jc w:val="center"/>
        <w:rPr>
          <w:rFonts w:ascii="宋体" w:hAnsi="宋体"/>
          <w:b/>
          <w:bCs/>
          <w:spacing w:val="-6"/>
        </w:rPr>
      </w:pPr>
      <w:r>
        <w:rPr>
          <w:rFonts w:hint="eastAsia" w:ascii="宋体" w:hAnsi="宋体"/>
          <w:b/>
          <w:bCs/>
          <w:spacing w:val="-6"/>
        </w:rPr>
        <w:t>外层包装（封签）</w:t>
      </w:r>
    </w:p>
    <w:p>
      <w:pPr>
        <w:rPr>
          <w:rFonts w:ascii="宋体" w:hAnsi="宋体"/>
          <w:spacing w:val="-6"/>
        </w:rPr>
      </w:pPr>
    </w:p>
    <w:p>
      <w:pPr>
        <w:jc w:val="center"/>
        <w:rPr>
          <w:rFonts w:ascii="宋体" w:hAnsi="宋体"/>
          <w:bCs/>
          <w:spacing w:val="-6"/>
        </w:rPr>
      </w:pPr>
      <w:r>
        <w:rPr>
          <w:rFonts w:hint="eastAsia" w:ascii="宋体" w:hAnsi="宋体"/>
          <w:bCs/>
          <w:spacing w:val="-6"/>
        </w:rPr>
        <w:t>（磋商响应供应商名称）</w:t>
      </w:r>
    </w:p>
    <w:p>
      <w:pPr>
        <w:jc w:val="center"/>
        <w:rPr>
          <w:rFonts w:ascii="宋体" w:hAnsi="宋体"/>
          <w:b/>
          <w:bCs/>
          <w:spacing w:val="-6"/>
        </w:rPr>
      </w:pPr>
      <w:r>
        <w:rPr>
          <w:rFonts w:hint="eastAsia" w:ascii="宋体" w:hAnsi="宋体"/>
          <w:b/>
          <w:bCs/>
          <w:spacing w:val="-6"/>
        </w:rPr>
        <w:t>响 应 文 件</w:t>
      </w:r>
    </w:p>
    <w:p>
      <w:pPr>
        <w:rPr>
          <w:rFonts w:ascii="宋体" w:hAnsi="宋体"/>
          <w:bCs/>
          <w:spacing w:val="-6"/>
        </w:rPr>
      </w:pPr>
    </w:p>
    <w:p>
      <w:pPr>
        <w:rPr>
          <w:rFonts w:ascii="宋体" w:hAnsi="宋体"/>
          <w:bCs/>
          <w:spacing w:val="-6"/>
        </w:rPr>
      </w:pPr>
    </w:p>
    <w:p>
      <w:pPr>
        <w:rPr>
          <w:rFonts w:ascii="宋体" w:hAnsi="宋体"/>
          <w:bCs/>
          <w:spacing w:val="-6"/>
        </w:rPr>
      </w:pPr>
    </w:p>
    <w:p>
      <w:pPr>
        <w:rPr>
          <w:rFonts w:ascii="宋体" w:hAnsi="宋体"/>
          <w:bCs/>
          <w:spacing w:val="-6"/>
        </w:rPr>
      </w:pPr>
    </w:p>
    <w:p>
      <w:pPr>
        <w:rPr>
          <w:rFonts w:ascii="宋体" w:hAnsi="宋体"/>
          <w:bCs/>
          <w:spacing w:val="-6"/>
          <w:sz w:val="30"/>
          <w:szCs w:val="30"/>
        </w:rPr>
      </w:pPr>
      <w:r>
        <w:rPr>
          <w:rFonts w:hint="eastAsia" w:ascii="宋体" w:hAnsi="宋体"/>
          <w:bCs/>
          <w:spacing w:val="-6"/>
          <w:sz w:val="30"/>
          <w:szCs w:val="30"/>
        </w:rPr>
        <w:t>采 购 人：</w:t>
      </w:r>
    </w:p>
    <w:p>
      <w:pPr>
        <w:rPr>
          <w:rFonts w:ascii="宋体" w:hAnsi="宋体"/>
          <w:bCs/>
          <w:spacing w:val="-6"/>
          <w:sz w:val="30"/>
          <w:szCs w:val="30"/>
        </w:rPr>
      </w:pPr>
      <w:r>
        <w:rPr>
          <w:rFonts w:hint="eastAsia" w:ascii="宋体" w:hAnsi="宋体"/>
          <w:bCs/>
          <w:spacing w:val="-6"/>
          <w:sz w:val="30"/>
          <w:szCs w:val="30"/>
        </w:rPr>
        <w:t>项目名称：</w:t>
      </w:r>
    </w:p>
    <w:p>
      <w:pPr>
        <w:rPr>
          <w:rFonts w:ascii="宋体" w:hAnsi="宋体"/>
          <w:bCs/>
          <w:spacing w:val="-6"/>
          <w:sz w:val="30"/>
          <w:szCs w:val="30"/>
        </w:rPr>
      </w:pPr>
      <w:r>
        <w:rPr>
          <w:rFonts w:hint="eastAsia" w:ascii="宋体" w:hAnsi="宋体"/>
          <w:bCs/>
          <w:spacing w:val="-6"/>
          <w:sz w:val="30"/>
          <w:szCs w:val="30"/>
        </w:rPr>
        <w:t>项目编号：</w:t>
      </w:r>
    </w:p>
    <w:p>
      <w:pPr>
        <w:rPr>
          <w:rFonts w:ascii="宋体" w:hAnsi="宋体"/>
          <w:bCs/>
          <w:spacing w:val="-6"/>
          <w:sz w:val="30"/>
          <w:szCs w:val="30"/>
        </w:rPr>
      </w:pPr>
      <w:r>
        <w:rPr>
          <w:rFonts w:hint="eastAsia" w:ascii="宋体" w:hAnsi="宋体"/>
          <w:bCs/>
          <w:spacing w:val="-6"/>
          <w:sz w:val="30"/>
          <w:szCs w:val="30"/>
        </w:rPr>
        <w:t>响应文件名称：资格证明文件或报价、商务技术文件</w:t>
      </w:r>
    </w:p>
    <w:p>
      <w:pPr>
        <w:rPr>
          <w:rFonts w:ascii="宋体" w:hAnsi="宋体"/>
          <w:bCs/>
          <w:spacing w:val="-6"/>
          <w:sz w:val="30"/>
          <w:szCs w:val="30"/>
        </w:rPr>
      </w:pPr>
      <w:r>
        <w:rPr>
          <w:rFonts w:hint="eastAsia" w:ascii="宋体" w:hAnsi="宋体"/>
          <w:bCs/>
          <w:spacing w:val="-6"/>
          <w:sz w:val="30"/>
          <w:szCs w:val="30"/>
        </w:rPr>
        <w:t>响应供应商名称（盖章）：</w:t>
      </w:r>
    </w:p>
    <w:p>
      <w:pPr>
        <w:rPr>
          <w:rFonts w:ascii="宋体" w:hAnsi="宋体"/>
          <w:bCs/>
          <w:spacing w:val="-6"/>
          <w:sz w:val="30"/>
          <w:szCs w:val="30"/>
        </w:rPr>
      </w:pPr>
      <w:r>
        <w:rPr>
          <w:rFonts w:hint="eastAsia" w:ascii="宋体" w:hAnsi="宋体"/>
          <w:bCs/>
          <w:spacing w:val="-6"/>
          <w:sz w:val="30"/>
          <w:szCs w:val="30"/>
        </w:rPr>
        <w:t>响应供应商地址：</w:t>
      </w:r>
    </w:p>
    <w:p>
      <w:pPr>
        <w:rPr>
          <w:rFonts w:ascii="宋体" w:hAnsi="宋体"/>
          <w:bCs/>
          <w:spacing w:val="-6"/>
          <w:sz w:val="30"/>
          <w:szCs w:val="30"/>
        </w:rPr>
      </w:pPr>
      <w:r>
        <w:rPr>
          <w:rFonts w:hint="eastAsia" w:ascii="宋体" w:hAnsi="宋体"/>
          <w:bCs/>
          <w:spacing w:val="-6"/>
          <w:sz w:val="30"/>
          <w:szCs w:val="30"/>
        </w:rPr>
        <w:t>在    年  月  日  时  分之前不得启封</w:t>
      </w:r>
    </w:p>
    <w:p>
      <w:pPr>
        <w:rPr>
          <w:rFonts w:ascii="宋体" w:hAnsi="宋体"/>
          <w:bCs/>
          <w:spacing w:val="-6"/>
          <w:sz w:val="30"/>
          <w:szCs w:val="30"/>
        </w:rPr>
      </w:pPr>
    </w:p>
    <w:p>
      <w:pPr>
        <w:rPr>
          <w:rFonts w:ascii="宋体" w:hAnsi="宋体"/>
          <w:bCs/>
          <w:spacing w:val="-6"/>
          <w:sz w:val="30"/>
          <w:szCs w:val="30"/>
        </w:rPr>
      </w:pPr>
      <w:r>
        <w:rPr>
          <w:rFonts w:hint="eastAsia" w:ascii="宋体" w:hAnsi="宋体"/>
          <w:spacing w:val="-6"/>
          <w:sz w:val="30"/>
          <w:szCs w:val="30"/>
        </w:rPr>
        <w:t>授权代表签字</w:t>
      </w:r>
      <w:r>
        <w:rPr>
          <w:rFonts w:hint="eastAsia" w:ascii="宋体" w:hAnsi="宋体"/>
          <w:bCs/>
          <w:spacing w:val="-6"/>
          <w:sz w:val="30"/>
          <w:szCs w:val="30"/>
        </w:rPr>
        <w:t>：</w:t>
      </w:r>
    </w:p>
    <w:p>
      <w:pPr>
        <w:rPr>
          <w:rFonts w:ascii="宋体" w:hAnsi="宋体"/>
          <w:bCs/>
          <w:spacing w:val="-6"/>
          <w:sz w:val="30"/>
          <w:szCs w:val="30"/>
        </w:rPr>
      </w:pPr>
      <w:r>
        <w:rPr>
          <w:rFonts w:hint="eastAsia" w:ascii="宋体" w:hAnsi="宋体"/>
          <w:bCs/>
          <w:spacing w:val="-6"/>
          <w:sz w:val="30"/>
          <w:szCs w:val="30"/>
        </w:rPr>
        <w:t>日期：    年  月  日</w:t>
      </w:r>
    </w:p>
    <w:p>
      <w:pPr>
        <w:pStyle w:val="6"/>
        <w:jc w:val="both"/>
        <w:rPr>
          <w:rFonts w:ascii="宋体" w:hAnsi="宋体" w:cs="宋体"/>
          <w:bCs/>
          <w:spacing w:val="-6"/>
        </w:rPr>
      </w:pPr>
      <w:r>
        <w:rPr>
          <w:rFonts w:hint="eastAsia" w:ascii="宋体" w:hAnsi="宋体" w:cs="宋体"/>
          <w:bCs/>
          <w:spacing w:val="-6"/>
        </w:rPr>
        <w:br w:type="page"/>
      </w:r>
      <w:r>
        <w:rPr>
          <w:rFonts w:ascii="宋体" w:hAnsi="宋体" w:cs="宋体"/>
        </w:rPr>
        <w:pict>
          <v:rect id="文本框 2" o:spid="_x0000_s1035" o:spt="1" style="position:absolute;left:0pt;margin-left:374.95pt;margin-top:0.4pt;height:31.45pt;width:11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KRaGAIAACoEAAAOAAAAZHJzL2Uyb0RvYy54bWysU81uEzEQviPxDpbvdDdJg8gqmwo1hEsF&#10;lQoPMLG9uxb+w3aymxeAN+DEhXufK8/B2E2TFDgghA/W2J75/M03M/OrQSuyFT5Ia2o6uigpEYZZ&#10;Lk1b048fVi9eURIiGA7KGlHTnQj0avH82bx3lRjbziouPEEQE6re1bSL0VVFEVgnNIQL64TBx8Z6&#10;DRGPvi24hx7RtSrGZfmy6K3nzlsmQsDb5cMjXWT8phEsvm+aICJRNUVuMe8+7+u0F4s5VK0H10l2&#10;oAH/wEKDNPjpEWoJEcjGy9+gtGTeBtvEC2Z1YZtGMpFzwGxG5S/Z3HXgRM4FxQnuKFP4f7Ds3fbW&#10;E8lrOqHEgMYS7b993X+/3//4QsZJnt6FCr3u3K1PCQZ3Y9mnQIy97sC04rX3tu8EcCQ1Sv7Fk4B0&#10;CIfQofE6QWDWZMgl2B1LIIZIGF6OLsvJZIqVYvg2mc0uR9MMCtVjtPMhvhVWk2TU1GOJs/KwvQkx&#10;/Q/Vo0vma5XkK6lUPvh2fa082QK2wyqvA3o4d1OG9DWdTcdT5AHYlY2CiKZ2qFMwbf7vSUQ4By7z&#10;+hNwIraE0D0QyAjJDSoto/DZSlK+MZzEncNaGBwamshowSlRAmcsWdkzglR/44mCKJM+EXkeDiqd&#10;CpOsOKwHBE3m2vIdtkSPM4HJft6ARwYb52XbodynEmNDZrEPw5M6/vycG+E04oufAAAA//8DAFBL&#10;AwQUAAYACAAAACEACbV35eEAAAAMAQAADwAAAGRycy9kb3ducmV2LnhtbEyPQU/DMAyF70j8h8hI&#10;3FjChlbaNZ0Q05A4bt2FW9qYttA4VZNuhV+POcHF0tOzn9+Xb2fXizOOofOk4X6hQCDV3nbUaDiV&#10;+7tHECEasqb3hBq+MMC2uL7KTWb9hQ54PsZGcAiFzGhoYxwyKUPdojNh4Qck9t796ExkOTbSjubC&#10;4a6XS6XW0pmO+ENrBnxusf48Tk5D1S1P5vtQviiX7lfxdS4/pred1rc3827D42kDIuIc/y7gl4H7&#10;Q8HFKj+RDaLXkDykKa9qYAq200SxrDSsVwnIIpf/IYofAAAA//8DAFBLAQItABQABgAIAAAAIQC2&#10;gziS/gAAAOEBAAATAAAAAAAAAAAAAAAAAAAAAABbQ29udGVudF9UeXBlc10ueG1sUEsBAi0AFAAG&#10;AAgAAAAhADj9If/WAAAAlAEAAAsAAAAAAAAAAAAAAAAALwEAAF9yZWxzLy5yZWxzUEsBAi0AFAAG&#10;AAgAAAAhAC/ApFoYAgAAKgQAAA4AAAAAAAAAAAAAAAAALgIAAGRycy9lMm9Eb2MueG1sUEsBAi0A&#10;FAAGAAgAAAAhAAm1d+XhAAAADAEAAA8AAAAAAAAAAAAAAAAAcgQAAGRycy9kb3ducmV2LnhtbFBL&#10;BQYAAAAABAAEAPMAAACABQ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ascii="宋体" w:hAnsi="宋体" w:cs="宋体"/>
          <w:bCs/>
          <w:spacing w:val="-6"/>
        </w:rPr>
        <w:t>资格证明文件封面</w:t>
      </w:r>
    </w:p>
    <w:p>
      <w:pPr>
        <w:rPr>
          <w:rFonts w:ascii="宋体" w:hAnsi="宋体"/>
          <w:bCs/>
          <w:spacing w:val="-6"/>
        </w:rPr>
      </w:pPr>
    </w:p>
    <w:p>
      <w:pPr>
        <w:pStyle w:val="2"/>
        <w:rPr>
          <w:rFonts w:ascii="宋体" w:hAnsi="宋体" w:eastAsia="宋体" w:cs="宋体"/>
          <w:color w:val="auto"/>
        </w:rPr>
      </w:pPr>
    </w:p>
    <w:p>
      <w:pPr>
        <w:ind w:firstLine="619" w:firstLineChars="200"/>
        <w:jc w:val="center"/>
        <w:rPr>
          <w:rFonts w:ascii="宋体" w:hAnsi="宋体"/>
          <w:b/>
          <w:spacing w:val="-6"/>
          <w:sz w:val="32"/>
          <w:szCs w:val="32"/>
        </w:rPr>
      </w:pPr>
      <w:r>
        <w:rPr>
          <w:rFonts w:hint="eastAsia" w:ascii="宋体" w:hAnsi="宋体"/>
          <w:b/>
          <w:spacing w:val="-6"/>
          <w:sz w:val="32"/>
          <w:szCs w:val="32"/>
        </w:rPr>
        <w:t>项目名称：浙江大学</w:t>
      </w:r>
    </w:p>
    <w:p>
      <w:pPr>
        <w:ind w:firstLine="619" w:firstLineChars="200"/>
        <w:jc w:val="center"/>
        <w:rPr>
          <w:rFonts w:ascii="宋体" w:hAnsi="宋体"/>
          <w:b/>
          <w:spacing w:val="-6"/>
          <w:sz w:val="32"/>
          <w:szCs w:val="32"/>
        </w:rPr>
      </w:pPr>
      <w:r>
        <w:rPr>
          <w:rFonts w:hint="eastAsia" w:ascii="宋体" w:hAnsi="宋体"/>
          <w:b/>
          <w:spacing w:val="-6"/>
          <w:sz w:val="32"/>
          <w:szCs w:val="32"/>
        </w:rPr>
        <w:t>浙江大学-爱丁堡生物学联合研究中心设备采购项目</w:t>
      </w:r>
    </w:p>
    <w:p>
      <w:pPr>
        <w:ind w:firstLine="619" w:firstLineChars="200"/>
        <w:jc w:val="center"/>
        <w:rPr>
          <w:rFonts w:ascii="宋体" w:hAnsi="宋体"/>
          <w:b/>
          <w:spacing w:val="-6"/>
          <w:sz w:val="32"/>
          <w:szCs w:val="32"/>
        </w:rPr>
      </w:pPr>
      <w:r>
        <w:rPr>
          <w:rFonts w:hint="eastAsia" w:ascii="宋体" w:hAnsi="宋体"/>
          <w:b/>
          <w:spacing w:val="-6"/>
          <w:sz w:val="32"/>
          <w:szCs w:val="32"/>
        </w:rPr>
        <w:t>（资格证明文件）</w:t>
      </w:r>
    </w:p>
    <w:p>
      <w:pPr>
        <w:jc w:val="center"/>
        <w:rPr>
          <w:rFonts w:ascii="宋体" w:hAnsi="宋体"/>
          <w:b/>
          <w:spacing w:val="-6"/>
          <w:sz w:val="52"/>
          <w:szCs w:val="72"/>
        </w:rPr>
      </w:pPr>
    </w:p>
    <w:p>
      <w:pPr>
        <w:jc w:val="center"/>
        <w:rPr>
          <w:rFonts w:ascii="宋体" w:hAnsi="宋体"/>
          <w:b/>
          <w:spacing w:val="-6"/>
          <w:sz w:val="70"/>
          <w:szCs w:val="70"/>
        </w:rPr>
      </w:pPr>
      <w:r>
        <w:rPr>
          <w:rFonts w:hint="eastAsia" w:ascii="宋体" w:hAnsi="宋体"/>
          <w:b/>
          <w:spacing w:val="-6"/>
          <w:sz w:val="70"/>
          <w:szCs w:val="70"/>
        </w:rPr>
        <w:t>响</w:t>
      </w:r>
    </w:p>
    <w:p>
      <w:pPr>
        <w:jc w:val="center"/>
        <w:rPr>
          <w:rFonts w:ascii="宋体" w:hAnsi="宋体"/>
          <w:b/>
          <w:spacing w:val="-6"/>
          <w:sz w:val="70"/>
          <w:szCs w:val="70"/>
        </w:rPr>
      </w:pPr>
      <w:r>
        <w:rPr>
          <w:rFonts w:hint="eastAsia" w:ascii="宋体" w:hAnsi="宋体"/>
          <w:b/>
          <w:spacing w:val="-6"/>
          <w:sz w:val="70"/>
          <w:szCs w:val="70"/>
        </w:rPr>
        <w:t xml:space="preserve">应 </w:t>
      </w:r>
    </w:p>
    <w:p>
      <w:pPr>
        <w:jc w:val="center"/>
        <w:rPr>
          <w:rFonts w:ascii="宋体" w:hAnsi="宋体"/>
          <w:b/>
          <w:spacing w:val="-6"/>
          <w:sz w:val="70"/>
          <w:szCs w:val="70"/>
        </w:rPr>
      </w:pPr>
      <w:r>
        <w:rPr>
          <w:rFonts w:hint="eastAsia" w:ascii="宋体" w:hAnsi="宋体"/>
          <w:b/>
          <w:spacing w:val="-6"/>
          <w:sz w:val="70"/>
          <w:szCs w:val="70"/>
        </w:rPr>
        <w:t>文</w:t>
      </w:r>
    </w:p>
    <w:p>
      <w:pPr>
        <w:jc w:val="center"/>
        <w:rPr>
          <w:rFonts w:ascii="宋体" w:hAnsi="宋体"/>
          <w:b/>
          <w:spacing w:val="-6"/>
          <w:sz w:val="52"/>
          <w:szCs w:val="72"/>
        </w:rPr>
      </w:pPr>
      <w:r>
        <w:rPr>
          <w:rFonts w:hint="eastAsia" w:ascii="宋体" w:hAnsi="宋体"/>
          <w:b/>
          <w:spacing w:val="-6"/>
          <w:sz w:val="70"/>
          <w:szCs w:val="70"/>
        </w:rPr>
        <w:t>件</w:t>
      </w:r>
    </w:p>
    <w:p>
      <w:pPr>
        <w:jc w:val="center"/>
        <w:rPr>
          <w:rFonts w:ascii="宋体" w:hAnsi="宋体"/>
          <w:sz w:val="44"/>
          <w:szCs w:val="44"/>
        </w:rPr>
      </w:pPr>
    </w:p>
    <w:p>
      <w:pPr>
        <w:ind w:firstLine="619" w:firstLineChars="200"/>
        <w:rPr>
          <w:rFonts w:ascii="宋体" w:hAnsi="宋体"/>
          <w:b/>
          <w:spacing w:val="-6"/>
          <w:sz w:val="32"/>
          <w:szCs w:val="32"/>
        </w:rPr>
      </w:pPr>
      <w:r>
        <w:rPr>
          <w:rFonts w:hint="eastAsia" w:ascii="宋体" w:hAnsi="宋体"/>
          <w:b/>
          <w:spacing w:val="-6"/>
          <w:sz w:val="32"/>
          <w:szCs w:val="32"/>
        </w:rPr>
        <w:t>项目编号：</w:t>
      </w:r>
      <w:r>
        <w:rPr>
          <w:rFonts w:hint="eastAsia" w:ascii="宋体" w:hAnsi="宋体"/>
          <w:b/>
          <w:bCs/>
          <w:sz w:val="32"/>
          <w:szCs w:val="32"/>
        </w:rPr>
        <w:t xml:space="preserve">ZJWSBJ-ZJU-2020078C </w:t>
      </w:r>
    </w:p>
    <w:p>
      <w:pPr>
        <w:ind w:firstLine="619" w:firstLineChars="200"/>
        <w:rPr>
          <w:rFonts w:ascii="宋体" w:hAnsi="宋体"/>
          <w:b/>
          <w:spacing w:val="-6"/>
          <w:sz w:val="32"/>
          <w:szCs w:val="32"/>
        </w:rPr>
      </w:pPr>
      <w:r>
        <w:rPr>
          <w:rFonts w:hint="eastAsia" w:ascii="宋体" w:hAnsi="宋体"/>
          <w:b/>
          <w:spacing w:val="-6"/>
          <w:sz w:val="32"/>
          <w:szCs w:val="32"/>
        </w:rPr>
        <w:t>响应供应商名称（盖章）：</w:t>
      </w:r>
    </w:p>
    <w:p>
      <w:pPr>
        <w:ind w:firstLine="619" w:firstLineChars="200"/>
        <w:rPr>
          <w:rFonts w:ascii="宋体" w:hAnsi="宋体"/>
          <w:b/>
          <w:spacing w:val="-6"/>
          <w:sz w:val="32"/>
          <w:szCs w:val="32"/>
        </w:rPr>
      </w:pPr>
      <w:r>
        <w:rPr>
          <w:rFonts w:hint="eastAsia" w:ascii="宋体" w:hAnsi="宋体"/>
          <w:b/>
          <w:spacing w:val="-6"/>
          <w:sz w:val="32"/>
          <w:szCs w:val="32"/>
        </w:rPr>
        <w:t>响应供应商地址：</w:t>
      </w:r>
    </w:p>
    <w:p>
      <w:pPr>
        <w:ind w:firstLine="619" w:firstLineChars="200"/>
        <w:rPr>
          <w:rFonts w:ascii="宋体" w:hAnsi="宋体"/>
          <w:b/>
          <w:spacing w:val="-6"/>
          <w:sz w:val="32"/>
          <w:szCs w:val="32"/>
        </w:rPr>
      </w:pPr>
      <w:r>
        <w:rPr>
          <w:rFonts w:hint="eastAsia" w:ascii="宋体" w:hAnsi="宋体"/>
          <w:b/>
          <w:spacing w:val="-6"/>
          <w:sz w:val="32"/>
          <w:szCs w:val="32"/>
        </w:rPr>
        <w:t>授权代表签字：</w:t>
      </w:r>
    </w:p>
    <w:p>
      <w:pPr>
        <w:ind w:firstLine="619" w:firstLineChars="200"/>
        <w:rPr>
          <w:rFonts w:ascii="宋体" w:hAnsi="宋体"/>
          <w:b/>
          <w:spacing w:val="-6"/>
          <w:sz w:val="32"/>
          <w:szCs w:val="32"/>
        </w:rPr>
      </w:pPr>
      <w:r>
        <w:rPr>
          <w:rFonts w:hint="eastAsia" w:ascii="宋体" w:hAnsi="宋体"/>
          <w:b/>
          <w:spacing w:val="-6"/>
          <w:sz w:val="32"/>
          <w:szCs w:val="32"/>
        </w:rPr>
        <w:t>日期：    年  月  日</w:t>
      </w:r>
    </w:p>
    <w:p>
      <w:pPr>
        <w:rPr>
          <w:rFonts w:ascii="宋体" w:hAnsi="宋体"/>
          <w:b/>
          <w:spacing w:val="-6"/>
        </w:rPr>
      </w:pPr>
    </w:p>
    <w:p>
      <w:pPr>
        <w:pStyle w:val="2"/>
        <w:rPr>
          <w:rFonts w:ascii="宋体" w:hAnsi="宋体" w:eastAsia="宋体" w:cs="宋体"/>
          <w:color w:val="auto"/>
        </w:rPr>
      </w:pPr>
    </w:p>
    <w:p>
      <w:pPr>
        <w:pStyle w:val="23"/>
        <w:ind w:firstLine="2982" w:firstLineChars="900"/>
        <w:rPr>
          <w:b/>
          <w:sz w:val="33"/>
          <w:szCs w:val="33"/>
        </w:rPr>
      </w:pPr>
      <w:r>
        <w:rPr>
          <w:rFonts w:hint="eastAsia"/>
          <w:b/>
          <w:sz w:val="33"/>
          <w:szCs w:val="33"/>
        </w:rPr>
        <w:t xml:space="preserve">格式一：资格审查材料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2769"/>
        <w:gridCol w:w="6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8" w:type="dxa"/>
            <w:vAlign w:val="center"/>
          </w:tcPr>
          <w:p>
            <w:pPr>
              <w:spacing w:line="400" w:lineRule="exact"/>
              <w:jc w:val="center"/>
              <w:rPr>
                <w:rFonts w:ascii="宋体" w:hAnsi="宋体"/>
                <w:bCs/>
              </w:rPr>
            </w:pPr>
            <w:r>
              <w:rPr>
                <w:rFonts w:hint="eastAsia" w:ascii="宋体" w:hAnsi="宋体"/>
                <w:bCs/>
              </w:rPr>
              <w:t>序号</w:t>
            </w:r>
          </w:p>
        </w:tc>
        <w:tc>
          <w:tcPr>
            <w:tcW w:w="2769" w:type="dxa"/>
            <w:vAlign w:val="center"/>
          </w:tcPr>
          <w:p>
            <w:pPr>
              <w:spacing w:line="400" w:lineRule="exact"/>
              <w:jc w:val="center"/>
              <w:rPr>
                <w:rFonts w:ascii="宋体" w:hAnsi="宋体"/>
                <w:b/>
              </w:rPr>
            </w:pPr>
            <w:r>
              <w:rPr>
                <w:rFonts w:hint="eastAsia" w:ascii="宋体" w:hAnsi="宋体"/>
                <w:b/>
              </w:rPr>
              <w:t>资格条件要求</w:t>
            </w:r>
          </w:p>
        </w:tc>
        <w:tc>
          <w:tcPr>
            <w:tcW w:w="6018" w:type="dxa"/>
            <w:vAlign w:val="center"/>
          </w:tcPr>
          <w:p>
            <w:pPr>
              <w:spacing w:line="400" w:lineRule="exact"/>
              <w:jc w:val="center"/>
              <w:rPr>
                <w:rFonts w:ascii="宋体" w:hAnsi="宋体"/>
                <w:b/>
              </w:rPr>
            </w:pPr>
            <w:r>
              <w:rPr>
                <w:rFonts w:hint="eastAsia" w:ascii="宋体" w:hAnsi="宋体"/>
                <w:b/>
              </w:rPr>
              <w:t>要求提供的证明材料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8" w:type="dxa"/>
            <w:vAlign w:val="center"/>
          </w:tcPr>
          <w:p>
            <w:pPr>
              <w:spacing w:line="400" w:lineRule="exact"/>
              <w:jc w:val="center"/>
              <w:rPr>
                <w:rFonts w:ascii="宋体" w:hAnsi="宋体"/>
                <w:bCs/>
              </w:rPr>
            </w:pPr>
            <w:r>
              <w:rPr>
                <w:rFonts w:hint="eastAsia" w:ascii="宋体" w:hAnsi="宋体"/>
                <w:bCs/>
              </w:rPr>
              <w:t>1</w:t>
            </w:r>
          </w:p>
        </w:tc>
        <w:tc>
          <w:tcPr>
            <w:tcW w:w="2769" w:type="dxa"/>
            <w:vAlign w:val="center"/>
          </w:tcPr>
          <w:p>
            <w:pPr>
              <w:spacing w:line="400" w:lineRule="exact"/>
              <w:rPr>
                <w:rFonts w:ascii="宋体" w:hAnsi="宋体"/>
                <w:b/>
              </w:rPr>
            </w:pPr>
            <w:r>
              <w:rPr>
                <w:rFonts w:hint="eastAsia" w:ascii="宋体" w:hAnsi="宋体"/>
              </w:rPr>
              <w:t>具有独立承担民事责任的能力</w:t>
            </w:r>
          </w:p>
        </w:tc>
        <w:tc>
          <w:tcPr>
            <w:tcW w:w="6018" w:type="dxa"/>
            <w:vAlign w:val="center"/>
          </w:tcPr>
          <w:p>
            <w:pPr>
              <w:pStyle w:val="23"/>
              <w:numPr>
                <w:ilvl w:val="0"/>
                <w:numId w:val="9"/>
              </w:numPr>
            </w:pPr>
            <w:r>
              <w:rPr>
                <w:rFonts w:hint="eastAsia"/>
              </w:rPr>
              <w:t>如响应供应商是企业（包括合伙企业），提供在工商部门注册的有效“企业法人营业执照”或“营业执照”；</w:t>
            </w:r>
          </w:p>
          <w:p>
            <w:pPr>
              <w:pStyle w:val="23"/>
              <w:numPr>
                <w:ilvl w:val="0"/>
                <w:numId w:val="9"/>
              </w:numPr>
            </w:pPr>
            <w:r>
              <w:rPr>
                <w:rFonts w:hint="eastAsia"/>
              </w:rPr>
              <w:t>如响应供应商是事业单位，提供有效的“事业单位法人证书”；</w:t>
            </w:r>
          </w:p>
          <w:p>
            <w:pPr>
              <w:pStyle w:val="23"/>
              <w:numPr>
                <w:ilvl w:val="0"/>
                <w:numId w:val="9"/>
              </w:numPr>
            </w:pPr>
            <w:r>
              <w:rPr>
                <w:rFonts w:hint="eastAsia"/>
              </w:rPr>
              <w:t>如响应供应商是非企业专业服务机构的，提供执业许可证等证明文件；</w:t>
            </w:r>
          </w:p>
          <w:p>
            <w:pPr>
              <w:pStyle w:val="23"/>
              <w:numPr>
                <w:ilvl w:val="0"/>
                <w:numId w:val="9"/>
              </w:numPr>
            </w:pPr>
            <w:r>
              <w:rPr>
                <w:rFonts w:hint="eastAsia"/>
              </w:rPr>
              <w:t>如响应供应商是个体工商户，提供有效的“个体工商户营业执照”；</w:t>
            </w:r>
          </w:p>
          <w:p>
            <w:pPr>
              <w:pStyle w:val="23"/>
              <w:numPr>
                <w:ilvl w:val="0"/>
                <w:numId w:val="9"/>
              </w:numPr>
            </w:pPr>
            <w:r>
              <w:rPr>
                <w:rFonts w:hint="eastAsia"/>
              </w:rPr>
              <w:t>如磋商响应供应商是自然人，提供有效的自然人身份证明。</w:t>
            </w:r>
          </w:p>
          <w:p>
            <w:pPr>
              <w:pStyle w:val="23"/>
              <w:rPr>
                <w:b/>
              </w:rPr>
            </w:pPr>
            <w:r>
              <w:rPr>
                <w:rFonts w:hint="eastAsia"/>
              </w:rPr>
              <w:t>注：以上材料需要复印件加盖公章（自然人则签字）。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Align w:val="center"/>
          </w:tcPr>
          <w:p>
            <w:pPr>
              <w:spacing w:line="400" w:lineRule="exact"/>
              <w:jc w:val="center"/>
              <w:rPr>
                <w:rFonts w:ascii="宋体" w:hAnsi="宋体"/>
                <w:bCs/>
              </w:rPr>
            </w:pPr>
            <w:r>
              <w:rPr>
                <w:rFonts w:hint="eastAsia" w:ascii="宋体" w:hAnsi="宋体"/>
                <w:bCs/>
              </w:rPr>
              <w:t>2</w:t>
            </w:r>
          </w:p>
        </w:tc>
        <w:tc>
          <w:tcPr>
            <w:tcW w:w="2769" w:type="dxa"/>
            <w:vAlign w:val="center"/>
          </w:tcPr>
          <w:p>
            <w:pPr>
              <w:spacing w:line="400" w:lineRule="exact"/>
              <w:jc w:val="left"/>
              <w:rPr>
                <w:rFonts w:ascii="宋体" w:hAnsi="宋体"/>
              </w:rPr>
            </w:pPr>
            <w:r>
              <w:rPr>
                <w:rFonts w:hint="eastAsia" w:ascii="宋体" w:hAnsi="宋体"/>
              </w:rPr>
              <w:t>具有良好的商业信誉和健全的财务会计制度</w:t>
            </w:r>
          </w:p>
        </w:tc>
        <w:tc>
          <w:tcPr>
            <w:tcW w:w="6018" w:type="dxa"/>
            <w:vAlign w:val="center"/>
          </w:tcPr>
          <w:p>
            <w:pPr>
              <w:pStyle w:val="23"/>
              <w:numPr>
                <w:ilvl w:val="0"/>
                <w:numId w:val="10"/>
              </w:numPr>
            </w:pPr>
            <w:r>
              <w:rPr>
                <w:rFonts w:hint="eastAsia"/>
              </w:rPr>
              <w:t>响应供应商是法人的，应</w:t>
            </w:r>
            <w:r>
              <w:rPr>
                <w:rFonts w:hint="eastAsia"/>
                <w:b/>
                <w:bCs/>
              </w:rPr>
              <w:t>提供上一年度经第三方审计的财务报告</w:t>
            </w:r>
            <w:r>
              <w:rPr>
                <w:rFonts w:hint="eastAsia"/>
              </w:rPr>
              <w:t>（若</w:t>
            </w:r>
            <w:r>
              <w:rPr>
                <w:rFonts w:hint="eastAsia"/>
                <w:spacing w:val="-6"/>
                <w:kern w:val="2"/>
              </w:rPr>
              <w:t>响应</w:t>
            </w:r>
            <w:r>
              <w:rPr>
                <w:rFonts w:hint="eastAsia"/>
              </w:rPr>
              <w:t>时间为 1-6 月，上一年度财务审计报告还未完成的，须提供再上一年度的财务审计报告），即资产负债表、利润表、现金流量表、所有者权益变动表等相关内容；</w:t>
            </w:r>
            <w:r>
              <w:rPr>
                <w:rFonts w:hint="eastAsia"/>
                <w:b/>
                <w:bCs/>
              </w:rPr>
              <w:t>未经审计的，提供近 6 个月任意一月财务报表（资产负债表、利润表）或开标前三个月内其基本开户银行出具的资信证明</w:t>
            </w:r>
            <w:r>
              <w:rPr>
                <w:rFonts w:hint="eastAsia"/>
                <w:b/>
              </w:rPr>
              <w:t>（若资信证明中注明复印无</w:t>
            </w:r>
            <w:r>
              <w:rPr>
                <w:rFonts w:hint="eastAsia"/>
              </w:rPr>
              <w:t>效，需提交正本），并加盖公章或财政部门认可的采购专业担保机构出具的</w:t>
            </w:r>
            <w:r>
              <w:rPr>
                <w:rFonts w:hint="eastAsia"/>
                <w:spacing w:val="-6"/>
                <w:kern w:val="2"/>
              </w:rPr>
              <w:t>响应</w:t>
            </w:r>
            <w:r>
              <w:rPr>
                <w:rFonts w:hint="eastAsia"/>
              </w:rPr>
              <w:t>担保函；</w:t>
            </w:r>
          </w:p>
          <w:p>
            <w:pPr>
              <w:pStyle w:val="23"/>
              <w:numPr>
                <w:ilvl w:val="0"/>
                <w:numId w:val="10"/>
              </w:numPr>
            </w:pPr>
            <w:r>
              <w:rPr>
                <w:rFonts w:hint="eastAsia"/>
              </w:rPr>
              <w:t>部分其他组织和自然人没有财务状况报告的，可以提供银行出具的资信证明(若资信证明中注明复印无效，需提交正本),并加盖公章；</w:t>
            </w:r>
          </w:p>
          <w:p>
            <w:pPr>
              <w:pStyle w:val="23"/>
              <w:numPr>
                <w:ilvl w:val="0"/>
                <w:numId w:val="10"/>
              </w:numPr>
            </w:pPr>
            <w:r>
              <w:rPr>
                <w:rFonts w:hint="eastAsia"/>
              </w:rPr>
              <w:t>银行资信证明应能说明磋商响应供应商与银行之间业务往来正常，企业信誉良好等，银行出具的存款证明不能替代</w:t>
            </w:r>
            <w:r>
              <w:rPr>
                <w:rFonts w:hint="eastAsia"/>
                <w:b/>
              </w:rPr>
              <w:t>银行资信证明。</w:t>
            </w:r>
          </w:p>
          <w:p>
            <w:pPr>
              <w:pStyle w:val="23"/>
              <w:numPr>
                <w:ilvl w:val="0"/>
                <w:numId w:val="10"/>
              </w:numPr>
            </w:pPr>
            <w:r>
              <w:rPr>
                <w:rFonts w:hint="eastAsia"/>
              </w:rPr>
              <w:t>响应供应商因新注册成立等原因无法提供相关材料的，应在响应文件中提交如实的情况说明。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Align w:val="center"/>
          </w:tcPr>
          <w:p>
            <w:pPr>
              <w:spacing w:line="400" w:lineRule="exact"/>
              <w:jc w:val="center"/>
              <w:rPr>
                <w:rFonts w:ascii="宋体" w:hAnsi="宋体"/>
                <w:bCs/>
              </w:rPr>
            </w:pPr>
            <w:r>
              <w:rPr>
                <w:rFonts w:hint="eastAsia" w:ascii="宋体" w:hAnsi="宋体"/>
                <w:bCs/>
              </w:rPr>
              <w:t>3</w:t>
            </w:r>
          </w:p>
        </w:tc>
        <w:tc>
          <w:tcPr>
            <w:tcW w:w="2769" w:type="dxa"/>
            <w:vAlign w:val="center"/>
          </w:tcPr>
          <w:p>
            <w:pPr>
              <w:spacing w:line="400" w:lineRule="exact"/>
              <w:jc w:val="left"/>
              <w:rPr>
                <w:rFonts w:ascii="宋体" w:hAnsi="宋体"/>
              </w:rPr>
            </w:pPr>
            <w:r>
              <w:rPr>
                <w:rFonts w:hint="eastAsia" w:ascii="宋体" w:hAnsi="宋体"/>
              </w:rPr>
              <w:t>具有良好的商业信誉</w:t>
            </w:r>
          </w:p>
        </w:tc>
        <w:tc>
          <w:tcPr>
            <w:tcW w:w="6018" w:type="dxa"/>
            <w:vAlign w:val="center"/>
          </w:tcPr>
          <w:p>
            <w:pPr>
              <w:rPr>
                <w:rFonts w:ascii="宋体" w:hAnsi="宋体"/>
              </w:rPr>
            </w:pPr>
            <w:r>
              <w:rPr>
                <w:rFonts w:hint="eastAsia" w:ascii="宋体" w:hAnsi="宋体"/>
              </w:rPr>
              <w:t>具有良好商业信誉特别声明--详见附件1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28" w:type="dxa"/>
            <w:vAlign w:val="center"/>
          </w:tcPr>
          <w:p>
            <w:pPr>
              <w:spacing w:line="400" w:lineRule="exact"/>
              <w:jc w:val="center"/>
              <w:rPr>
                <w:rFonts w:ascii="宋体" w:hAnsi="宋体"/>
                <w:bCs/>
              </w:rPr>
            </w:pPr>
            <w:r>
              <w:rPr>
                <w:rFonts w:hint="eastAsia" w:ascii="宋体" w:hAnsi="宋体"/>
                <w:bCs/>
              </w:rPr>
              <w:t>4</w:t>
            </w:r>
          </w:p>
        </w:tc>
        <w:tc>
          <w:tcPr>
            <w:tcW w:w="2769" w:type="dxa"/>
            <w:vAlign w:val="center"/>
          </w:tcPr>
          <w:p>
            <w:pPr>
              <w:spacing w:line="400" w:lineRule="exact"/>
              <w:jc w:val="left"/>
              <w:rPr>
                <w:rFonts w:ascii="宋体" w:hAnsi="宋体"/>
              </w:rPr>
            </w:pPr>
            <w:r>
              <w:rPr>
                <w:rFonts w:hint="eastAsia" w:ascii="宋体" w:hAnsi="宋体"/>
              </w:rPr>
              <w:t>具有履行合同所必需的设备和专业技术能力</w:t>
            </w:r>
          </w:p>
        </w:tc>
        <w:tc>
          <w:tcPr>
            <w:tcW w:w="6018" w:type="dxa"/>
            <w:vAlign w:val="center"/>
          </w:tcPr>
          <w:p>
            <w:pPr>
              <w:pStyle w:val="23"/>
            </w:pPr>
            <w:r>
              <w:rPr>
                <w:rFonts w:hint="eastAsia"/>
              </w:rPr>
              <w:t>具有履行合同所必需的设备和专业技术能力的承诺函--详见附件2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7" w:hRule="atLeast"/>
          <w:jc w:val="center"/>
        </w:trPr>
        <w:tc>
          <w:tcPr>
            <w:tcW w:w="728" w:type="dxa"/>
            <w:vAlign w:val="center"/>
          </w:tcPr>
          <w:p>
            <w:pPr>
              <w:spacing w:line="400" w:lineRule="exact"/>
              <w:jc w:val="center"/>
              <w:rPr>
                <w:rFonts w:ascii="宋体" w:hAnsi="宋体"/>
                <w:bCs/>
              </w:rPr>
            </w:pPr>
            <w:r>
              <w:rPr>
                <w:rFonts w:hint="eastAsia" w:ascii="宋体" w:hAnsi="宋体"/>
                <w:bCs/>
              </w:rPr>
              <w:t>5</w:t>
            </w:r>
          </w:p>
        </w:tc>
        <w:tc>
          <w:tcPr>
            <w:tcW w:w="2769" w:type="dxa"/>
            <w:vAlign w:val="center"/>
          </w:tcPr>
          <w:p>
            <w:pPr>
              <w:spacing w:line="400" w:lineRule="exact"/>
              <w:jc w:val="left"/>
              <w:rPr>
                <w:rFonts w:ascii="宋体" w:hAnsi="宋体"/>
              </w:rPr>
            </w:pPr>
            <w:r>
              <w:rPr>
                <w:rFonts w:hint="eastAsia" w:ascii="宋体" w:hAnsi="宋体"/>
              </w:rPr>
              <w:t>有依法缴纳税收和社会保障资金的良好记录</w:t>
            </w:r>
          </w:p>
        </w:tc>
        <w:tc>
          <w:tcPr>
            <w:tcW w:w="6018" w:type="dxa"/>
            <w:vAlign w:val="center"/>
          </w:tcPr>
          <w:p>
            <w:pPr>
              <w:pStyle w:val="23"/>
              <w:numPr>
                <w:ilvl w:val="0"/>
                <w:numId w:val="11"/>
              </w:numPr>
            </w:pPr>
            <w:r>
              <w:rPr>
                <w:rFonts w:hint="eastAsia"/>
              </w:rPr>
              <w:t>最近六个月任意一月依法缴纳税收的证明材料指响应供应商参加采购活动前最近六个月任意一月内依法缴纳税收的凭据（完税证明或纳税证明或银行电子缴税付款凭证等）；</w:t>
            </w:r>
          </w:p>
          <w:p>
            <w:pPr>
              <w:pStyle w:val="23"/>
              <w:numPr>
                <w:ilvl w:val="0"/>
                <w:numId w:val="11"/>
              </w:numPr>
            </w:pPr>
            <w:r>
              <w:rPr>
                <w:rFonts w:hint="eastAsia"/>
              </w:rPr>
              <w:t>依法免税的响应供应商，应提供相应文件证明其依法免税；</w:t>
            </w:r>
          </w:p>
          <w:p>
            <w:pPr>
              <w:pStyle w:val="23"/>
              <w:numPr>
                <w:ilvl w:val="0"/>
                <w:numId w:val="11"/>
              </w:numPr>
            </w:pPr>
            <w:r>
              <w:rPr>
                <w:rFonts w:hint="eastAsia"/>
              </w:rPr>
              <w:t>最近六个月任意一月依法缴纳社会保障资金的证明</w:t>
            </w:r>
            <w:r>
              <w:rPr>
                <w:rFonts w:hint="eastAsia"/>
                <w:b/>
              </w:rPr>
              <w:t>材料指响应供应商参加采购活动前最近六个月任意一月内依法缴纳社会保险的凭</w:t>
            </w:r>
            <w:r>
              <w:rPr>
                <w:rFonts w:hint="eastAsia"/>
              </w:rPr>
              <w:t>据（社保缴费专用收据或银行电子缴税付款凭证或社会保险缴纳清单等）；</w:t>
            </w:r>
          </w:p>
          <w:p>
            <w:pPr>
              <w:pStyle w:val="23"/>
              <w:numPr>
                <w:ilvl w:val="0"/>
                <w:numId w:val="11"/>
              </w:numPr>
            </w:pPr>
            <w:r>
              <w:rPr>
                <w:rFonts w:hint="eastAsia"/>
              </w:rPr>
              <w:t>依法不需要缴纳社会保障资金的磋商响应供应商，应提供相应文件证明其依法不需要缴纳社会保障资金；</w:t>
            </w:r>
          </w:p>
          <w:p>
            <w:pPr>
              <w:pStyle w:val="23"/>
              <w:numPr>
                <w:ilvl w:val="0"/>
                <w:numId w:val="11"/>
              </w:numPr>
            </w:pPr>
            <w:r>
              <w:rPr>
                <w:rFonts w:hint="eastAsia"/>
              </w:rPr>
              <w:t>磋商响应供应商因新注册成立等原因无法提供相关材料的，应在响应文件中提交如实的情况说明。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28" w:type="dxa"/>
            <w:vAlign w:val="center"/>
          </w:tcPr>
          <w:p>
            <w:pPr>
              <w:spacing w:line="400" w:lineRule="exact"/>
              <w:jc w:val="center"/>
              <w:rPr>
                <w:rFonts w:ascii="宋体" w:hAnsi="宋体"/>
                <w:bCs/>
              </w:rPr>
            </w:pPr>
            <w:r>
              <w:rPr>
                <w:rFonts w:hint="eastAsia" w:ascii="宋体" w:hAnsi="宋体"/>
                <w:bCs/>
              </w:rPr>
              <w:t>6</w:t>
            </w:r>
          </w:p>
        </w:tc>
        <w:tc>
          <w:tcPr>
            <w:tcW w:w="2769" w:type="dxa"/>
            <w:vAlign w:val="center"/>
          </w:tcPr>
          <w:p>
            <w:pPr>
              <w:pStyle w:val="23"/>
              <w:rPr>
                <w:kern w:val="2"/>
              </w:rPr>
            </w:pPr>
            <w:r>
              <w:rPr>
                <w:rFonts w:hint="eastAsia"/>
                <w:kern w:val="2"/>
              </w:rPr>
              <w:t>参加采购活动前三年内（新成立不满三年的公司自成立之日起算）在经营活动中没有重大违法记录</w:t>
            </w:r>
          </w:p>
        </w:tc>
        <w:tc>
          <w:tcPr>
            <w:tcW w:w="6018" w:type="dxa"/>
            <w:vAlign w:val="center"/>
          </w:tcPr>
          <w:p>
            <w:pPr>
              <w:pStyle w:val="23"/>
              <w:rPr>
                <w:kern w:val="2"/>
              </w:rPr>
            </w:pPr>
            <w:r>
              <w:rPr>
                <w:rFonts w:hint="eastAsia"/>
                <w:kern w:val="2"/>
              </w:rPr>
              <w:t>没有重大违法记录承诺函--详见附件3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28" w:type="dxa"/>
            <w:vAlign w:val="center"/>
          </w:tcPr>
          <w:p>
            <w:pPr>
              <w:spacing w:line="400" w:lineRule="exact"/>
              <w:jc w:val="center"/>
              <w:rPr>
                <w:rFonts w:ascii="宋体" w:hAnsi="宋体"/>
                <w:bCs/>
              </w:rPr>
            </w:pPr>
            <w:r>
              <w:rPr>
                <w:rFonts w:hint="eastAsia" w:ascii="宋体" w:hAnsi="宋体"/>
                <w:bCs/>
              </w:rPr>
              <w:t>7</w:t>
            </w:r>
          </w:p>
        </w:tc>
        <w:tc>
          <w:tcPr>
            <w:tcW w:w="2769" w:type="dxa"/>
            <w:vAlign w:val="center"/>
          </w:tcPr>
          <w:p>
            <w:pPr>
              <w:rPr>
                <w:rFonts w:ascii="宋体" w:hAnsi="宋体"/>
                <w:kern w:val="0"/>
              </w:rPr>
            </w:pPr>
            <w:r>
              <w:rPr>
                <w:rFonts w:hint="eastAsia" w:ascii="宋体" w:hAnsi="宋体"/>
                <w:kern w:val="0"/>
              </w:rPr>
              <w:t>未被信用中国网站（</w:t>
            </w:r>
            <w:r>
              <w:fldChar w:fldCharType="begin"/>
            </w:r>
            <w:r>
              <w:instrText xml:space="preserve"> HYPERLINK "http://www.creditchina.gov.cn" </w:instrText>
            </w:r>
            <w:r>
              <w:fldChar w:fldCharType="separate"/>
            </w:r>
            <w:r>
              <w:rPr>
                <w:rFonts w:hint="eastAsia" w:ascii="宋体" w:hAnsi="宋体"/>
                <w:kern w:val="0"/>
              </w:rPr>
              <w:t>www.creditchina.gov.cn</w:t>
            </w:r>
            <w:r>
              <w:rPr>
                <w:rFonts w:hint="eastAsia" w:ascii="宋体" w:hAnsi="宋体"/>
                <w:kern w:val="0"/>
              </w:rPr>
              <w:fldChar w:fldCharType="end"/>
            </w:r>
            <w:r>
              <w:rPr>
                <w:rFonts w:hint="eastAsia" w:ascii="宋体" w:hAnsi="宋体"/>
                <w:kern w:val="0"/>
              </w:rPr>
              <w:t>）列入失信被执行人、重大税收违法案件当事人名单，未被中国政府采购网（www.ccgp.gov.cn）列入政府采购严重违法失信行为记录名单。</w:t>
            </w:r>
          </w:p>
        </w:tc>
        <w:tc>
          <w:tcPr>
            <w:tcW w:w="6018" w:type="dxa"/>
            <w:vAlign w:val="center"/>
          </w:tcPr>
          <w:p>
            <w:pPr>
              <w:pStyle w:val="23"/>
            </w:pPr>
            <w:r>
              <w:rPr>
                <w:rFonts w:hint="eastAsia"/>
              </w:rPr>
              <w:t>提供响应文件递交截止日前1日历天17:00（北京时间）前的查询信息网站截图（2个）：查询渠道：“信用中国”（www.creditchina.gov.cn）、“中国政府采购网”（www.ccgp.gov.cn）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728" w:type="dxa"/>
            <w:vAlign w:val="center"/>
          </w:tcPr>
          <w:p>
            <w:pPr>
              <w:spacing w:line="400" w:lineRule="exact"/>
              <w:jc w:val="center"/>
              <w:rPr>
                <w:rFonts w:ascii="宋体" w:hAnsi="宋体"/>
                <w:bCs/>
              </w:rPr>
            </w:pPr>
            <w:r>
              <w:rPr>
                <w:rFonts w:hint="eastAsia" w:ascii="宋体" w:hAnsi="宋体"/>
                <w:bCs/>
              </w:rPr>
              <w:t>8</w:t>
            </w:r>
          </w:p>
        </w:tc>
        <w:tc>
          <w:tcPr>
            <w:tcW w:w="2769" w:type="dxa"/>
            <w:vAlign w:val="center"/>
          </w:tcPr>
          <w:p>
            <w:pPr>
              <w:pStyle w:val="23"/>
              <w:spacing w:before="75" w:beforeAutospacing="0" w:after="75" w:afterAutospacing="0"/>
            </w:pPr>
            <w:r>
              <w:rPr>
                <w:rFonts w:hint="eastAsia"/>
              </w:rPr>
              <w:t>单位负责人为同一人或者存在直接控股、管理关系的不同供应商，不得参加同一合同项下的采购活动。</w:t>
            </w:r>
          </w:p>
        </w:tc>
        <w:tc>
          <w:tcPr>
            <w:tcW w:w="6018" w:type="dxa"/>
            <w:vAlign w:val="center"/>
          </w:tcPr>
          <w:p>
            <w:pPr>
              <w:jc w:val="left"/>
              <w:rPr>
                <w:rFonts w:ascii="宋体" w:hAnsi="宋体"/>
              </w:rPr>
            </w:pPr>
            <w:r>
              <w:rPr>
                <w:rFonts w:hint="eastAsia" w:ascii="宋体" w:hAnsi="宋体"/>
                <w:kern w:val="0"/>
              </w:rPr>
              <w:t>提供响应文件递交截止日前1日历天17:00（北京时间）的查询信息网站截图，查询渠道：“</w:t>
            </w:r>
            <w:r>
              <w:rPr>
                <w:rFonts w:hint="eastAsia" w:ascii="宋体" w:hAnsi="宋体"/>
              </w:rPr>
              <w:t>国家企业信用信息公示系统”（w</w:t>
            </w:r>
            <w:r>
              <w:fldChar w:fldCharType="begin"/>
            </w:r>
            <w:r>
              <w:instrText xml:space="preserve"> HYPERLINK "http://www.gsxt.gov.cn/corp-query-homepage.html" </w:instrText>
            </w:r>
            <w:r>
              <w:fldChar w:fldCharType="separate"/>
            </w:r>
            <w:r>
              <w:rPr>
                <w:rStyle w:val="38"/>
                <w:rFonts w:hint="eastAsia" w:ascii="宋体" w:hAnsi="宋体"/>
                <w:color w:val="auto"/>
              </w:rPr>
              <w:t>ww.gsxt.gov.cn/corp-query-homepage.html</w:t>
            </w:r>
            <w:r>
              <w:rPr>
                <w:rStyle w:val="38"/>
                <w:rFonts w:hint="eastAsia" w:ascii="宋体" w:hAnsi="宋体"/>
                <w:color w:val="auto"/>
              </w:rPr>
              <w:fldChar w:fldCharType="end"/>
            </w:r>
            <w:r>
              <w:rPr>
                <w:rFonts w:hint="eastAsia" w:ascii="宋体" w:hAnsi="宋体"/>
              </w:rPr>
              <w:t>）</w:t>
            </w:r>
          </w:p>
          <w:p>
            <w:pPr>
              <w:pStyle w:val="2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728" w:type="dxa"/>
            <w:vAlign w:val="center"/>
          </w:tcPr>
          <w:p>
            <w:pPr>
              <w:pStyle w:val="2"/>
              <w:jc w:val="center"/>
              <w:rPr>
                <w:rFonts w:ascii="宋体" w:hAnsi="宋体" w:eastAsia="宋体" w:cs="宋体"/>
                <w:bCs/>
                <w:color w:val="auto"/>
              </w:rPr>
            </w:pPr>
            <w:r>
              <w:rPr>
                <w:rFonts w:hint="eastAsia" w:ascii="宋体" w:hAnsi="宋体" w:eastAsia="宋体" w:cs="宋体"/>
                <w:bCs/>
                <w:color w:val="auto"/>
              </w:rPr>
              <w:t>9</w:t>
            </w:r>
          </w:p>
        </w:tc>
        <w:tc>
          <w:tcPr>
            <w:tcW w:w="2769" w:type="dxa"/>
            <w:vAlign w:val="center"/>
          </w:tcPr>
          <w:p>
            <w:pPr>
              <w:pStyle w:val="23"/>
            </w:pPr>
            <w:r>
              <w:rPr>
                <w:rFonts w:hint="eastAsia"/>
              </w:rPr>
              <w:t xml:space="preserve"> 特定资格要求</w:t>
            </w:r>
          </w:p>
        </w:tc>
        <w:tc>
          <w:tcPr>
            <w:tcW w:w="6018" w:type="dxa"/>
            <w:vAlign w:val="center"/>
          </w:tcPr>
          <w:p>
            <w:pPr>
              <w:pStyle w:val="23"/>
            </w:pPr>
            <w:r>
              <w:rPr>
                <w:rFonts w:hint="eastAsia"/>
              </w:rPr>
              <w:t>须提供符合“第一章 竞争性磋商公告”中“四、磋商供应商资格要求”上列明的“特定资格要求”的证明文件复印件并加盖公章。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8" w:type="dxa"/>
            <w:vAlign w:val="center"/>
          </w:tcPr>
          <w:p>
            <w:pPr>
              <w:spacing w:line="400" w:lineRule="exact"/>
              <w:jc w:val="center"/>
              <w:rPr>
                <w:rFonts w:ascii="宋体" w:hAnsi="宋体"/>
              </w:rPr>
            </w:pPr>
            <w:r>
              <w:rPr>
                <w:rFonts w:hint="eastAsia" w:ascii="宋体" w:hAnsi="宋体"/>
              </w:rPr>
              <w:t>10</w:t>
            </w:r>
          </w:p>
        </w:tc>
        <w:tc>
          <w:tcPr>
            <w:tcW w:w="2769" w:type="dxa"/>
            <w:vAlign w:val="center"/>
          </w:tcPr>
          <w:p>
            <w:pPr>
              <w:spacing w:line="400" w:lineRule="exact"/>
              <w:rPr>
                <w:rFonts w:ascii="宋体" w:hAnsi="宋体"/>
              </w:rPr>
            </w:pPr>
            <w:r>
              <w:rPr>
                <w:rFonts w:hint="eastAsia" w:ascii="宋体" w:hAnsi="宋体"/>
              </w:rPr>
              <w:t>供应商是否为联合体</w:t>
            </w:r>
          </w:p>
        </w:tc>
        <w:tc>
          <w:tcPr>
            <w:tcW w:w="6018" w:type="dxa"/>
            <w:vAlign w:val="center"/>
          </w:tcPr>
          <w:p>
            <w:pPr>
              <w:spacing w:line="400" w:lineRule="exact"/>
              <w:rPr>
                <w:rFonts w:ascii="宋体" w:hAnsi="宋体"/>
              </w:rPr>
            </w:pPr>
            <w:r>
              <w:rPr>
                <w:rFonts w:hint="eastAsia" w:ascii="宋体" w:hAnsi="宋体"/>
              </w:rPr>
              <w:t>本项目不接受联合体</w:t>
            </w:r>
            <w:r>
              <w:rPr>
                <w:rFonts w:hint="eastAsia" w:ascii="宋体" w:hAnsi="宋体"/>
                <w:spacing w:val="-6"/>
              </w:rPr>
              <w:t>响应</w:t>
            </w:r>
            <w:r>
              <w:rPr>
                <w:rFonts w:hint="eastAsia" w:ascii="宋体" w:hAnsi="宋体"/>
              </w:rPr>
              <w:t>。</w:t>
            </w:r>
          </w:p>
        </w:tc>
      </w:tr>
    </w:tbl>
    <w:p>
      <w:pPr>
        <w:pStyle w:val="23"/>
        <w:rPr>
          <w:b/>
          <w:sz w:val="28"/>
          <w:szCs w:val="28"/>
        </w:rPr>
      </w:pPr>
      <w:r>
        <w:rPr>
          <w:rFonts w:hint="eastAsia"/>
          <w:b/>
          <w:sz w:val="28"/>
          <w:szCs w:val="28"/>
        </w:rPr>
        <w:t xml:space="preserve">注：请按以上顺序编排所需资格文件并填写页码，表后附上相关证明文件。未提供上述材料任何一项或未完整提供或无法证明是否符合资格要求的均按无效标处理。 </w:t>
      </w:r>
    </w:p>
    <w:p>
      <w:pPr>
        <w:rPr>
          <w:rFonts w:ascii="宋体" w:hAnsi="宋体"/>
          <w:b/>
          <w:kern w:val="0"/>
          <w:sz w:val="32"/>
          <w:szCs w:val="32"/>
        </w:rPr>
      </w:pPr>
      <w:r>
        <w:rPr>
          <w:rFonts w:hint="eastAsia" w:ascii="宋体" w:hAnsi="宋体"/>
          <w:b/>
          <w:kern w:val="0"/>
          <w:sz w:val="32"/>
          <w:szCs w:val="32"/>
        </w:rPr>
        <w:t>附件1</w:t>
      </w:r>
    </w:p>
    <w:p>
      <w:pPr>
        <w:jc w:val="center"/>
        <w:rPr>
          <w:rFonts w:ascii="宋体" w:hAnsi="宋体"/>
          <w:b/>
          <w:kern w:val="0"/>
          <w:sz w:val="32"/>
          <w:szCs w:val="32"/>
        </w:rPr>
      </w:pPr>
      <w:r>
        <w:rPr>
          <w:rFonts w:hint="eastAsia" w:ascii="宋体" w:hAnsi="宋体"/>
          <w:b/>
          <w:kern w:val="0"/>
          <w:sz w:val="32"/>
          <w:szCs w:val="32"/>
        </w:rPr>
        <w:t>具有良好商业信誉特别声明</w:t>
      </w:r>
    </w:p>
    <w:p>
      <w:pPr>
        <w:rPr>
          <w:rFonts w:ascii="宋体" w:hAnsi="宋体"/>
        </w:rPr>
      </w:pPr>
      <w:r>
        <w:rPr>
          <w:rFonts w:hint="eastAsia" w:ascii="宋体" w:hAnsi="宋体"/>
        </w:rPr>
        <w:t>浙江大学、浙江五石工程咨询有限公司：</w:t>
      </w:r>
    </w:p>
    <w:p>
      <w:pPr>
        <w:ind w:firstLine="480" w:firstLineChars="200"/>
        <w:rPr>
          <w:rFonts w:ascii="宋体" w:hAnsi="宋体"/>
          <w:lang w:val="zh-CN"/>
        </w:rPr>
      </w:pPr>
      <w:r>
        <w:rPr>
          <w:rFonts w:hint="eastAsia" w:ascii="宋体" w:hAnsi="宋体"/>
        </w:rPr>
        <w:t>截至</w:t>
      </w:r>
      <w:r>
        <w:rPr>
          <w:rFonts w:hint="eastAsia" w:ascii="宋体" w:hAnsi="宋体"/>
          <w:spacing w:val="-6"/>
        </w:rPr>
        <w:t>响应</w:t>
      </w:r>
      <w:r>
        <w:rPr>
          <w:rFonts w:hint="eastAsia" w:ascii="宋体" w:hAnsi="宋体"/>
        </w:rPr>
        <w:t>截止时间，我方具有良好的商业信誉，不存在下列情形（包括但不限于）。否则，我方将承担在资格审查时不被通过的后果。</w:t>
      </w:r>
    </w:p>
    <w:p>
      <w:pPr>
        <w:ind w:firstLine="480" w:firstLineChars="200"/>
        <w:rPr>
          <w:rFonts w:ascii="宋体" w:hAnsi="宋体"/>
        </w:rPr>
      </w:pPr>
      <w:r>
        <w:rPr>
          <w:rFonts w:hint="eastAsia" w:ascii="宋体" w:hAnsi="宋体"/>
        </w:rPr>
        <w:t>1、按照竞争性磋商文件规定的信用信息查询渠道及截止时间，经查询列入失信被执行人名单、重大税收违法案件当事人名单、相关采购严重违法失信行为记录名单；</w:t>
      </w:r>
    </w:p>
    <w:p>
      <w:pPr>
        <w:ind w:firstLine="480" w:firstLineChars="200"/>
        <w:rPr>
          <w:rFonts w:ascii="宋体" w:hAnsi="宋体"/>
        </w:rPr>
      </w:pPr>
      <w:r>
        <w:rPr>
          <w:rFonts w:hint="eastAsia" w:ascii="宋体" w:hAnsi="宋体"/>
        </w:rPr>
        <w:t>2、截至</w:t>
      </w:r>
      <w:r>
        <w:rPr>
          <w:rFonts w:hint="eastAsia" w:ascii="宋体" w:hAnsi="宋体"/>
          <w:spacing w:val="-6"/>
        </w:rPr>
        <w:t>响应</w:t>
      </w:r>
      <w:r>
        <w:rPr>
          <w:rFonts w:hint="eastAsia" w:ascii="宋体" w:hAnsi="宋体"/>
        </w:rPr>
        <w:t xml:space="preserve">截止时间，因违反《浙江省政府采购供应商注册及诚信管理暂行办法》而被列入‘黑名单’，在处罚有效期内。 </w:t>
      </w:r>
    </w:p>
    <w:p>
      <w:pPr>
        <w:ind w:right="-934" w:rightChars="-389"/>
        <w:rPr>
          <w:rFonts w:ascii="宋体" w:hAnsi="宋体"/>
          <w:spacing w:val="-6"/>
        </w:rPr>
      </w:pPr>
    </w:p>
    <w:p>
      <w:pPr>
        <w:ind w:right="-934" w:rightChars="-389"/>
        <w:rPr>
          <w:rFonts w:ascii="宋体" w:hAnsi="宋体"/>
          <w:spacing w:val="-6"/>
        </w:rPr>
      </w:pP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rPr>
          <w:rFonts w:ascii="宋体" w:hAnsi="宋体"/>
          <w:kern w:val="0"/>
          <w:lang w:val="zh-CN"/>
        </w:rPr>
      </w:pPr>
      <w:r>
        <w:rPr>
          <w:rFonts w:hint="eastAsia" w:ascii="宋体" w:hAnsi="宋体"/>
          <w:bCs/>
          <w:spacing w:val="-6"/>
        </w:rPr>
        <w:t>日期：    年  月  日</w:t>
      </w:r>
    </w:p>
    <w:p>
      <w:pPr>
        <w:rPr>
          <w:rFonts w:ascii="宋体" w:hAnsi="宋体"/>
          <w:sz w:val="36"/>
          <w:szCs w:val="36"/>
        </w:rPr>
      </w:pPr>
    </w:p>
    <w:p>
      <w:pPr>
        <w:rPr>
          <w:rFonts w:ascii="宋体" w:hAnsi="宋体"/>
          <w:b/>
          <w:kern w:val="0"/>
          <w:sz w:val="32"/>
          <w:szCs w:val="32"/>
        </w:rPr>
      </w:pPr>
      <w:r>
        <w:rPr>
          <w:rFonts w:hint="eastAsia" w:ascii="宋体" w:hAnsi="宋体"/>
          <w:b/>
          <w:kern w:val="0"/>
          <w:sz w:val="32"/>
          <w:szCs w:val="32"/>
        </w:rPr>
        <w:t>附件2</w:t>
      </w:r>
    </w:p>
    <w:p>
      <w:pPr>
        <w:ind w:right="480"/>
        <w:jc w:val="center"/>
        <w:rPr>
          <w:rFonts w:ascii="宋体" w:hAnsi="宋体"/>
          <w:b/>
          <w:kern w:val="0"/>
          <w:sz w:val="32"/>
          <w:szCs w:val="32"/>
        </w:rPr>
      </w:pPr>
      <w:r>
        <w:rPr>
          <w:rFonts w:hint="eastAsia" w:ascii="宋体" w:hAnsi="宋体"/>
          <w:b/>
          <w:kern w:val="0"/>
          <w:sz w:val="32"/>
          <w:szCs w:val="32"/>
        </w:rPr>
        <w:t>具有履行合同所必需的设备和专业技术能力的承诺函</w:t>
      </w:r>
    </w:p>
    <w:p>
      <w:pPr>
        <w:rPr>
          <w:rFonts w:ascii="宋体" w:hAnsi="宋体"/>
        </w:rPr>
      </w:pPr>
      <w:r>
        <w:rPr>
          <w:rFonts w:hint="eastAsia" w:ascii="宋体" w:hAnsi="宋体"/>
        </w:rPr>
        <w:t>浙江大学、浙江五石工程咨询有限公司：</w:t>
      </w:r>
    </w:p>
    <w:p>
      <w:pPr>
        <w:ind w:firstLine="480" w:firstLineChars="200"/>
        <w:rPr>
          <w:rFonts w:ascii="宋体" w:hAnsi="宋体"/>
        </w:rPr>
      </w:pPr>
      <w:r>
        <w:rPr>
          <w:rFonts w:hint="eastAsia" w:ascii="宋体" w:hAnsi="宋体"/>
        </w:rPr>
        <w:t>我方郑重承诺，我方具有履行</w:t>
      </w:r>
      <w:r>
        <w:rPr>
          <w:rFonts w:hint="eastAsia" w:ascii="宋体" w:hAnsi="宋体"/>
          <w:u w:val="single"/>
        </w:rPr>
        <w:t xml:space="preserve">        </w:t>
      </w:r>
      <w:r>
        <w:rPr>
          <w:rFonts w:hint="eastAsia" w:ascii="宋体" w:hAnsi="宋体"/>
        </w:rPr>
        <w:t>（项目编号</w:t>
      </w:r>
      <w:r>
        <w:rPr>
          <w:rFonts w:hint="eastAsia" w:ascii="宋体" w:hAnsi="宋体"/>
          <w:u w:val="single"/>
        </w:rPr>
        <w:t xml:space="preserve">：ZJWSBJ-ZJU-2020078C  </w:t>
      </w:r>
      <w:r>
        <w:rPr>
          <w:rFonts w:hint="eastAsia" w:ascii="宋体" w:hAnsi="宋体"/>
        </w:rPr>
        <w:t>）合同所必需的设备和专业技术能力。如成交，我方将保证合同顺利履行。</w:t>
      </w:r>
    </w:p>
    <w:p>
      <w:pPr>
        <w:ind w:firstLine="480" w:firstLineChars="200"/>
        <w:rPr>
          <w:rFonts w:ascii="宋体" w:hAnsi="宋体"/>
          <w:lang w:val="zh-CN"/>
        </w:rPr>
      </w:pPr>
      <w:r>
        <w:rPr>
          <w:rFonts w:hint="eastAsia" w:ascii="宋体" w:hAnsi="宋体"/>
          <w:lang w:val="zh-CN"/>
        </w:rPr>
        <w:t xml:space="preserve"> </w:t>
      </w:r>
    </w:p>
    <w:p>
      <w:pPr>
        <w:ind w:firstLine="480" w:firstLineChars="200"/>
        <w:rPr>
          <w:rFonts w:ascii="宋体" w:hAnsi="宋体"/>
          <w:lang w:val="zh-CN"/>
        </w:rPr>
      </w:pPr>
      <w:r>
        <w:rPr>
          <w:rFonts w:hint="eastAsia" w:ascii="宋体" w:hAnsi="宋体"/>
          <w:lang w:val="zh-CN"/>
        </w:rPr>
        <w:t xml:space="preserve">                                         </w:t>
      </w: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rPr>
          <w:rFonts w:ascii="宋体" w:hAnsi="宋体"/>
          <w:kern w:val="0"/>
          <w:lang w:val="zh-CN"/>
        </w:rPr>
      </w:pPr>
      <w:r>
        <w:rPr>
          <w:rFonts w:hint="eastAsia" w:ascii="宋体" w:hAnsi="宋体"/>
          <w:bCs/>
          <w:spacing w:val="-6"/>
        </w:rPr>
        <w:t>日期：    年  月  日</w:t>
      </w:r>
    </w:p>
    <w:p>
      <w:pPr>
        <w:rPr>
          <w:rFonts w:ascii="宋体" w:hAnsi="宋体"/>
          <w:b/>
          <w:kern w:val="0"/>
          <w:sz w:val="32"/>
          <w:szCs w:val="32"/>
        </w:rPr>
      </w:pPr>
      <w:r>
        <w:rPr>
          <w:rFonts w:hint="eastAsia" w:ascii="宋体" w:hAnsi="宋体"/>
          <w:b/>
          <w:kern w:val="0"/>
          <w:sz w:val="32"/>
          <w:szCs w:val="32"/>
        </w:rPr>
        <w:t>附件3</w:t>
      </w:r>
    </w:p>
    <w:p>
      <w:pPr>
        <w:pStyle w:val="23"/>
        <w:jc w:val="center"/>
        <w:rPr>
          <w:b/>
          <w:sz w:val="32"/>
          <w:szCs w:val="32"/>
        </w:rPr>
      </w:pPr>
      <w:r>
        <w:rPr>
          <w:rFonts w:hint="eastAsia"/>
          <w:b/>
          <w:sz w:val="32"/>
          <w:szCs w:val="32"/>
        </w:rPr>
        <w:t>没有重大违法记录承诺函</w:t>
      </w:r>
    </w:p>
    <w:p>
      <w:pPr>
        <w:rPr>
          <w:rFonts w:ascii="宋体" w:hAnsi="宋体"/>
        </w:rPr>
      </w:pPr>
      <w:r>
        <w:rPr>
          <w:rFonts w:hint="eastAsia" w:ascii="宋体" w:hAnsi="宋体"/>
        </w:rPr>
        <w:t>浙江大学、浙江五石工程咨询有限公司：</w:t>
      </w:r>
    </w:p>
    <w:p>
      <w:pPr>
        <w:ind w:firstLine="480" w:firstLineChars="200"/>
        <w:rPr>
          <w:rFonts w:ascii="宋体" w:hAnsi="宋体"/>
        </w:rPr>
      </w:pPr>
      <w:r>
        <w:rPr>
          <w:rFonts w:hint="eastAsia" w:ascii="宋体" w:hAnsi="宋体"/>
        </w:rPr>
        <w:t>我方</w:t>
      </w:r>
      <w:r>
        <w:rPr>
          <w:rFonts w:hint="eastAsia" w:ascii="宋体" w:hAnsi="宋体"/>
          <w:u w:val="single"/>
        </w:rPr>
        <w:t xml:space="preserve">（响应供应商）    </w:t>
      </w:r>
      <w:r>
        <w:rPr>
          <w:rFonts w:hint="eastAsia" w:ascii="宋体" w:hAnsi="宋体"/>
        </w:rPr>
        <w:t>具有良好的商业信誉，在参加采购活动前三年内，在经营活动中没有重大违法记录（没有因违法经营受到刑事处罚，没有被责令停产停业、被吊销许可证或者执照、被处以较大数额罚款等行政处罚，没有因违法经营被禁止参加采购活动的期限未满情形）。如有虚假，采购人可取消我方任何资格（</w:t>
      </w:r>
      <w:r>
        <w:rPr>
          <w:rFonts w:hint="eastAsia" w:ascii="宋体" w:hAnsi="宋体"/>
          <w:spacing w:val="-6"/>
        </w:rPr>
        <w:t>响应</w:t>
      </w:r>
      <w:r>
        <w:rPr>
          <w:rFonts w:hint="eastAsia" w:ascii="宋体" w:hAnsi="宋体"/>
        </w:rPr>
        <w:t>/成交/签订合同），我方对此无任何异议。</w:t>
      </w:r>
    </w:p>
    <w:p>
      <w:pPr>
        <w:rPr>
          <w:rFonts w:ascii="宋体" w:hAnsi="宋体"/>
        </w:rPr>
      </w:pPr>
      <w:r>
        <w:rPr>
          <w:rFonts w:hint="eastAsia" w:ascii="宋体" w:hAnsi="宋体"/>
        </w:rPr>
        <w:t>特此承诺！</w:t>
      </w:r>
    </w:p>
    <w:p>
      <w:pPr>
        <w:rPr>
          <w:rFonts w:ascii="宋体" w:hAnsi="宋体"/>
        </w:rPr>
      </w:pPr>
    </w:p>
    <w:p>
      <w:pPr>
        <w:ind w:right="-934" w:rightChars="-389"/>
        <w:rPr>
          <w:rFonts w:ascii="宋体" w:hAnsi="宋体"/>
          <w:spacing w:val="-6"/>
        </w:rPr>
      </w:pP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rPr>
          <w:rFonts w:ascii="宋体" w:hAnsi="宋体"/>
          <w:bCs/>
          <w:spacing w:val="-6"/>
        </w:rPr>
      </w:pPr>
      <w:r>
        <w:rPr>
          <w:rFonts w:hint="eastAsia" w:ascii="宋体" w:hAnsi="宋体"/>
          <w:bCs/>
          <w:spacing w:val="-6"/>
        </w:rPr>
        <w:t>日期：    年  月  日</w:t>
      </w:r>
    </w:p>
    <w:p>
      <w:pPr>
        <w:pStyle w:val="6"/>
        <w:jc w:val="both"/>
        <w:rPr>
          <w:rFonts w:ascii="宋体" w:hAnsi="宋体" w:cs="宋体"/>
          <w:bCs/>
          <w:spacing w:val="-6"/>
        </w:rPr>
      </w:pPr>
      <w:r>
        <w:rPr>
          <w:rFonts w:hint="eastAsia" w:ascii="宋体" w:hAnsi="宋体" w:cs="宋体"/>
          <w:bCs/>
          <w:spacing w:val="-6"/>
        </w:rPr>
        <w:br w:type="page"/>
      </w:r>
      <w:r>
        <w:rPr>
          <w:rFonts w:ascii="宋体" w:hAnsi="宋体" w:cs="宋体"/>
        </w:rPr>
        <w:pict>
          <v:rect id="_x0000_s1034" o:spid="_x0000_s1034" o:spt="1" style="position:absolute;left:0pt;margin-left:373.85pt;margin-top:8.05pt;height:31.45pt;width:110.5pt;z-index:-25165824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SCAGwIAADEEAAAOAAAAZHJzL2Uyb0RvYy54bWysU81uEzEQviPxDpbvdDdJg8gqmwo1hEsF&#10;lQoPMLG9uxb+w3aymxeAN+DEhXufK8/B2E2TFDgghA/W2J75/M03M/OrQSuyFT5Ia2o6uigpEYZZ&#10;Lk1b048fVi9eURIiGA7KGlHTnQj0avH82bx3lRjbziouPEEQE6re1bSL0VVFEVgnNIQL64TBx8Z6&#10;DRGPvi24hx7RtSrGZfmy6K3nzlsmQsDb5cMjXWT8phEsvm+aICJRNUVuMe8+7+u0F4s5VK0H10l2&#10;oAH/wEKDNPjpEWoJEcjGy9+gtGTeBtvEC2Z1YZtGMpFzwGxG5S/Z3HXgRM4FxQnuKFP4f7Ds3fbW&#10;E8lrOqbEgMYS7b993X+/3//4QsZJnt6FCr3u3K1PCQZ3Y9mnQIy97sC04rX3tu8EcCQ1Sv7Fk4B0&#10;CIfQofE6QWDWZMgl2B1LIIZIGF6OLsvJZIqVYvg2mc0uR9MMCtVjtPMhvhVWk2TU1GOJs/KwvQkx&#10;/Q/Vo0vma5XkK6lUPvh2fa082QK2wyqvA3o4d1OG9DWdTcdT5AHYlY2CiKZ2qFMwbf7vSUQ4By7z&#10;+hNwIraE0D0QyAjJDSoto/DZSlK+MZzEncNaGBwamshowSlRAmcsWdkzglR/44mCKJM+EXkeDiqd&#10;CpOsOKyH3AW5hOlmbfkOO6PH0cCcP2/AI5GN87LtUPVTpbEvs+aHGUqNf37O/XCa9MVPAAAA//8D&#10;AFBLAwQUAAYACAAAACEAsE0PeuEAAAAOAQAADwAAAGRycy9kb3ducmV2LnhtbExPTU+DQBC9m/gf&#10;NmPize62GiiUpTE2NfHY0ou3AVZA2VnCLi366x1P9TLJzHvzPrLtbHtxNqPvHGlYLhQIQ5WrO2o0&#10;nIr9wxqED0g19o6Mhm/jYZvf3mSY1u5CB3M+hkawCPkUNbQhDKmUvmqNRb9wgyHGPtxoMfA6NrIe&#10;8cLitpcrpSJpsSN2aHEwL62pvo6T1VB2qxP+HIpXZZP9Y3ibi8/pfaf1/d282/B43oAIZg7XD/jr&#10;wPkh52Clm6j2otcQP8UxUxmIliCYkERrPpSMJApknsn/NfJfAAAA//8DAFBLAQItABQABgAIAAAA&#10;IQC2gziS/gAAAOEBAAATAAAAAAAAAAAAAAAAAAAAAABbQ29udGVudF9UeXBlc10ueG1sUEsBAi0A&#10;FAAGAAgAAAAhADj9If/WAAAAlAEAAAsAAAAAAAAAAAAAAAAALwEAAF9yZWxzLy5yZWxzUEsBAi0A&#10;FAAGAAgAAAAhAD1tIIAbAgAAMQQAAA4AAAAAAAAAAAAAAAAALgIAAGRycy9lMm9Eb2MueG1sUEsB&#10;Ai0AFAAGAAgAAAAhALBND3rhAAAADgEAAA8AAAAAAAAAAAAAAAAAdQQAAGRycy9kb3ducmV2Lnht&#10;bFBLBQYAAAAABAAEAPMAAACDBQAAAAA=&#10;">
            <v:path/>
            <v:fill focussize="0,0"/>
            <v:stroke/>
            <v:imagedata o:title=""/>
            <o:lock v:ext="edit"/>
            <v:textbox>
              <w:txbxContent>
                <w:p>
                  <w:pPr>
                    <w:rPr>
                      <w:sz w:val="32"/>
                      <w:szCs w:val="32"/>
                    </w:rPr>
                  </w:pPr>
                  <w:r>
                    <w:rPr>
                      <w:rFonts w:hint="eastAsia"/>
                      <w:sz w:val="32"/>
                      <w:szCs w:val="32"/>
                    </w:rPr>
                    <w:t>正本（</w:t>
                  </w:r>
                  <w:r>
                    <w:rPr>
                      <w:sz w:val="32"/>
                      <w:szCs w:val="32"/>
                    </w:rPr>
                    <w:t>副本）</w:t>
                  </w:r>
                </w:p>
              </w:txbxContent>
            </v:textbox>
          </v:rect>
        </w:pict>
      </w:r>
      <w:r>
        <w:rPr>
          <w:rFonts w:hint="eastAsia" w:ascii="宋体" w:hAnsi="宋体" w:cs="宋体"/>
          <w:bCs/>
          <w:spacing w:val="-6"/>
        </w:rPr>
        <w:t>报价、商务技术文件封面</w:t>
      </w:r>
    </w:p>
    <w:p>
      <w:pPr>
        <w:rPr>
          <w:rFonts w:ascii="宋体" w:hAnsi="宋体"/>
          <w:spacing w:val="-6"/>
        </w:rPr>
      </w:pPr>
    </w:p>
    <w:p>
      <w:pPr>
        <w:ind w:firstLine="619" w:firstLineChars="200"/>
        <w:jc w:val="center"/>
        <w:rPr>
          <w:rFonts w:ascii="宋体" w:hAnsi="宋体"/>
          <w:b/>
          <w:spacing w:val="-6"/>
          <w:sz w:val="32"/>
          <w:szCs w:val="32"/>
        </w:rPr>
      </w:pPr>
    </w:p>
    <w:p>
      <w:pPr>
        <w:ind w:firstLine="619" w:firstLineChars="200"/>
        <w:jc w:val="center"/>
        <w:rPr>
          <w:rFonts w:ascii="宋体" w:hAnsi="宋体"/>
          <w:b/>
          <w:spacing w:val="-6"/>
          <w:sz w:val="32"/>
          <w:szCs w:val="32"/>
        </w:rPr>
      </w:pPr>
      <w:r>
        <w:rPr>
          <w:rFonts w:hint="eastAsia" w:ascii="宋体" w:hAnsi="宋体"/>
          <w:b/>
          <w:spacing w:val="-6"/>
          <w:sz w:val="32"/>
          <w:szCs w:val="32"/>
        </w:rPr>
        <w:t>项目名称：浙江大学</w:t>
      </w:r>
    </w:p>
    <w:p>
      <w:pPr>
        <w:ind w:firstLine="619" w:firstLineChars="200"/>
        <w:jc w:val="center"/>
        <w:rPr>
          <w:rFonts w:ascii="宋体" w:hAnsi="宋体"/>
          <w:b/>
          <w:spacing w:val="-6"/>
          <w:sz w:val="32"/>
          <w:szCs w:val="32"/>
        </w:rPr>
      </w:pPr>
      <w:r>
        <w:rPr>
          <w:rFonts w:hint="eastAsia" w:ascii="宋体" w:hAnsi="宋体"/>
          <w:b/>
          <w:spacing w:val="-6"/>
          <w:sz w:val="32"/>
          <w:szCs w:val="32"/>
        </w:rPr>
        <w:t xml:space="preserve"> 浙江大学-爱丁堡生物学联合研究中心设备采购项目</w:t>
      </w:r>
    </w:p>
    <w:p>
      <w:pPr>
        <w:ind w:firstLine="619" w:firstLineChars="200"/>
        <w:jc w:val="center"/>
        <w:rPr>
          <w:rFonts w:ascii="宋体" w:hAnsi="宋体"/>
          <w:b/>
          <w:spacing w:val="-6"/>
          <w:sz w:val="32"/>
          <w:szCs w:val="32"/>
        </w:rPr>
      </w:pPr>
      <w:r>
        <w:rPr>
          <w:rFonts w:hint="eastAsia" w:ascii="宋体" w:hAnsi="宋体"/>
          <w:b/>
          <w:spacing w:val="-6"/>
          <w:sz w:val="32"/>
          <w:szCs w:val="32"/>
        </w:rPr>
        <w:t>（</w:t>
      </w:r>
      <w:r>
        <w:rPr>
          <w:rFonts w:hint="eastAsia" w:ascii="宋体" w:hAnsi="宋体"/>
          <w:b/>
          <w:bCs/>
          <w:sz w:val="30"/>
          <w:szCs w:val="30"/>
        </w:rPr>
        <w:t>报价、商务技术文件</w:t>
      </w:r>
      <w:r>
        <w:rPr>
          <w:rFonts w:hint="eastAsia" w:ascii="宋体" w:hAnsi="宋体"/>
          <w:b/>
          <w:spacing w:val="-6"/>
          <w:sz w:val="32"/>
          <w:szCs w:val="32"/>
        </w:rPr>
        <w:t>）</w:t>
      </w:r>
    </w:p>
    <w:p>
      <w:pPr>
        <w:jc w:val="center"/>
        <w:rPr>
          <w:rFonts w:ascii="宋体" w:hAnsi="宋体"/>
          <w:b/>
          <w:spacing w:val="-6"/>
          <w:sz w:val="52"/>
          <w:szCs w:val="72"/>
        </w:rPr>
      </w:pPr>
    </w:p>
    <w:p>
      <w:pPr>
        <w:jc w:val="center"/>
        <w:rPr>
          <w:rFonts w:ascii="宋体" w:hAnsi="宋体"/>
          <w:b/>
          <w:spacing w:val="-6"/>
          <w:sz w:val="70"/>
          <w:szCs w:val="70"/>
        </w:rPr>
      </w:pPr>
      <w:r>
        <w:rPr>
          <w:rFonts w:hint="eastAsia" w:ascii="宋体" w:hAnsi="宋体"/>
          <w:b/>
          <w:spacing w:val="-6"/>
          <w:sz w:val="70"/>
          <w:szCs w:val="70"/>
        </w:rPr>
        <w:t>响</w:t>
      </w:r>
    </w:p>
    <w:p>
      <w:pPr>
        <w:jc w:val="center"/>
        <w:rPr>
          <w:rFonts w:ascii="宋体" w:hAnsi="宋体"/>
          <w:b/>
          <w:spacing w:val="-6"/>
          <w:sz w:val="70"/>
          <w:szCs w:val="70"/>
        </w:rPr>
      </w:pPr>
      <w:r>
        <w:rPr>
          <w:rFonts w:hint="eastAsia" w:ascii="宋体" w:hAnsi="宋体"/>
          <w:b/>
          <w:spacing w:val="-6"/>
          <w:sz w:val="70"/>
          <w:szCs w:val="70"/>
        </w:rPr>
        <w:t xml:space="preserve">应 </w:t>
      </w:r>
    </w:p>
    <w:p>
      <w:pPr>
        <w:jc w:val="center"/>
        <w:rPr>
          <w:rFonts w:ascii="宋体" w:hAnsi="宋体"/>
          <w:b/>
          <w:spacing w:val="-6"/>
          <w:sz w:val="70"/>
          <w:szCs w:val="70"/>
        </w:rPr>
      </w:pPr>
      <w:r>
        <w:rPr>
          <w:rFonts w:hint="eastAsia" w:ascii="宋体" w:hAnsi="宋体"/>
          <w:b/>
          <w:spacing w:val="-6"/>
          <w:sz w:val="70"/>
          <w:szCs w:val="70"/>
        </w:rPr>
        <w:t>文</w:t>
      </w:r>
    </w:p>
    <w:p>
      <w:pPr>
        <w:jc w:val="center"/>
        <w:rPr>
          <w:rFonts w:ascii="宋体" w:hAnsi="宋体"/>
          <w:b/>
          <w:spacing w:val="-6"/>
          <w:sz w:val="52"/>
          <w:szCs w:val="72"/>
        </w:rPr>
      </w:pPr>
      <w:r>
        <w:rPr>
          <w:rFonts w:hint="eastAsia" w:ascii="宋体" w:hAnsi="宋体"/>
          <w:b/>
          <w:spacing w:val="-6"/>
          <w:sz w:val="70"/>
          <w:szCs w:val="70"/>
        </w:rPr>
        <w:t>件</w:t>
      </w:r>
    </w:p>
    <w:p>
      <w:pPr>
        <w:jc w:val="center"/>
        <w:rPr>
          <w:rFonts w:ascii="宋体" w:hAnsi="宋体"/>
          <w:sz w:val="44"/>
          <w:szCs w:val="44"/>
        </w:rPr>
      </w:pPr>
    </w:p>
    <w:p>
      <w:pPr>
        <w:ind w:firstLine="619" w:firstLineChars="200"/>
        <w:rPr>
          <w:rFonts w:ascii="宋体" w:hAnsi="宋体"/>
          <w:b/>
          <w:spacing w:val="-6"/>
          <w:sz w:val="32"/>
          <w:szCs w:val="32"/>
        </w:rPr>
      </w:pPr>
      <w:r>
        <w:rPr>
          <w:rFonts w:hint="eastAsia" w:ascii="宋体" w:hAnsi="宋体"/>
          <w:b/>
          <w:spacing w:val="-6"/>
          <w:sz w:val="32"/>
          <w:szCs w:val="32"/>
        </w:rPr>
        <w:t>项目编号：</w:t>
      </w:r>
      <w:r>
        <w:rPr>
          <w:rFonts w:hint="eastAsia" w:ascii="宋体" w:hAnsi="宋体"/>
          <w:b/>
          <w:bCs/>
          <w:sz w:val="32"/>
          <w:szCs w:val="32"/>
        </w:rPr>
        <w:t xml:space="preserve">ZJWSBJ-ZJU-2020078C </w:t>
      </w:r>
    </w:p>
    <w:p>
      <w:pPr>
        <w:ind w:firstLine="619" w:firstLineChars="200"/>
        <w:rPr>
          <w:rFonts w:ascii="宋体" w:hAnsi="宋体"/>
          <w:b/>
          <w:spacing w:val="-6"/>
          <w:sz w:val="32"/>
          <w:szCs w:val="32"/>
        </w:rPr>
      </w:pPr>
      <w:r>
        <w:rPr>
          <w:rFonts w:hint="eastAsia" w:ascii="宋体" w:hAnsi="宋体"/>
          <w:b/>
          <w:spacing w:val="-6"/>
          <w:sz w:val="32"/>
          <w:szCs w:val="32"/>
        </w:rPr>
        <w:t>响应供应商名称（盖章）：</w:t>
      </w:r>
    </w:p>
    <w:p>
      <w:pPr>
        <w:ind w:firstLine="619" w:firstLineChars="200"/>
        <w:rPr>
          <w:rFonts w:ascii="宋体" w:hAnsi="宋体"/>
          <w:b/>
          <w:spacing w:val="-6"/>
          <w:sz w:val="32"/>
          <w:szCs w:val="32"/>
        </w:rPr>
      </w:pPr>
      <w:r>
        <w:rPr>
          <w:rFonts w:hint="eastAsia" w:ascii="宋体" w:hAnsi="宋体"/>
          <w:b/>
          <w:spacing w:val="-6"/>
          <w:sz w:val="32"/>
          <w:szCs w:val="32"/>
        </w:rPr>
        <w:t>响应供应商地址：</w:t>
      </w:r>
    </w:p>
    <w:p>
      <w:pPr>
        <w:ind w:firstLine="619" w:firstLineChars="200"/>
        <w:rPr>
          <w:rFonts w:ascii="宋体" w:hAnsi="宋体"/>
          <w:b/>
          <w:spacing w:val="-6"/>
          <w:sz w:val="32"/>
          <w:szCs w:val="32"/>
        </w:rPr>
      </w:pPr>
      <w:r>
        <w:rPr>
          <w:rFonts w:hint="eastAsia" w:ascii="宋体" w:hAnsi="宋体"/>
          <w:b/>
          <w:spacing w:val="-6"/>
          <w:sz w:val="32"/>
          <w:szCs w:val="32"/>
        </w:rPr>
        <w:t>授权代表签字：</w:t>
      </w:r>
    </w:p>
    <w:p>
      <w:pPr>
        <w:ind w:firstLine="619" w:firstLineChars="200"/>
        <w:rPr>
          <w:rFonts w:ascii="宋体" w:hAnsi="宋体"/>
          <w:b/>
          <w:spacing w:val="-6"/>
          <w:sz w:val="32"/>
          <w:szCs w:val="32"/>
        </w:rPr>
      </w:pPr>
      <w:r>
        <w:rPr>
          <w:rFonts w:hint="eastAsia" w:ascii="宋体" w:hAnsi="宋体"/>
          <w:b/>
          <w:spacing w:val="-6"/>
          <w:sz w:val="32"/>
          <w:szCs w:val="32"/>
        </w:rPr>
        <w:t>日期：    年  月  日</w:t>
      </w:r>
    </w:p>
    <w:p>
      <w:pPr>
        <w:pStyle w:val="6"/>
        <w:rPr>
          <w:rFonts w:ascii="宋体" w:hAnsi="宋体" w:cs="宋体"/>
        </w:rPr>
      </w:pPr>
      <w:r>
        <w:rPr>
          <w:rFonts w:hint="eastAsia" w:ascii="宋体" w:hAnsi="宋体" w:cs="宋体"/>
        </w:rPr>
        <w:t>商务技术评分索引表（必填，放在目录前页）</w:t>
      </w:r>
    </w:p>
    <w:tbl>
      <w:tblPr>
        <w:tblStyle w:val="27"/>
        <w:tblW w:w="0" w:type="auto"/>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序号</w:t>
            </w:r>
          </w:p>
        </w:tc>
        <w:tc>
          <w:tcPr>
            <w:tcW w:w="851" w:type="dxa"/>
            <w:tcBorders>
              <w:top w:val="single" w:color="auto" w:sz="8" w:space="0"/>
              <w:left w:val="nil"/>
              <w:bottom w:val="nil"/>
              <w:right w:val="single" w:color="auto" w:sz="8"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评分</w:t>
            </w:r>
          </w:p>
          <w:p>
            <w:pPr>
              <w:widowControl/>
              <w:jc w:val="center"/>
              <w:rPr>
                <w:rFonts w:ascii="宋体" w:hAnsi="宋体"/>
                <w:kern w:val="0"/>
                <w:szCs w:val="21"/>
              </w:rPr>
            </w:pPr>
            <w:r>
              <w:rPr>
                <w:rFonts w:hint="eastAsia" w:ascii="宋体" w:hAnsi="宋体"/>
                <w:kern w:val="0"/>
                <w:szCs w:val="21"/>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响应文件页码</w:t>
            </w:r>
          </w:p>
        </w:tc>
      </w:tr>
      <w:tr>
        <w:tblPrEx>
          <w:tblCellMar>
            <w:top w:w="0" w:type="dxa"/>
            <w:left w:w="108" w:type="dxa"/>
            <w:bottom w:w="0" w:type="dxa"/>
            <w:right w:w="108" w:type="dxa"/>
          </w:tblCellMar>
        </w:tblPrEx>
        <w:trPr>
          <w:trHeight w:val="476"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资信分</w:t>
            </w: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Cs w:val="21"/>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51" w:type="dxa"/>
            <w:vMerge w:val="continue"/>
            <w:tcBorders>
              <w:left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Cs w:val="21"/>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51"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kern w:val="0"/>
                <w:szCs w:val="21"/>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宋体" w:hAnsi="宋体"/>
                <w:kern w:val="0"/>
                <w:szCs w:val="21"/>
              </w:rPr>
            </w:pPr>
            <w:r>
              <w:rPr>
                <w:rFonts w:hint="eastAsia" w:ascii="宋体" w:hAnsi="宋体"/>
                <w:kern w:val="0"/>
                <w:szCs w:val="21"/>
              </w:rPr>
              <w:t>2</w:t>
            </w:r>
          </w:p>
        </w:tc>
        <w:tc>
          <w:tcPr>
            <w:tcW w:w="851"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r>
              <w:rPr>
                <w:rFonts w:hint="eastAsia" w:ascii="宋体" w:hAnsi="宋体"/>
                <w:kern w:val="0"/>
                <w:szCs w:val="21"/>
              </w:rPr>
              <w:t>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rFonts w:ascii="宋体" w:hAnsi="宋体"/>
                <w:szCs w:val="32"/>
              </w:rPr>
            </w:pPr>
          </w:p>
        </w:tc>
        <w:tc>
          <w:tcPr>
            <w:tcW w:w="850" w:type="dxa"/>
            <w:vMerge w:val="restart"/>
            <w:tcBorders>
              <w:top w:val="single" w:color="auto" w:sz="4" w:space="0"/>
              <w:left w:val="single" w:color="auto" w:sz="4" w:space="0"/>
              <w:right w:val="single" w:color="auto" w:sz="4" w:space="0"/>
            </w:tcBorders>
            <w:shd w:val="clear" w:color="000000" w:fill="FFFFFF"/>
            <w:vAlign w:val="center"/>
          </w:tcPr>
          <w:p>
            <w:pPr>
              <w:jc w:val="center"/>
              <w:rPr>
                <w:rFonts w:ascii="宋体" w:hAnsi="宋体"/>
                <w:kern w:val="0"/>
                <w:szCs w:val="21"/>
              </w:rPr>
            </w:pPr>
            <w:r>
              <w:rPr>
                <w:rFonts w:hint="eastAsia" w:ascii="宋体" w:hAnsi="宋体"/>
                <w:kern w:val="0"/>
                <w:szCs w:val="21"/>
              </w:rPr>
              <w:t>专家自主评分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400" w:lineRule="atLeast"/>
              <w:rPr>
                <w:rFonts w:ascii="宋体" w:hAnsi="宋体"/>
                <w:szCs w:val="32"/>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rFonts w:ascii="宋体" w:hAnsi="宋体"/>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54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rPr>
                <w:rFonts w:ascii="宋体" w:hAnsi="宋体"/>
              </w:rPr>
            </w:pPr>
          </w:p>
        </w:tc>
        <w:tc>
          <w:tcPr>
            <w:tcW w:w="850" w:type="dxa"/>
            <w:vMerge w:val="continue"/>
            <w:tcBorders>
              <w:left w:val="single" w:color="auto" w:sz="4" w:space="0"/>
              <w:right w:val="single" w:color="auto" w:sz="4" w:space="0"/>
            </w:tcBorders>
            <w:shd w:val="clear" w:color="000000" w:fill="FFFFFF"/>
            <w:vAlign w:val="center"/>
          </w:tcPr>
          <w:p>
            <w:pPr>
              <w:ind w:firstLine="480"/>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424"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Cs w:val="21"/>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jc w:val="left"/>
              <w:rPr>
                <w:rFonts w:ascii="宋体" w:hAnsi="宋体"/>
              </w:rPr>
            </w:pPr>
          </w:p>
        </w:tc>
        <w:tc>
          <w:tcPr>
            <w:tcW w:w="850" w:type="dxa"/>
            <w:vMerge w:val="continue"/>
            <w:tcBorders>
              <w:left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r>
        <w:tblPrEx>
          <w:tblCellMar>
            <w:top w:w="0" w:type="dxa"/>
            <w:left w:w="108" w:type="dxa"/>
            <w:bottom w:w="0" w:type="dxa"/>
            <w:right w:w="108" w:type="dxa"/>
          </w:tblCellMar>
        </w:tblPrEx>
        <w:trPr>
          <w:trHeight w:val="543"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kern w:val="0"/>
                <w:szCs w:val="21"/>
              </w:rPr>
            </w:pPr>
          </w:p>
        </w:tc>
        <w:tc>
          <w:tcPr>
            <w:tcW w:w="8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ind w:firstLine="480"/>
              <w:jc w:val="center"/>
              <w:rPr>
                <w:rFonts w:ascii="宋体" w:hAnsi="宋体"/>
                <w:kern w:val="0"/>
                <w:szCs w:val="21"/>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400" w:lineRule="atLeast"/>
              <w:rPr>
                <w:rFonts w:ascii="宋体" w:hAnsi="宋体"/>
              </w:rPr>
            </w:pPr>
          </w:p>
        </w:tc>
        <w:tc>
          <w:tcPr>
            <w:tcW w:w="850" w:type="dxa"/>
            <w:vMerge w:val="continue"/>
            <w:tcBorders>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kern w:val="0"/>
                <w:szCs w:val="21"/>
              </w:rPr>
            </w:pPr>
          </w:p>
        </w:tc>
      </w:tr>
    </w:tbl>
    <w:p>
      <w:pPr>
        <w:pStyle w:val="6"/>
        <w:jc w:val="center"/>
        <w:rPr>
          <w:rStyle w:val="45"/>
          <w:rFonts w:ascii="宋体" w:hAnsi="宋体"/>
          <w:b w:val="0"/>
          <w:bCs/>
        </w:rPr>
      </w:pPr>
      <w:r>
        <w:rPr>
          <w:rFonts w:hint="eastAsia" w:ascii="宋体" w:hAnsi="宋体" w:cs="宋体"/>
        </w:rPr>
        <w:br w:type="page"/>
      </w:r>
      <w:r>
        <w:rPr>
          <w:rFonts w:hint="eastAsia" w:ascii="宋体" w:hAnsi="宋体" w:cs="宋体"/>
          <w:sz w:val="32"/>
          <w:szCs w:val="32"/>
        </w:rPr>
        <w:t>响应声明书</w:t>
      </w:r>
    </w:p>
    <w:p>
      <w:pPr>
        <w:pStyle w:val="2"/>
        <w:rPr>
          <w:rFonts w:ascii="宋体" w:hAnsi="宋体" w:eastAsia="宋体" w:cs="宋体"/>
          <w:color w:val="auto"/>
        </w:rPr>
      </w:pPr>
    </w:p>
    <w:p>
      <w:pPr>
        <w:rPr>
          <w:rFonts w:ascii="宋体" w:hAnsi="宋体"/>
          <w:spacing w:val="-6"/>
        </w:rPr>
      </w:pPr>
      <w:r>
        <w:rPr>
          <w:rFonts w:hint="eastAsia" w:ascii="宋体" w:hAnsi="宋体"/>
          <w:spacing w:val="-6"/>
        </w:rPr>
        <w:t>致：浙江五石工程咨询有限公司：</w:t>
      </w:r>
    </w:p>
    <w:p>
      <w:pPr>
        <w:ind w:firstLine="456" w:firstLineChars="200"/>
        <w:rPr>
          <w:rFonts w:ascii="宋体" w:hAnsi="宋体"/>
          <w:spacing w:val="-6"/>
        </w:rPr>
      </w:pPr>
      <w:r>
        <w:rPr>
          <w:rFonts w:hint="eastAsia" w:ascii="宋体" w:hAnsi="宋体"/>
          <w:spacing w:val="-6"/>
          <w:u w:val="single"/>
        </w:rPr>
        <w:t>（磋商响应供应商名称）</w:t>
      </w:r>
      <w:r>
        <w:rPr>
          <w:rFonts w:hint="eastAsia" w:ascii="宋体" w:hAnsi="宋体"/>
          <w:spacing w:val="-6"/>
        </w:rPr>
        <w:t>系中华人民共和国合法企业，经营地址</w:t>
      </w:r>
      <w:r>
        <w:rPr>
          <w:rFonts w:hint="eastAsia" w:ascii="宋体" w:hAnsi="宋体"/>
          <w:spacing w:val="-6"/>
          <w:u w:val="single"/>
        </w:rPr>
        <w:t xml:space="preserve">           </w:t>
      </w:r>
      <w:r>
        <w:rPr>
          <w:rFonts w:hint="eastAsia" w:ascii="宋体" w:hAnsi="宋体"/>
          <w:spacing w:val="-6"/>
        </w:rPr>
        <w:t>。</w:t>
      </w:r>
    </w:p>
    <w:p>
      <w:pPr>
        <w:ind w:firstLine="456" w:firstLineChars="200"/>
        <w:rPr>
          <w:rFonts w:ascii="宋体" w:hAnsi="宋体"/>
          <w:spacing w:val="-6"/>
        </w:rPr>
      </w:pPr>
      <w:r>
        <w:rPr>
          <w:rFonts w:hint="eastAsia" w:ascii="宋体" w:hAnsi="宋体"/>
          <w:spacing w:val="-6"/>
        </w:rPr>
        <w:t>我方愿意参加贵方组织的</w:t>
      </w:r>
      <w:r>
        <w:rPr>
          <w:rFonts w:hint="eastAsia" w:ascii="宋体" w:hAnsi="宋体"/>
          <w:bCs/>
          <w:spacing w:val="-6"/>
          <w:u w:val="single"/>
        </w:rPr>
        <w:t>（项目名称）</w:t>
      </w:r>
      <w:r>
        <w:rPr>
          <w:rFonts w:hint="eastAsia" w:ascii="宋体" w:hAnsi="宋体"/>
          <w:bCs/>
          <w:spacing w:val="-6"/>
        </w:rPr>
        <w:t>项目</w:t>
      </w:r>
      <w:r>
        <w:rPr>
          <w:rFonts w:hint="eastAsia" w:ascii="宋体" w:hAnsi="宋体"/>
          <w:spacing w:val="-6"/>
        </w:rPr>
        <w:t>的磋商响应，为便于贵方公正、择优地确定成交供应商及其磋商响应产品和服务，我方就本次磋商有关事项郑重声明如下：</w:t>
      </w:r>
    </w:p>
    <w:p>
      <w:pPr>
        <w:ind w:firstLine="456" w:firstLineChars="200"/>
        <w:rPr>
          <w:rFonts w:ascii="宋体" w:hAnsi="宋体"/>
          <w:spacing w:val="-6"/>
        </w:rPr>
      </w:pPr>
      <w:r>
        <w:rPr>
          <w:rFonts w:hint="eastAsia" w:ascii="宋体" w:hAnsi="宋体"/>
          <w:spacing w:val="-6"/>
        </w:rPr>
        <w:t>一、 我方向贵方提交的所有响应文件、资料都是准确的和真实的；</w:t>
      </w:r>
    </w:p>
    <w:p>
      <w:pPr>
        <w:ind w:firstLine="456" w:firstLineChars="200"/>
        <w:rPr>
          <w:rFonts w:ascii="宋体" w:hAnsi="宋体"/>
          <w:spacing w:val="-6"/>
        </w:rPr>
      </w:pPr>
      <w:r>
        <w:rPr>
          <w:rFonts w:hint="eastAsia" w:ascii="宋体" w:hAnsi="宋体"/>
          <w:spacing w:val="-6"/>
        </w:rPr>
        <w:t>二、我方不是采购人的附属机构；在获知本项目采购信息后，与采购人聘请的为此项目提供咨询服务的公司及其附属机构没有任何联系。</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三、我方最近三年内的被公开披露或查处的违法违规行为有：</w:t>
      </w:r>
    </w:p>
    <w:p>
      <w:pPr>
        <w:ind w:firstLine="456" w:firstLineChars="200"/>
        <w:rPr>
          <w:rFonts w:ascii="宋体" w:hAnsi="宋体"/>
          <w:spacing w:val="-6"/>
          <w:u w:val="single"/>
        </w:rPr>
      </w:pPr>
      <w:r>
        <w:rPr>
          <w:rFonts w:hint="eastAsia" w:ascii="宋体" w:hAnsi="宋体"/>
          <w:spacing w:val="-6"/>
          <w:u w:val="single"/>
        </w:rPr>
        <w:t>　　　　　　　　　　　　　　　　　　　　　　　　　　　</w:t>
      </w:r>
    </w:p>
    <w:p>
      <w:pPr>
        <w:ind w:firstLine="456" w:firstLineChars="200"/>
        <w:rPr>
          <w:rFonts w:ascii="宋体" w:hAnsi="宋体"/>
          <w:spacing w:val="-6"/>
          <w:u w:val="single"/>
        </w:rPr>
      </w:pPr>
      <w:r>
        <w:rPr>
          <w:rFonts w:hint="eastAsia" w:ascii="宋体" w:hAnsi="宋体"/>
          <w:spacing w:val="-6"/>
          <w:u w:val="single"/>
        </w:rPr>
        <w:t>　　　　　　　　　　　　　　　　　　　　　　　　　　　</w:t>
      </w:r>
    </w:p>
    <w:p>
      <w:pPr>
        <w:pStyle w:val="12"/>
        <w:spacing w:line="360" w:lineRule="auto"/>
        <w:ind w:firstLine="456" w:firstLineChars="200"/>
        <w:rPr>
          <w:rFonts w:hAnsi="宋体" w:cs="宋体"/>
          <w:spacing w:val="-6"/>
          <w:sz w:val="24"/>
          <w:szCs w:val="24"/>
        </w:rPr>
      </w:pPr>
      <w:r>
        <w:rPr>
          <w:rFonts w:hint="eastAsia" w:hAnsi="宋体" w:cs="宋体"/>
          <w:spacing w:val="-6"/>
          <w:sz w:val="24"/>
          <w:szCs w:val="24"/>
        </w:rPr>
        <w:t>六、 以上事项如有虚假或隐瞒，我方愿意承担一切后果和责任。</w:t>
      </w:r>
    </w:p>
    <w:p>
      <w:pPr>
        <w:pStyle w:val="69"/>
        <w:rPr>
          <w:rFonts w:ascii="宋体" w:hAnsi="宋体"/>
          <w:spacing w:val="-6"/>
          <w:szCs w:val="24"/>
        </w:rPr>
      </w:pPr>
    </w:p>
    <w:p>
      <w:pPr>
        <w:pStyle w:val="69"/>
        <w:rPr>
          <w:rFonts w:ascii="宋体" w:hAnsi="宋体"/>
          <w:spacing w:val="-6"/>
          <w:szCs w:val="24"/>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授权代表签字：</w:t>
      </w:r>
    </w:p>
    <w:p>
      <w:pPr>
        <w:rPr>
          <w:rFonts w:ascii="宋体" w:hAnsi="宋体"/>
          <w:spacing w:val="-6"/>
        </w:rPr>
      </w:pPr>
      <w:r>
        <w:rPr>
          <w:rFonts w:hint="eastAsia" w:ascii="宋体" w:hAnsi="宋体"/>
          <w:bCs/>
          <w:spacing w:val="-6"/>
        </w:rPr>
        <w:t>日期：    年  月  日</w:t>
      </w:r>
    </w:p>
    <w:p>
      <w:pPr>
        <w:pStyle w:val="6"/>
        <w:jc w:val="center"/>
        <w:rPr>
          <w:rFonts w:ascii="宋体" w:hAnsi="宋体" w:cs="宋体"/>
          <w:sz w:val="32"/>
          <w:szCs w:val="32"/>
        </w:rPr>
      </w:pPr>
      <w:r>
        <w:rPr>
          <w:rFonts w:hint="eastAsia" w:ascii="宋体" w:hAnsi="宋体" w:cs="宋体"/>
          <w:b w:val="0"/>
          <w:spacing w:val="-6"/>
        </w:rPr>
        <w:br w:type="page"/>
      </w:r>
      <w:r>
        <w:rPr>
          <w:rFonts w:hint="eastAsia" w:ascii="宋体" w:hAnsi="宋体" w:cs="宋体"/>
          <w:sz w:val="32"/>
          <w:szCs w:val="32"/>
        </w:rPr>
        <w:t>响 应 函</w:t>
      </w:r>
    </w:p>
    <w:p>
      <w:pPr>
        <w:rPr>
          <w:rFonts w:ascii="宋体" w:hAnsi="宋体"/>
          <w:spacing w:val="-6"/>
        </w:rPr>
      </w:pPr>
      <w:r>
        <w:rPr>
          <w:rFonts w:hint="eastAsia" w:ascii="宋体" w:hAnsi="宋体"/>
          <w:spacing w:val="-6"/>
        </w:rPr>
        <w:t>致：浙江五石工程咨询有限公司：</w:t>
      </w:r>
    </w:p>
    <w:p>
      <w:pPr>
        <w:ind w:firstLine="456" w:firstLineChars="200"/>
        <w:rPr>
          <w:rFonts w:ascii="宋体" w:hAnsi="宋体"/>
          <w:spacing w:val="-6"/>
        </w:rPr>
      </w:pPr>
      <w:r>
        <w:rPr>
          <w:rFonts w:hint="eastAsia" w:ascii="宋体" w:hAnsi="宋体"/>
          <w:spacing w:val="-6"/>
        </w:rPr>
        <w:t>根据贵方为</w:t>
      </w:r>
      <w:r>
        <w:rPr>
          <w:rFonts w:hint="eastAsia" w:ascii="宋体" w:hAnsi="宋体"/>
          <w:bCs/>
          <w:spacing w:val="-6"/>
          <w:u w:val="single"/>
        </w:rPr>
        <w:t xml:space="preserve">          </w:t>
      </w:r>
      <w:r>
        <w:rPr>
          <w:rFonts w:hint="eastAsia" w:ascii="宋体" w:hAnsi="宋体"/>
          <w:bCs/>
          <w:spacing w:val="-6"/>
        </w:rPr>
        <w:t>（项目名称）</w:t>
      </w:r>
      <w:r>
        <w:rPr>
          <w:rFonts w:hint="eastAsia" w:ascii="宋体" w:hAnsi="宋体"/>
          <w:spacing w:val="-6"/>
        </w:rPr>
        <w:t>的采购公告（项目编号</w:t>
      </w:r>
      <w:r>
        <w:rPr>
          <w:rFonts w:hint="eastAsia" w:ascii="宋体" w:hAnsi="宋体"/>
          <w:bCs/>
          <w:spacing w:val="-6"/>
        </w:rPr>
        <w:t>：</w:t>
      </w:r>
      <w:r>
        <w:rPr>
          <w:rFonts w:hint="eastAsia" w:ascii="宋体" w:hAnsi="宋体"/>
          <w:bCs/>
          <w:spacing w:val="-6"/>
          <w:u w:val="single"/>
        </w:rPr>
        <w:t xml:space="preserve">   </w:t>
      </w:r>
      <w:r>
        <w:rPr>
          <w:rFonts w:hint="eastAsia" w:ascii="宋体" w:hAnsi="宋体"/>
          <w:bCs/>
          <w:spacing w:val="-6"/>
        </w:rPr>
        <w:t>）</w:t>
      </w:r>
      <w:r>
        <w:rPr>
          <w:rFonts w:hint="eastAsia" w:ascii="宋体" w:hAnsi="宋体"/>
          <w:spacing w:val="-6"/>
        </w:rPr>
        <w:t>，签字代表</w:t>
      </w:r>
      <w:r>
        <w:rPr>
          <w:rFonts w:hint="eastAsia" w:ascii="宋体" w:hAnsi="宋体"/>
          <w:spacing w:val="-6"/>
          <w:u w:val="single"/>
        </w:rPr>
        <w:t xml:space="preserve">    </w:t>
      </w:r>
      <w:r>
        <w:rPr>
          <w:rFonts w:hint="eastAsia" w:ascii="宋体" w:hAnsi="宋体"/>
          <w:spacing w:val="-6"/>
        </w:rPr>
        <w:t>（全名）经正式授权并代表__________（磋商响应供应商名称）提交报价、商务和技术文件正本</w:t>
      </w:r>
      <w:r>
        <w:rPr>
          <w:rFonts w:hint="eastAsia" w:ascii="宋体" w:hAnsi="宋体"/>
          <w:spacing w:val="-6"/>
          <w:u w:val="single"/>
        </w:rPr>
        <w:t>一</w:t>
      </w:r>
      <w:r>
        <w:rPr>
          <w:rFonts w:hint="eastAsia" w:ascii="宋体" w:hAnsi="宋体"/>
          <w:spacing w:val="-6"/>
        </w:rPr>
        <w:t>份、副本</w:t>
      </w:r>
      <w:r>
        <w:rPr>
          <w:rFonts w:hint="eastAsia" w:ascii="宋体" w:hAnsi="宋体"/>
          <w:spacing w:val="-6"/>
          <w:u w:val="single"/>
        </w:rPr>
        <w:t xml:space="preserve">    </w:t>
      </w:r>
      <w:r>
        <w:rPr>
          <w:rFonts w:hint="eastAsia" w:ascii="宋体" w:hAnsi="宋体"/>
          <w:spacing w:val="-6"/>
        </w:rPr>
        <w:t>份。</w:t>
      </w:r>
    </w:p>
    <w:p>
      <w:pPr>
        <w:ind w:firstLine="456" w:firstLineChars="200"/>
        <w:rPr>
          <w:rFonts w:ascii="宋体" w:hAnsi="宋体"/>
          <w:spacing w:val="-6"/>
        </w:rPr>
      </w:pPr>
      <w:r>
        <w:rPr>
          <w:rFonts w:hint="eastAsia" w:ascii="宋体" w:hAnsi="宋体"/>
          <w:spacing w:val="-6"/>
        </w:rPr>
        <w:t>据此函，签字代表宣布同意如下：</w:t>
      </w:r>
    </w:p>
    <w:p>
      <w:pPr>
        <w:ind w:firstLine="456" w:firstLineChars="200"/>
        <w:rPr>
          <w:rFonts w:ascii="宋体" w:hAnsi="宋体"/>
          <w:spacing w:val="-6"/>
        </w:rPr>
      </w:pPr>
      <w:r>
        <w:rPr>
          <w:rFonts w:hint="eastAsia" w:ascii="宋体" w:hAnsi="宋体"/>
          <w:spacing w:val="-6"/>
        </w:rPr>
        <w:t>一、我方已详细审查全部“磋商文件”，包括修改文件（如有的话）以及全部参考资料和有关附件，已经了解我方对于磋商文件、采购过程、采购结果有依法进行询问、质疑、投诉的权利及相关渠道和要求。</w:t>
      </w:r>
    </w:p>
    <w:p>
      <w:pPr>
        <w:ind w:firstLine="456" w:firstLineChars="200"/>
        <w:rPr>
          <w:rFonts w:ascii="宋体" w:hAnsi="宋体"/>
          <w:spacing w:val="-6"/>
        </w:rPr>
      </w:pPr>
      <w:r>
        <w:rPr>
          <w:rFonts w:hint="eastAsia" w:ascii="宋体" w:hAnsi="宋体"/>
          <w:spacing w:val="-6"/>
        </w:rPr>
        <w:t>二、我方在磋商响应之前已经与贵方进行了充分的沟通，完全理解并接受磋商文件的各项规定和要求，对磋商文件的合理性、合法性不再有异议。</w:t>
      </w:r>
    </w:p>
    <w:p>
      <w:pPr>
        <w:ind w:firstLine="456" w:firstLineChars="200"/>
        <w:rPr>
          <w:rFonts w:ascii="宋体" w:hAnsi="宋体"/>
          <w:spacing w:val="-6"/>
        </w:rPr>
      </w:pPr>
      <w:r>
        <w:rPr>
          <w:rFonts w:hint="eastAsia" w:ascii="宋体" w:hAnsi="宋体"/>
          <w:spacing w:val="-6"/>
        </w:rPr>
        <w:t>三、 本磋商响应有效期自响应文件开启日起</w:t>
      </w:r>
      <w:r>
        <w:rPr>
          <w:rFonts w:hint="eastAsia" w:ascii="宋体" w:hAnsi="宋体"/>
          <w:bCs/>
          <w:spacing w:val="-6"/>
          <w:u w:val="single"/>
        </w:rPr>
        <w:t xml:space="preserve">     </w:t>
      </w:r>
      <w:r>
        <w:rPr>
          <w:rFonts w:hint="eastAsia" w:ascii="宋体" w:hAnsi="宋体"/>
          <w:spacing w:val="-6"/>
        </w:rPr>
        <w:t>个日历日。</w:t>
      </w:r>
    </w:p>
    <w:p>
      <w:pPr>
        <w:ind w:firstLine="456" w:firstLineChars="200"/>
        <w:rPr>
          <w:rFonts w:ascii="宋体" w:hAnsi="宋体"/>
          <w:spacing w:val="-6"/>
        </w:rPr>
      </w:pPr>
      <w:r>
        <w:rPr>
          <w:rFonts w:hint="eastAsia" w:ascii="宋体" w:hAnsi="宋体"/>
          <w:spacing w:val="-6"/>
        </w:rPr>
        <w:t>四、如成交，本响应文件至本项目合同履行完毕止均保持有效，我方将按“磋商文件”及采购法律、法规的规定履行合同责任和义务。</w:t>
      </w:r>
    </w:p>
    <w:p>
      <w:pPr>
        <w:ind w:firstLine="456" w:firstLineChars="200"/>
        <w:rPr>
          <w:rFonts w:ascii="宋体" w:hAnsi="宋体"/>
          <w:spacing w:val="-6"/>
        </w:rPr>
      </w:pPr>
      <w:r>
        <w:rPr>
          <w:rFonts w:hint="eastAsia" w:ascii="宋体" w:hAnsi="宋体"/>
          <w:spacing w:val="-6"/>
        </w:rPr>
        <w:t>五、我方同意按照贵方要求提供与磋商有关的一切数据或资料。</w:t>
      </w:r>
    </w:p>
    <w:p>
      <w:pPr>
        <w:ind w:firstLine="480" w:firstLineChars="200"/>
        <w:rPr>
          <w:rFonts w:ascii="宋体" w:hAnsi="宋体"/>
          <w:spacing w:val="-6"/>
        </w:rPr>
      </w:pPr>
      <w:r>
        <w:rPr>
          <w:rFonts w:hint="eastAsia" w:ascii="宋体" w:hAnsi="宋体"/>
        </w:rPr>
        <w:t>六、</w:t>
      </w:r>
      <w:r>
        <w:rPr>
          <w:rFonts w:hint="eastAsia" w:ascii="宋体" w:hAnsi="宋体"/>
          <w:spacing w:val="-6"/>
        </w:rPr>
        <w:t>与本磋商有关的一切正式往来信函请寄：</w:t>
      </w:r>
    </w:p>
    <w:p>
      <w:pPr>
        <w:rPr>
          <w:rFonts w:ascii="宋体" w:hAnsi="宋体"/>
          <w:spacing w:val="-6"/>
        </w:rPr>
      </w:pPr>
    </w:p>
    <w:p>
      <w:pPr>
        <w:rPr>
          <w:rFonts w:ascii="宋体" w:hAnsi="宋体"/>
          <w:spacing w:val="-6"/>
        </w:rPr>
      </w:pPr>
      <w:r>
        <w:rPr>
          <w:rFonts w:hint="eastAsia" w:ascii="宋体" w:hAnsi="宋体"/>
          <w:spacing w:val="-6"/>
        </w:rPr>
        <w:t>地址：_______ 邮编：__________</w:t>
      </w:r>
    </w:p>
    <w:p>
      <w:pPr>
        <w:rPr>
          <w:rFonts w:ascii="宋体" w:hAnsi="宋体"/>
          <w:spacing w:val="-6"/>
        </w:rPr>
      </w:pPr>
      <w:r>
        <w:rPr>
          <w:rFonts w:hint="eastAsia" w:ascii="宋体" w:hAnsi="宋体"/>
          <w:spacing w:val="-6"/>
        </w:rPr>
        <w:t xml:space="preserve">电话：_________ 传真：______ </w:t>
      </w:r>
    </w:p>
    <w:p>
      <w:pPr>
        <w:rPr>
          <w:rFonts w:ascii="宋体" w:hAnsi="宋体"/>
          <w:spacing w:val="-6"/>
        </w:rPr>
      </w:pPr>
      <w:r>
        <w:rPr>
          <w:rFonts w:hint="eastAsia" w:ascii="宋体" w:hAnsi="宋体"/>
          <w:spacing w:val="-6"/>
        </w:rPr>
        <w:t>磋商响应供应商代表姓名：_________职务：_________移动电话：</w:t>
      </w:r>
      <w:r>
        <w:rPr>
          <w:rFonts w:hint="eastAsia" w:ascii="宋体" w:hAnsi="宋体"/>
          <w:spacing w:val="-6"/>
          <w:u w:val="single"/>
        </w:rPr>
        <w:t xml:space="preserve">                </w:t>
      </w:r>
      <w:r>
        <w:rPr>
          <w:rFonts w:hint="eastAsia" w:ascii="宋体" w:hAnsi="宋体"/>
          <w:spacing w:val="-6"/>
        </w:rPr>
        <w:t xml:space="preserve">    </w:t>
      </w:r>
    </w:p>
    <w:p>
      <w:pPr>
        <w:rPr>
          <w:rFonts w:ascii="宋体" w:hAnsi="宋体"/>
          <w:spacing w:val="-6"/>
        </w:rPr>
      </w:pPr>
      <w:r>
        <w:rPr>
          <w:rFonts w:hint="eastAsia" w:ascii="宋体" w:hAnsi="宋体"/>
          <w:spacing w:val="-6"/>
        </w:rPr>
        <w:t>开户银行：_________</w:t>
      </w:r>
    </w:p>
    <w:p>
      <w:pPr>
        <w:rPr>
          <w:rFonts w:ascii="宋体" w:hAnsi="宋体"/>
          <w:spacing w:val="-6"/>
        </w:rPr>
      </w:pPr>
      <w:r>
        <w:rPr>
          <w:rFonts w:hint="eastAsia" w:ascii="宋体" w:hAnsi="宋体"/>
          <w:spacing w:val="-6"/>
        </w:rPr>
        <w:t>银行帐号：_________</w:t>
      </w:r>
    </w:p>
    <w:p>
      <w:pPr>
        <w:rPr>
          <w:rFonts w:ascii="宋体" w:hAnsi="宋体"/>
          <w:spacing w:val="-6"/>
        </w:rPr>
      </w:pPr>
    </w:p>
    <w:p>
      <w:pPr>
        <w:rPr>
          <w:rFonts w:ascii="宋体" w:hAnsi="宋体"/>
          <w:spacing w:val="-6"/>
        </w:rPr>
      </w:pPr>
      <w:r>
        <w:rPr>
          <w:rFonts w:hint="eastAsia" w:ascii="宋体" w:hAnsi="宋体"/>
          <w:spacing w:val="-6"/>
        </w:rPr>
        <w:t>磋商响应供应商名称（</w:t>
      </w:r>
      <w:r>
        <w:rPr>
          <w:rFonts w:hint="eastAsia" w:ascii="宋体" w:hAnsi="宋体"/>
          <w:bCs/>
          <w:spacing w:val="-6"/>
        </w:rPr>
        <w:t>盖章）</w:t>
      </w:r>
      <w:r>
        <w:rPr>
          <w:rFonts w:hint="eastAsia" w:ascii="宋体" w:hAnsi="宋体"/>
          <w:spacing w:val="-6"/>
        </w:rPr>
        <w:t>：</w:t>
      </w:r>
    </w:p>
    <w:p>
      <w:pPr>
        <w:rPr>
          <w:rFonts w:ascii="宋体" w:hAnsi="宋体"/>
          <w:spacing w:val="-6"/>
        </w:rPr>
      </w:pPr>
      <w:r>
        <w:rPr>
          <w:rFonts w:hint="eastAsia" w:ascii="宋体" w:hAnsi="宋体"/>
          <w:spacing w:val="-6"/>
        </w:rPr>
        <w:t>授权代表签字</w:t>
      </w:r>
      <w:r>
        <w:rPr>
          <w:rFonts w:hint="eastAsia" w:ascii="宋体" w:hAnsi="宋体"/>
          <w:bCs/>
          <w:spacing w:val="-6"/>
        </w:rPr>
        <w:t>：</w:t>
      </w:r>
    </w:p>
    <w:p>
      <w:pPr>
        <w:rPr>
          <w:rFonts w:ascii="宋体" w:hAnsi="宋体"/>
          <w:bCs/>
          <w:spacing w:val="-6"/>
        </w:rPr>
      </w:pPr>
      <w:r>
        <w:rPr>
          <w:rFonts w:hint="eastAsia" w:ascii="宋体" w:hAnsi="宋体"/>
          <w:bCs/>
          <w:spacing w:val="-6"/>
        </w:rPr>
        <w:t>日期：    年  月  日</w:t>
      </w:r>
    </w:p>
    <w:p>
      <w:pPr>
        <w:pStyle w:val="2"/>
        <w:rPr>
          <w:rFonts w:ascii="宋体" w:hAnsi="宋体" w:eastAsia="宋体" w:cs="宋体"/>
          <w:bCs/>
          <w:color w:val="auto"/>
          <w:spacing w:val="-6"/>
        </w:rPr>
      </w:pPr>
    </w:p>
    <w:p>
      <w:pPr>
        <w:pStyle w:val="2"/>
        <w:rPr>
          <w:rFonts w:ascii="宋体" w:hAnsi="宋体" w:eastAsia="宋体" w:cs="宋体"/>
          <w:bCs/>
          <w:color w:val="auto"/>
          <w:spacing w:val="-6"/>
        </w:rPr>
      </w:pPr>
    </w:p>
    <w:p>
      <w:pPr>
        <w:pStyle w:val="2"/>
        <w:rPr>
          <w:rFonts w:ascii="宋体" w:hAnsi="宋体" w:eastAsia="宋体" w:cs="宋体"/>
          <w:bCs/>
          <w:color w:val="auto"/>
          <w:spacing w:val="-6"/>
        </w:rPr>
      </w:pPr>
    </w:p>
    <w:p>
      <w:pPr>
        <w:pStyle w:val="2"/>
        <w:rPr>
          <w:rFonts w:ascii="宋体" w:hAnsi="宋体" w:eastAsia="宋体" w:cs="宋体"/>
          <w:bCs/>
          <w:color w:val="auto"/>
          <w:spacing w:val="-6"/>
        </w:rPr>
      </w:pPr>
    </w:p>
    <w:p>
      <w:pPr>
        <w:pStyle w:val="2"/>
        <w:rPr>
          <w:rFonts w:ascii="宋体" w:hAnsi="宋体" w:eastAsia="宋体" w:cs="宋体"/>
          <w:bCs/>
          <w:color w:val="auto"/>
          <w:spacing w:val="-6"/>
        </w:rPr>
      </w:pPr>
    </w:p>
    <w:p>
      <w:pPr>
        <w:pStyle w:val="6"/>
        <w:jc w:val="center"/>
        <w:rPr>
          <w:rFonts w:ascii="宋体" w:hAnsi="宋体" w:cs="宋体"/>
          <w:sz w:val="32"/>
          <w:szCs w:val="32"/>
        </w:rPr>
      </w:pPr>
      <w:r>
        <w:rPr>
          <w:rFonts w:hint="eastAsia" w:ascii="宋体" w:hAnsi="宋体" w:cs="宋体"/>
          <w:sz w:val="32"/>
          <w:szCs w:val="32"/>
        </w:rPr>
        <w:t>法定代表人资格证明书</w:t>
      </w:r>
    </w:p>
    <w:p>
      <w:pPr>
        <w:rPr>
          <w:rFonts w:ascii="宋体" w:hAnsi="宋体"/>
        </w:rPr>
      </w:pPr>
    </w:p>
    <w:p>
      <w:pPr>
        <w:rPr>
          <w:rFonts w:ascii="宋体" w:hAnsi="宋体"/>
          <w:bCs/>
          <w:spacing w:val="-6"/>
        </w:rPr>
      </w:pPr>
      <w:r>
        <w:rPr>
          <w:rFonts w:hint="eastAsia" w:ascii="宋体" w:hAnsi="宋体"/>
          <w:bCs/>
          <w:spacing w:val="-6"/>
        </w:rPr>
        <w:t>致：浙江大学、浙江五石工程咨询有限公司：</w:t>
      </w:r>
    </w:p>
    <w:p>
      <w:pPr>
        <w:ind w:firstLine="456" w:firstLineChars="200"/>
        <w:rPr>
          <w:rFonts w:ascii="宋体" w:hAnsi="宋体"/>
          <w:bCs/>
          <w:spacing w:val="-6"/>
        </w:rPr>
      </w:pPr>
      <w:r>
        <w:rPr>
          <w:rFonts w:hint="eastAsia" w:ascii="宋体" w:hAnsi="宋体"/>
          <w:bCs/>
          <w:spacing w:val="-6"/>
        </w:rPr>
        <w:t>我</w:t>
      </w:r>
      <w:r>
        <w:rPr>
          <w:rFonts w:hint="eastAsia" w:ascii="宋体" w:hAnsi="宋体"/>
          <w:bCs/>
          <w:spacing w:val="-6"/>
          <w:u w:val="single"/>
        </w:rPr>
        <w:t>（姓名）</w:t>
      </w:r>
      <w:r>
        <w:rPr>
          <w:rFonts w:hint="eastAsia" w:ascii="宋体" w:hAnsi="宋体"/>
          <w:bCs/>
          <w:spacing w:val="-6"/>
        </w:rPr>
        <w:t>系</w:t>
      </w:r>
      <w:r>
        <w:rPr>
          <w:rFonts w:hint="eastAsia" w:ascii="宋体" w:hAnsi="宋体"/>
          <w:bCs/>
          <w:spacing w:val="-6"/>
          <w:u w:val="single"/>
        </w:rPr>
        <w:t>（磋商响应供应商名称）</w:t>
      </w:r>
      <w:r>
        <w:rPr>
          <w:rFonts w:hint="eastAsia" w:ascii="宋体" w:hAnsi="宋体"/>
          <w:bCs/>
          <w:spacing w:val="-6"/>
        </w:rPr>
        <w:t>的法定代表人，身份证号：</w:t>
      </w:r>
      <w:r>
        <w:rPr>
          <w:rFonts w:hint="eastAsia" w:ascii="宋体" w:hAnsi="宋体"/>
          <w:bCs/>
          <w:spacing w:val="-6"/>
          <w:u w:val="single"/>
        </w:rPr>
        <w:t xml:space="preserve">                   </w:t>
      </w:r>
      <w:r>
        <w:rPr>
          <w:rFonts w:hint="eastAsia" w:ascii="宋体" w:hAnsi="宋体"/>
          <w:bCs/>
          <w:spacing w:val="-6"/>
        </w:rPr>
        <w:t>。</w:t>
      </w:r>
    </w:p>
    <w:p>
      <w:pPr>
        <w:ind w:firstLine="456" w:firstLineChars="200"/>
        <w:rPr>
          <w:rFonts w:ascii="宋体" w:hAnsi="宋体"/>
          <w:bCs/>
          <w:spacing w:val="-6"/>
        </w:rPr>
      </w:pPr>
      <w:r>
        <w:rPr>
          <w:rFonts w:hint="eastAsia" w:ascii="宋体" w:hAnsi="宋体"/>
          <w:bCs/>
          <w:spacing w:val="-6"/>
        </w:rPr>
        <w:t>特此证明。</w:t>
      </w:r>
    </w:p>
    <w:p>
      <w:pPr>
        <w:rPr>
          <w:rFonts w:ascii="宋体" w:hAnsi="宋体"/>
          <w:bCs/>
          <w:spacing w:val="-6"/>
        </w:rPr>
      </w:pPr>
    </w:p>
    <w:tbl>
      <w:tblPr>
        <w:tblStyle w:val="27"/>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640" w:type="dxa"/>
          </w:tcPr>
          <w:p>
            <w:pPr>
              <w:rPr>
                <w:rFonts w:ascii="宋体" w:hAnsi="宋体"/>
              </w:rPr>
            </w:pPr>
            <w:r>
              <w:rPr>
                <w:rFonts w:hint="eastAsia" w:ascii="宋体" w:hAnsi="宋体"/>
              </w:rPr>
              <w:t>法定代表人身份证（正、反面复印件粘贴处）</w:t>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bCs/>
                <w:spacing w:val="-6"/>
              </w:rPr>
            </w:pPr>
          </w:p>
        </w:tc>
      </w:tr>
    </w:tbl>
    <w:p>
      <w:pPr>
        <w:rPr>
          <w:rFonts w:ascii="宋体" w:hAnsi="宋体"/>
          <w:bCs/>
          <w:spacing w:val="-6"/>
        </w:rPr>
      </w:pPr>
    </w:p>
    <w:p>
      <w:pPr>
        <w:rPr>
          <w:rFonts w:ascii="宋体" w:hAnsi="宋体"/>
          <w:b/>
          <w:bCs/>
          <w:spacing w:val="-6"/>
        </w:rPr>
      </w:pPr>
    </w:p>
    <w:p>
      <w:pPr>
        <w:pStyle w:val="2"/>
        <w:rPr>
          <w:rFonts w:ascii="宋体" w:hAnsi="宋体" w:eastAsia="宋体" w:cs="宋体"/>
          <w:color w:val="auto"/>
        </w:rPr>
      </w:pPr>
    </w:p>
    <w:p>
      <w:pPr>
        <w:ind w:right="456"/>
        <w:rPr>
          <w:rFonts w:ascii="宋体" w:hAnsi="宋体"/>
          <w:spacing w:val="-6"/>
        </w:rPr>
      </w:pPr>
      <w:r>
        <w:rPr>
          <w:rFonts w:hint="eastAsia" w:ascii="宋体" w:hAnsi="宋体"/>
          <w:spacing w:val="-6"/>
        </w:rPr>
        <w:t>磋商响应供应商名称（盖章）：</w:t>
      </w:r>
    </w:p>
    <w:p>
      <w:pPr>
        <w:rPr>
          <w:rFonts w:ascii="宋体" w:hAnsi="宋体"/>
          <w:bCs/>
          <w:spacing w:val="-6"/>
        </w:rPr>
      </w:pPr>
    </w:p>
    <w:p>
      <w:pPr>
        <w:rPr>
          <w:rFonts w:ascii="宋体" w:hAnsi="宋体"/>
          <w:spacing w:val="-6"/>
        </w:rPr>
      </w:pPr>
      <w:r>
        <w:rPr>
          <w:rFonts w:hint="eastAsia" w:ascii="宋体" w:hAnsi="宋体"/>
          <w:bCs/>
          <w:spacing w:val="-6"/>
        </w:rPr>
        <w:t>日期：    年  月  日</w:t>
      </w:r>
    </w:p>
    <w:p>
      <w:pPr>
        <w:jc w:val="center"/>
        <w:rPr>
          <w:rFonts w:ascii="宋体" w:hAnsi="宋体"/>
          <w:b/>
          <w:spacing w:val="-6"/>
        </w:rPr>
      </w:pPr>
    </w:p>
    <w:p>
      <w:pPr>
        <w:pStyle w:val="6"/>
        <w:jc w:val="center"/>
        <w:rPr>
          <w:rFonts w:ascii="宋体" w:hAnsi="宋体" w:cs="宋体"/>
          <w:sz w:val="32"/>
          <w:szCs w:val="32"/>
        </w:rPr>
      </w:pPr>
      <w:r>
        <w:rPr>
          <w:rFonts w:hint="eastAsia" w:ascii="宋体" w:hAnsi="宋体" w:cs="宋体"/>
          <w:sz w:val="32"/>
          <w:szCs w:val="32"/>
        </w:rPr>
        <w:br w:type="page"/>
      </w:r>
      <w:r>
        <w:rPr>
          <w:rFonts w:hint="eastAsia" w:ascii="宋体" w:hAnsi="宋体" w:cs="宋体"/>
          <w:sz w:val="32"/>
          <w:szCs w:val="32"/>
        </w:rPr>
        <w:t>法定代表人授权委托书</w:t>
      </w:r>
    </w:p>
    <w:p>
      <w:pPr>
        <w:rPr>
          <w:rFonts w:ascii="宋体" w:hAnsi="宋体"/>
          <w:b/>
          <w:bCs/>
          <w:spacing w:val="-6"/>
        </w:rPr>
      </w:pPr>
      <w:r>
        <w:rPr>
          <w:rFonts w:hint="eastAsia" w:ascii="宋体" w:hAnsi="宋体"/>
          <w:bCs/>
          <w:spacing w:val="-6"/>
        </w:rPr>
        <w:t>致：浙江大学、浙江五石工程咨询有限公司</w:t>
      </w:r>
      <w:r>
        <w:rPr>
          <w:rFonts w:hint="eastAsia" w:ascii="宋体" w:hAnsi="宋体"/>
          <w:spacing w:val="-6"/>
        </w:rPr>
        <w:t>：</w:t>
      </w:r>
    </w:p>
    <w:p>
      <w:pPr>
        <w:ind w:firstLine="456" w:firstLineChars="200"/>
        <w:rPr>
          <w:rFonts w:ascii="宋体" w:hAnsi="宋体"/>
          <w:spacing w:val="-6"/>
        </w:rPr>
      </w:pPr>
      <w:r>
        <w:rPr>
          <w:rFonts w:hint="eastAsia" w:ascii="宋体" w:hAnsi="宋体"/>
          <w:spacing w:val="-6"/>
        </w:rPr>
        <w:t>我</w:t>
      </w:r>
      <w:r>
        <w:rPr>
          <w:rFonts w:hint="eastAsia" w:ascii="宋体" w:hAnsi="宋体"/>
          <w:spacing w:val="-6"/>
          <w:u w:val="single"/>
        </w:rPr>
        <w:t xml:space="preserve"> （姓名）</w:t>
      </w:r>
      <w:r>
        <w:rPr>
          <w:rFonts w:hint="eastAsia" w:ascii="宋体" w:hAnsi="宋体"/>
          <w:spacing w:val="-6"/>
        </w:rPr>
        <w:t xml:space="preserve">系 </w:t>
      </w:r>
      <w:r>
        <w:rPr>
          <w:rFonts w:hint="eastAsia" w:ascii="宋体" w:hAnsi="宋体"/>
          <w:spacing w:val="-6"/>
          <w:u w:val="single"/>
        </w:rPr>
        <w:t>（磋商响应供应商名称）</w:t>
      </w:r>
      <w:r>
        <w:rPr>
          <w:rFonts w:hint="eastAsia" w:ascii="宋体" w:hAnsi="宋体"/>
          <w:spacing w:val="-6"/>
        </w:rPr>
        <w:t>的法定代表人，现授权委托本单位在职职工</w:t>
      </w:r>
      <w:r>
        <w:rPr>
          <w:rFonts w:hint="eastAsia" w:ascii="宋体" w:hAnsi="宋体"/>
          <w:spacing w:val="-6"/>
          <w:u w:val="single"/>
        </w:rPr>
        <w:t>：（姓名）</w:t>
      </w:r>
      <w:r>
        <w:rPr>
          <w:rFonts w:hint="eastAsia" w:ascii="宋体" w:hAnsi="宋体"/>
          <w:spacing w:val="-6"/>
        </w:rPr>
        <w:t>，身份证号码：____________________以我方的名义参加</w:t>
      </w:r>
      <w:r>
        <w:rPr>
          <w:rFonts w:hint="eastAsia" w:ascii="宋体" w:hAnsi="宋体"/>
          <w:bCs/>
          <w:spacing w:val="-6"/>
          <w:u w:val="single"/>
        </w:rPr>
        <w:t xml:space="preserve">      （项目名称）</w:t>
      </w:r>
      <w:r>
        <w:rPr>
          <w:rFonts w:hint="eastAsia" w:ascii="宋体" w:hAnsi="宋体"/>
          <w:bCs/>
          <w:spacing w:val="-6"/>
        </w:rPr>
        <w:t>项目</w:t>
      </w:r>
      <w:r>
        <w:rPr>
          <w:rFonts w:hint="eastAsia" w:ascii="宋体" w:hAnsi="宋体"/>
          <w:spacing w:val="-6"/>
        </w:rPr>
        <w:t>的磋商响应活动，并代表我方全权办理针对上述项目的磋商响应、响应文件开启、评审、签约等具体事务和签署相关文件。</w:t>
      </w:r>
    </w:p>
    <w:p>
      <w:pPr>
        <w:ind w:firstLine="456" w:firstLineChars="200"/>
        <w:rPr>
          <w:rFonts w:ascii="宋体" w:hAnsi="宋体"/>
          <w:spacing w:val="-6"/>
        </w:rPr>
      </w:pPr>
      <w:r>
        <w:rPr>
          <w:rFonts w:hint="eastAsia" w:ascii="宋体" w:hAnsi="宋体"/>
          <w:spacing w:val="-6"/>
        </w:rPr>
        <w:t>我方对被授权人的签名负全部责任。</w:t>
      </w:r>
    </w:p>
    <w:p>
      <w:pPr>
        <w:ind w:firstLine="456" w:firstLineChars="200"/>
        <w:rPr>
          <w:rFonts w:ascii="宋体" w:hAnsi="宋体"/>
          <w:spacing w:val="-6"/>
        </w:rPr>
      </w:pPr>
      <w:r>
        <w:rPr>
          <w:rFonts w:hint="eastAsia" w:ascii="宋体" w:hAnsi="宋体"/>
          <w:spacing w:val="-6"/>
        </w:rPr>
        <w:t>在撤销授权的书面通知以前，本授权书一直有效。被授权人在授权书有效期内签署的所有文件不因授权的撤销而失效。</w:t>
      </w:r>
    </w:p>
    <w:p>
      <w:pPr>
        <w:ind w:firstLine="456" w:firstLineChars="200"/>
        <w:rPr>
          <w:rFonts w:ascii="宋体" w:hAnsi="宋体"/>
          <w:spacing w:val="-6"/>
        </w:rPr>
      </w:pPr>
      <w:r>
        <w:rPr>
          <w:rFonts w:hint="eastAsia" w:ascii="宋体" w:hAnsi="宋体"/>
          <w:spacing w:val="-6"/>
        </w:rPr>
        <w:t>被授权人无转委托权，特此委托。</w:t>
      </w:r>
    </w:p>
    <w:p>
      <w:pPr>
        <w:rPr>
          <w:rFonts w:ascii="宋体" w:hAnsi="宋体"/>
          <w:spacing w:val="-6"/>
          <w:u w:val="single"/>
        </w:rPr>
      </w:pPr>
      <w:r>
        <w:rPr>
          <w:rFonts w:hint="eastAsia" w:ascii="宋体" w:hAnsi="宋体"/>
          <w:spacing w:val="-6"/>
        </w:rPr>
        <w:t>法定代表人（签字或盖章）：</w:t>
      </w:r>
    </w:p>
    <w:p>
      <w:pPr>
        <w:ind w:firstLine="424" w:firstLineChars="186"/>
        <w:rPr>
          <w:rFonts w:ascii="宋体" w:hAnsi="宋体"/>
          <w:spacing w:val="-6"/>
        </w:rPr>
      </w:pPr>
    </w:p>
    <w:p>
      <w:pPr>
        <w:rPr>
          <w:rFonts w:ascii="宋体" w:hAnsi="宋体"/>
          <w:spacing w:val="-6"/>
        </w:rPr>
      </w:pPr>
      <w:r>
        <w:rPr>
          <w:rFonts w:hint="eastAsia" w:ascii="宋体" w:hAnsi="宋体"/>
          <w:spacing w:val="-6"/>
        </w:rPr>
        <w:t>磋商响应供应商名称（盖章）：</w:t>
      </w:r>
    </w:p>
    <w:p>
      <w:pPr>
        <w:rPr>
          <w:rFonts w:ascii="宋体" w:hAnsi="宋体"/>
          <w:bCs/>
          <w:spacing w:val="-6"/>
        </w:rPr>
      </w:pPr>
    </w:p>
    <w:p>
      <w:pPr>
        <w:rPr>
          <w:rFonts w:ascii="宋体" w:hAnsi="宋体"/>
          <w:bCs/>
          <w:spacing w:val="-6"/>
        </w:rPr>
      </w:pPr>
      <w:r>
        <w:rPr>
          <w:rFonts w:hint="eastAsia" w:ascii="宋体" w:hAnsi="宋体"/>
          <w:bCs/>
          <w:spacing w:val="-6"/>
        </w:rPr>
        <w:t>日期：  年  月  日</w:t>
      </w:r>
    </w:p>
    <w:p>
      <w:pPr>
        <w:rPr>
          <w:rFonts w:ascii="宋体" w:hAnsi="宋体"/>
          <w:spacing w:val="-6"/>
        </w:rPr>
      </w:pPr>
    </w:p>
    <w:tbl>
      <w:tblPr>
        <w:tblStyle w:val="27"/>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5" w:hRule="atLeast"/>
        </w:trPr>
        <w:tc>
          <w:tcPr>
            <w:tcW w:w="9640" w:type="dxa"/>
          </w:tcPr>
          <w:p>
            <w:pPr>
              <w:rPr>
                <w:rFonts w:ascii="宋体" w:hAnsi="宋体"/>
              </w:rPr>
            </w:pPr>
            <w:r>
              <w:rPr>
                <w:rFonts w:hint="eastAsia" w:ascii="宋体" w:hAnsi="宋体"/>
              </w:rPr>
              <w:t>授权代表身份证正反面：</w:t>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r>
              <w:rPr>
                <w:rFonts w:hint="eastAsia" w:ascii="宋体" w:hAnsi="宋体"/>
              </w:rPr>
              <w:t>复印件粘贴处</w:t>
            </w:r>
          </w:p>
          <w:p>
            <w:pPr>
              <w:rPr>
                <w:rFonts w:ascii="宋体" w:hAnsi="宋体"/>
                <w:spacing w:val="-6"/>
              </w:rPr>
            </w:pPr>
          </w:p>
        </w:tc>
      </w:tr>
    </w:tbl>
    <w:p>
      <w:pPr>
        <w:pStyle w:val="15"/>
        <w:spacing w:before="120" w:after="120" w:line="360" w:lineRule="auto"/>
        <w:rPr>
          <w:rFonts w:hAnsi="宋体"/>
          <w:b/>
          <w:spacing w:val="-6"/>
        </w:rPr>
      </w:pPr>
      <w:r>
        <w:rPr>
          <w:rFonts w:hint="eastAsia" w:hAnsi="宋体"/>
          <w:b/>
          <w:spacing w:val="-6"/>
        </w:rPr>
        <w:t>说明：</w:t>
      </w:r>
    </w:p>
    <w:p>
      <w:pPr>
        <w:pStyle w:val="15"/>
        <w:spacing w:before="120" w:after="120" w:line="360" w:lineRule="auto"/>
        <w:rPr>
          <w:rFonts w:hAnsi="宋体"/>
          <w:b/>
          <w:spacing w:val="-6"/>
        </w:rPr>
      </w:pPr>
      <w:r>
        <w:rPr>
          <w:rFonts w:hint="eastAsia" w:hAnsi="宋体"/>
          <w:b/>
          <w:spacing w:val="-6"/>
        </w:rPr>
        <w:t>一、磋商响应供应商的法定代表人参加磋商，须在响应文件中提供：法定代表人资格证明书；</w:t>
      </w:r>
    </w:p>
    <w:p>
      <w:pPr>
        <w:pStyle w:val="15"/>
        <w:spacing w:before="120" w:after="120" w:line="360" w:lineRule="auto"/>
        <w:rPr>
          <w:rFonts w:hAnsi="宋体"/>
          <w:b/>
          <w:spacing w:val="-6"/>
        </w:rPr>
      </w:pPr>
      <w:r>
        <w:rPr>
          <w:rFonts w:hint="eastAsia" w:hAnsi="宋体"/>
          <w:b/>
          <w:spacing w:val="-6"/>
        </w:rPr>
        <w:t>二、</w:t>
      </w:r>
      <w:r>
        <w:rPr>
          <w:rFonts w:hint="eastAsia" w:hAnsi="宋体"/>
        </w:rPr>
        <w:t>▲</w:t>
      </w:r>
      <w:r>
        <w:rPr>
          <w:rFonts w:hint="eastAsia" w:hAnsi="宋体"/>
          <w:b/>
          <w:spacing w:val="-6"/>
        </w:rPr>
        <w:t>磋商响应供应商的法定代表人委托授权代表参加响应，须在响应文件中提供：法定代表人资格证明书和法定代表人授权委托书及社保缴纳证明。</w:t>
      </w:r>
    </w:p>
    <w:p>
      <w:pPr>
        <w:pStyle w:val="15"/>
        <w:spacing w:before="120" w:after="120" w:line="360" w:lineRule="auto"/>
        <w:rPr>
          <w:rFonts w:hAnsi="宋体"/>
          <w:b/>
          <w:spacing w:val="-6"/>
        </w:rPr>
      </w:pPr>
    </w:p>
    <w:p>
      <w:pPr>
        <w:pStyle w:val="6"/>
        <w:jc w:val="center"/>
        <w:rPr>
          <w:rFonts w:ascii="宋体" w:hAnsi="宋体" w:cs="宋体"/>
          <w:b w:val="0"/>
          <w:spacing w:val="-6"/>
        </w:rPr>
      </w:pPr>
      <w:r>
        <w:rPr>
          <w:rFonts w:hint="eastAsia" w:ascii="宋体" w:hAnsi="宋体" w:cs="宋体"/>
          <w:kern w:val="0"/>
          <w:sz w:val="32"/>
          <w:szCs w:val="32"/>
        </w:rPr>
        <w:t>初次报价一览表</w:t>
      </w:r>
    </w:p>
    <w:p>
      <w:pPr>
        <w:rPr>
          <w:rFonts w:ascii="宋体" w:hAnsi="宋体"/>
          <w:spacing w:val="-6"/>
        </w:rPr>
      </w:pPr>
      <w:r>
        <w:rPr>
          <w:rFonts w:hint="eastAsia" w:ascii="宋体" w:hAnsi="宋体"/>
          <w:spacing w:val="-6"/>
        </w:rPr>
        <w:t xml:space="preserve">项目名称：                                项目编号：                           </w:t>
      </w:r>
    </w:p>
    <w:p>
      <w:pPr>
        <w:jc w:val="right"/>
        <w:rPr>
          <w:rFonts w:ascii="宋体" w:hAnsi="宋体"/>
          <w:spacing w:val="-6"/>
        </w:rPr>
      </w:pPr>
      <w:r>
        <w:rPr>
          <w:rFonts w:hint="eastAsia" w:ascii="宋体" w:hAnsi="宋体"/>
          <w:spacing w:val="-6"/>
        </w:rPr>
        <w:t>单位：人民币（元）</w:t>
      </w:r>
    </w:p>
    <w:tbl>
      <w:tblPr>
        <w:tblStyle w:val="27"/>
        <w:tblW w:w="0" w:type="auto"/>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pStyle w:val="2"/>
              <w:jc w:val="center"/>
              <w:rPr>
                <w:rFonts w:ascii="宋体" w:hAnsi="宋体" w:eastAsia="宋体" w:cs="宋体"/>
                <w:color w:val="auto"/>
                <w:spacing w:val="-6"/>
                <w:u w:val="single"/>
              </w:rPr>
            </w:pPr>
            <w:r>
              <w:rPr>
                <w:rFonts w:hint="eastAsia" w:ascii="宋体" w:hAnsi="宋体" w:eastAsia="宋体" w:cs="宋体"/>
                <w:b/>
                <w:color w:val="auto"/>
                <w:spacing w:val="-6"/>
              </w:rPr>
              <w:t>磋商响应总价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rPr>
                <w:rFonts w:ascii="宋体" w:hAnsi="宋体"/>
                <w:b/>
                <w:spacing w:val="-6"/>
              </w:rPr>
            </w:pPr>
          </w:p>
          <w:p>
            <w:pPr>
              <w:rPr>
                <w:rFonts w:ascii="宋体" w:hAnsi="宋体"/>
                <w:b/>
                <w:spacing w:val="-6"/>
              </w:rPr>
            </w:pPr>
            <w:r>
              <w:rPr>
                <w:rFonts w:hint="eastAsia" w:ascii="宋体" w:hAnsi="宋体"/>
                <w:spacing w:val="-6"/>
              </w:rPr>
              <w:t xml:space="preserve">金额大写：          ，小写：       </w:t>
            </w:r>
          </w:p>
        </w:tc>
      </w:tr>
    </w:tbl>
    <w:p>
      <w:pPr>
        <w:jc w:val="left"/>
        <w:rPr>
          <w:rFonts w:ascii="宋体" w:hAnsi="宋体"/>
          <w:spacing w:val="-6"/>
        </w:rPr>
      </w:pPr>
    </w:p>
    <w:p>
      <w:pPr>
        <w:jc w:val="left"/>
        <w:rPr>
          <w:rFonts w:ascii="宋体" w:hAnsi="宋体"/>
          <w:b/>
          <w:spacing w:val="-6"/>
        </w:rPr>
      </w:pPr>
      <w:r>
        <w:rPr>
          <w:rFonts w:hint="eastAsia" w:ascii="宋体" w:hAnsi="宋体"/>
          <w:b/>
          <w:spacing w:val="-6"/>
        </w:rPr>
        <w:t>说明:</w:t>
      </w:r>
    </w:p>
    <w:p>
      <w:pPr>
        <w:jc w:val="left"/>
        <w:rPr>
          <w:rFonts w:ascii="宋体" w:hAnsi="宋体"/>
          <w:b/>
          <w:spacing w:val="-6"/>
        </w:rPr>
      </w:pPr>
      <w:r>
        <w:rPr>
          <w:rFonts w:hint="eastAsia" w:ascii="宋体" w:hAnsi="宋体"/>
          <w:b/>
          <w:spacing w:val="-6"/>
        </w:rPr>
        <w:t>一、 磋商响应总价包括完成所有产品供货及履行所有规定服务所产生的全部费用。</w:t>
      </w:r>
    </w:p>
    <w:p>
      <w:pPr>
        <w:jc w:val="left"/>
        <w:rPr>
          <w:rFonts w:ascii="宋体" w:hAnsi="宋体"/>
          <w:b/>
          <w:spacing w:val="-6"/>
        </w:rPr>
      </w:pPr>
      <w:r>
        <w:rPr>
          <w:rFonts w:hint="eastAsia" w:ascii="宋体" w:hAnsi="宋体"/>
          <w:b/>
          <w:spacing w:val="-6"/>
        </w:rPr>
        <w:t>二、以上报价应与“初次报价明细表”中的“磋商响应总价”相一致。</w:t>
      </w:r>
    </w:p>
    <w:p>
      <w:pPr>
        <w:rPr>
          <w:rFonts w:ascii="宋体" w:hAnsi="宋体"/>
          <w:b/>
          <w:spacing w:val="-6"/>
        </w:rPr>
      </w:pPr>
      <w:r>
        <w:rPr>
          <w:rFonts w:hint="eastAsia" w:ascii="宋体" w:hAnsi="宋体"/>
          <w:b/>
          <w:spacing w:val="-6"/>
        </w:rPr>
        <w:t>三、 此表在不改变格式要求的情况下，可自行制作。</w:t>
      </w:r>
    </w:p>
    <w:p>
      <w:pPr>
        <w:rPr>
          <w:rFonts w:ascii="宋体" w:hAnsi="宋体"/>
          <w:spacing w:val="-6"/>
        </w:rPr>
      </w:pP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ind w:right="-934" w:rightChars="-389"/>
        <w:rPr>
          <w:rFonts w:ascii="宋体" w:hAnsi="宋体"/>
          <w:spacing w:val="-6"/>
        </w:rPr>
      </w:pPr>
      <w:r>
        <w:rPr>
          <w:rFonts w:hint="eastAsia" w:ascii="宋体" w:hAnsi="宋体"/>
          <w:bCs/>
          <w:spacing w:val="-6"/>
        </w:rPr>
        <w:t>日期：    年  月  日</w:t>
      </w:r>
    </w:p>
    <w:p>
      <w:pPr>
        <w:pStyle w:val="6"/>
        <w:jc w:val="center"/>
        <w:rPr>
          <w:rFonts w:ascii="宋体" w:hAnsi="宋体" w:cs="宋体"/>
          <w:kern w:val="0"/>
          <w:sz w:val="32"/>
          <w:szCs w:val="32"/>
        </w:rPr>
      </w:pPr>
      <w:r>
        <w:rPr>
          <w:rFonts w:hint="eastAsia" w:ascii="宋体" w:hAnsi="宋体" w:cs="宋体"/>
          <w:b w:val="0"/>
          <w:spacing w:val="-6"/>
        </w:rPr>
        <w:br w:type="page"/>
      </w:r>
      <w:r>
        <w:rPr>
          <w:rFonts w:hint="eastAsia" w:ascii="宋体" w:hAnsi="宋体" w:cs="宋体"/>
          <w:kern w:val="0"/>
          <w:sz w:val="32"/>
          <w:szCs w:val="32"/>
        </w:rPr>
        <w:t>初次报价明细表</w:t>
      </w:r>
    </w:p>
    <w:p>
      <w:pPr>
        <w:rPr>
          <w:rFonts w:ascii="宋体" w:hAnsi="宋体"/>
        </w:rPr>
      </w:pPr>
    </w:p>
    <w:p>
      <w:pPr>
        <w:jc w:val="right"/>
        <w:rPr>
          <w:rFonts w:ascii="宋体" w:hAnsi="宋体"/>
          <w:spacing w:val="-6"/>
        </w:rPr>
      </w:pPr>
      <w:r>
        <w:rPr>
          <w:rFonts w:hint="eastAsia" w:ascii="宋体" w:hAnsi="宋体"/>
          <w:spacing w:val="-6"/>
        </w:rPr>
        <w:t>项目名称：                      项目编号：                     金额单位：人民币（元）</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2164"/>
        <w:gridCol w:w="1667"/>
        <w:gridCol w:w="1206"/>
        <w:gridCol w:w="926"/>
        <w:gridCol w:w="973"/>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713" w:type="dxa"/>
            <w:vAlign w:val="center"/>
          </w:tcPr>
          <w:p>
            <w:pPr>
              <w:spacing w:line="240" w:lineRule="auto"/>
              <w:jc w:val="center"/>
              <w:rPr>
                <w:rFonts w:ascii="宋体" w:hAnsi="宋体"/>
                <w:b/>
              </w:rPr>
            </w:pPr>
            <w:r>
              <w:rPr>
                <w:rFonts w:hint="eastAsia" w:ascii="宋体" w:hAnsi="宋体"/>
                <w:b/>
              </w:rPr>
              <w:t>序号</w:t>
            </w:r>
          </w:p>
        </w:tc>
        <w:tc>
          <w:tcPr>
            <w:tcW w:w="2164" w:type="dxa"/>
            <w:vAlign w:val="center"/>
          </w:tcPr>
          <w:p>
            <w:pPr>
              <w:spacing w:line="240" w:lineRule="auto"/>
              <w:jc w:val="center"/>
              <w:rPr>
                <w:rFonts w:ascii="宋体" w:hAnsi="宋体"/>
                <w:b/>
              </w:rPr>
            </w:pPr>
            <w:r>
              <w:rPr>
                <w:rFonts w:hint="eastAsia" w:ascii="宋体" w:hAnsi="宋体"/>
                <w:b/>
              </w:rPr>
              <w:t>名称</w:t>
            </w:r>
          </w:p>
        </w:tc>
        <w:tc>
          <w:tcPr>
            <w:tcW w:w="1667" w:type="dxa"/>
            <w:vAlign w:val="center"/>
          </w:tcPr>
          <w:p>
            <w:pPr>
              <w:spacing w:line="240" w:lineRule="auto"/>
              <w:jc w:val="center"/>
              <w:rPr>
                <w:rFonts w:ascii="宋体" w:hAnsi="宋体"/>
                <w:b/>
              </w:rPr>
            </w:pPr>
            <w:r>
              <w:rPr>
                <w:rFonts w:hint="eastAsia" w:ascii="宋体" w:hAnsi="宋体"/>
                <w:b/>
              </w:rPr>
              <w:t>品牌</w:t>
            </w:r>
          </w:p>
          <w:p>
            <w:pPr>
              <w:spacing w:line="240" w:lineRule="auto"/>
              <w:jc w:val="center"/>
              <w:rPr>
                <w:rFonts w:ascii="宋体" w:hAnsi="宋体"/>
                <w:b/>
              </w:rPr>
            </w:pPr>
            <w:r>
              <w:rPr>
                <w:rFonts w:hint="eastAsia" w:ascii="宋体" w:hAnsi="宋体"/>
                <w:b/>
              </w:rPr>
              <w:t>（如果有）</w:t>
            </w:r>
          </w:p>
        </w:tc>
        <w:tc>
          <w:tcPr>
            <w:tcW w:w="1206" w:type="dxa"/>
            <w:vAlign w:val="center"/>
          </w:tcPr>
          <w:p>
            <w:pPr>
              <w:spacing w:line="240" w:lineRule="auto"/>
              <w:jc w:val="center"/>
              <w:rPr>
                <w:rFonts w:ascii="宋体" w:hAnsi="宋体"/>
                <w:b/>
              </w:rPr>
            </w:pPr>
            <w:r>
              <w:rPr>
                <w:rFonts w:hint="eastAsia" w:ascii="宋体" w:hAnsi="宋体"/>
                <w:b/>
              </w:rPr>
              <w:t>规格型号</w:t>
            </w:r>
          </w:p>
        </w:tc>
        <w:tc>
          <w:tcPr>
            <w:tcW w:w="926" w:type="dxa"/>
            <w:vAlign w:val="center"/>
          </w:tcPr>
          <w:p>
            <w:pPr>
              <w:spacing w:line="240" w:lineRule="auto"/>
              <w:jc w:val="center"/>
              <w:rPr>
                <w:rFonts w:ascii="宋体" w:hAnsi="宋体"/>
                <w:b/>
              </w:rPr>
            </w:pPr>
            <w:r>
              <w:rPr>
                <w:rFonts w:hint="eastAsia" w:ascii="宋体" w:hAnsi="宋体"/>
                <w:b/>
              </w:rPr>
              <w:t>数量</w:t>
            </w:r>
          </w:p>
        </w:tc>
        <w:tc>
          <w:tcPr>
            <w:tcW w:w="973" w:type="dxa"/>
            <w:vAlign w:val="center"/>
          </w:tcPr>
          <w:p>
            <w:pPr>
              <w:spacing w:line="240" w:lineRule="auto"/>
              <w:jc w:val="center"/>
              <w:rPr>
                <w:rFonts w:ascii="宋体" w:hAnsi="宋体"/>
                <w:b/>
              </w:rPr>
            </w:pPr>
            <w:r>
              <w:rPr>
                <w:rFonts w:hint="eastAsia" w:ascii="宋体" w:hAnsi="宋体"/>
                <w:b/>
              </w:rPr>
              <w:t>单价</w:t>
            </w:r>
          </w:p>
        </w:tc>
        <w:tc>
          <w:tcPr>
            <w:tcW w:w="879" w:type="dxa"/>
            <w:vAlign w:val="center"/>
          </w:tcPr>
          <w:p>
            <w:pPr>
              <w:spacing w:line="240" w:lineRule="auto"/>
              <w:jc w:val="center"/>
              <w:rPr>
                <w:rFonts w:ascii="宋体" w:hAnsi="宋体"/>
                <w:b/>
              </w:rPr>
            </w:pPr>
            <w:r>
              <w:rPr>
                <w:rFonts w:hint="eastAsia" w:ascii="宋体" w:hAnsi="宋体"/>
                <w:b/>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1</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2</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3</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4</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5</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6</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7</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8</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9</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10</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11</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12</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13" w:type="dxa"/>
            <w:vAlign w:val="center"/>
          </w:tcPr>
          <w:p>
            <w:pPr>
              <w:jc w:val="center"/>
              <w:rPr>
                <w:rFonts w:ascii="宋体" w:hAnsi="宋体"/>
              </w:rPr>
            </w:pPr>
            <w:r>
              <w:rPr>
                <w:rFonts w:hint="eastAsia" w:ascii="宋体" w:hAnsi="宋体"/>
              </w:rPr>
              <w:t>13</w:t>
            </w:r>
          </w:p>
        </w:tc>
        <w:tc>
          <w:tcPr>
            <w:tcW w:w="2164" w:type="dxa"/>
            <w:vAlign w:val="center"/>
          </w:tcPr>
          <w:p>
            <w:pPr>
              <w:widowControl/>
              <w:spacing w:line="240" w:lineRule="auto"/>
              <w:jc w:val="center"/>
              <w:rPr>
                <w:rFonts w:ascii="宋体" w:hAnsi="宋体"/>
              </w:rPr>
            </w:pPr>
          </w:p>
        </w:tc>
        <w:tc>
          <w:tcPr>
            <w:tcW w:w="1667" w:type="dxa"/>
            <w:vAlign w:val="center"/>
          </w:tcPr>
          <w:p>
            <w:pPr>
              <w:rPr>
                <w:rFonts w:ascii="宋体" w:hAnsi="宋体"/>
              </w:rPr>
            </w:pP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544" w:type="dxa"/>
            <w:gridSpan w:val="3"/>
            <w:vAlign w:val="center"/>
          </w:tcPr>
          <w:p>
            <w:pPr>
              <w:rPr>
                <w:rFonts w:ascii="宋体" w:hAnsi="宋体"/>
              </w:rPr>
            </w:pPr>
            <w:r>
              <w:rPr>
                <w:rFonts w:hint="eastAsia" w:ascii="宋体" w:hAnsi="宋体"/>
                <w:b/>
                <w:bCs/>
                <w:spacing w:val="-6"/>
              </w:rPr>
              <w:t>响应</w:t>
            </w:r>
            <w:r>
              <w:rPr>
                <w:rFonts w:hint="eastAsia" w:ascii="宋体" w:hAnsi="宋体"/>
                <w:b/>
                <w:bCs/>
              </w:rPr>
              <w:t>报价（小写）</w:t>
            </w: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4544" w:type="dxa"/>
            <w:gridSpan w:val="3"/>
            <w:vAlign w:val="center"/>
          </w:tcPr>
          <w:p>
            <w:pPr>
              <w:rPr>
                <w:rFonts w:ascii="宋体" w:hAnsi="宋体"/>
              </w:rPr>
            </w:pPr>
            <w:r>
              <w:rPr>
                <w:rFonts w:hint="eastAsia" w:ascii="宋体" w:hAnsi="宋体"/>
                <w:b/>
                <w:bCs/>
                <w:spacing w:val="-6"/>
              </w:rPr>
              <w:t>响应</w:t>
            </w:r>
            <w:r>
              <w:rPr>
                <w:rFonts w:hint="eastAsia" w:ascii="宋体" w:hAnsi="宋体"/>
                <w:b/>
                <w:bCs/>
              </w:rPr>
              <w:t>报价（大写）</w:t>
            </w:r>
          </w:p>
        </w:tc>
        <w:tc>
          <w:tcPr>
            <w:tcW w:w="1206" w:type="dxa"/>
            <w:vAlign w:val="center"/>
          </w:tcPr>
          <w:p>
            <w:pPr>
              <w:rPr>
                <w:rFonts w:ascii="宋体" w:hAnsi="宋体"/>
              </w:rPr>
            </w:pPr>
          </w:p>
        </w:tc>
        <w:tc>
          <w:tcPr>
            <w:tcW w:w="926" w:type="dxa"/>
            <w:vAlign w:val="center"/>
          </w:tcPr>
          <w:p>
            <w:pPr>
              <w:rPr>
                <w:rFonts w:ascii="宋体" w:hAnsi="宋体"/>
              </w:rPr>
            </w:pPr>
          </w:p>
        </w:tc>
        <w:tc>
          <w:tcPr>
            <w:tcW w:w="973" w:type="dxa"/>
            <w:vAlign w:val="center"/>
          </w:tcPr>
          <w:p>
            <w:pPr>
              <w:rPr>
                <w:rFonts w:ascii="宋体" w:hAnsi="宋体"/>
              </w:rPr>
            </w:pPr>
          </w:p>
        </w:tc>
        <w:tc>
          <w:tcPr>
            <w:tcW w:w="879" w:type="dxa"/>
            <w:vAlign w:val="center"/>
          </w:tcPr>
          <w:p>
            <w:pPr>
              <w:rPr>
                <w:rFonts w:ascii="宋体" w:hAnsi="宋体"/>
              </w:rPr>
            </w:pPr>
          </w:p>
        </w:tc>
      </w:tr>
    </w:tbl>
    <w:p>
      <w:pPr>
        <w:tabs>
          <w:tab w:val="left" w:pos="1418"/>
        </w:tabs>
        <w:rPr>
          <w:rFonts w:ascii="宋体" w:hAnsi="宋体"/>
          <w:spacing w:val="-6"/>
          <w:u w:val="single"/>
        </w:rPr>
      </w:pPr>
    </w:p>
    <w:p>
      <w:pPr>
        <w:tabs>
          <w:tab w:val="left" w:pos="1418"/>
        </w:tabs>
        <w:rPr>
          <w:rFonts w:ascii="宋体" w:hAnsi="宋体"/>
          <w:spacing w:val="-6"/>
        </w:rPr>
      </w:pPr>
      <w:r>
        <w:rPr>
          <w:rFonts w:hint="eastAsia" w:ascii="宋体" w:hAnsi="宋体"/>
          <w:spacing w:val="-6"/>
        </w:rPr>
        <w:t>注：格式可自拟。</w:t>
      </w:r>
    </w:p>
    <w:p>
      <w:pPr>
        <w:tabs>
          <w:tab w:val="left" w:pos="1418"/>
        </w:tabs>
        <w:rPr>
          <w:rFonts w:ascii="宋体" w:hAnsi="宋体"/>
          <w:spacing w:val="-6"/>
          <w:u w:val="single"/>
        </w:rPr>
      </w:pPr>
    </w:p>
    <w:p>
      <w:pPr>
        <w:tabs>
          <w:tab w:val="left" w:pos="1418"/>
        </w:tabs>
        <w:rPr>
          <w:rFonts w:ascii="宋体" w:hAnsi="宋体"/>
          <w:spacing w:val="-6"/>
          <w:u w:val="single"/>
        </w:rPr>
      </w:pP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ind w:right="-934" w:rightChars="-389"/>
        <w:rPr>
          <w:rFonts w:ascii="宋体" w:hAnsi="宋体"/>
          <w:spacing w:val="-6"/>
        </w:rPr>
      </w:pPr>
      <w:r>
        <w:rPr>
          <w:rFonts w:hint="eastAsia" w:ascii="宋体" w:hAnsi="宋体"/>
          <w:bCs/>
          <w:spacing w:val="-6"/>
        </w:rPr>
        <w:t>日期：    年  月  日</w:t>
      </w:r>
    </w:p>
    <w:p>
      <w:pPr>
        <w:pStyle w:val="6"/>
        <w:jc w:val="center"/>
        <w:rPr>
          <w:rFonts w:ascii="宋体" w:hAnsi="宋体" w:cs="宋体"/>
          <w:spacing w:val="-6"/>
        </w:rPr>
      </w:pPr>
      <w:r>
        <w:rPr>
          <w:rFonts w:hint="eastAsia" w:ascii="宋体" w:hAnsi="宋体" w:cs="宋体"/>
          <w:spacing w:val="-6"/>
        </w:rPr>
        <w:br w:type="page"/>
      </w:r>
      <w:r>
        <w:rPr>
          <w:rFonts w:hint="eastAsia" w:ascii="宋体" w:hAnsi="宋体" w:cs="宋体"/>
          <w:spacing w:val="-6"/>
          <w:sz w:val="32"/>
          <w:szCs w:val="32"/>
        </w:rPr>
        <w:t>《中小企业声明函》及相关证明材料</w:t>
      </w:r>
    </w:p>
    <w:p>
      <w:pPr>
        <w:pStyle w:val="21"/>
        <w:ind w:left="169" w:hanging="169" w:hangingChars="74"/>
        <w:rPr>
          <w:rFonts w:ascii="宋体" w:hAnsi="宋体"/>
          <w:b/>
          <w:spacing w:val="-6"/>
        </w:rPr>
      </w:pPr>
    </w:p>
    <w:p>
      <w:pPr>
        <w:ind w:firstLine="480" w:firstLineChars="200"/>
        <w:rPr>
          <w:rFonts w:ascii="宋体" w:hAnsi="宋体"/>
        </w:rPr>
      </w:pPr>
      <w:r>
        <w:rPr>
          <w:rFonts w:hint="eastAsia" w:ascii="宋体" w:hAnsi="宋体"/>
        </w:rPr>
        <w:t>本公司郑重声明，根据《政府采购促进中小企业发展暂行办法》（财库[2011]1.81.号）的规定，本公司为______（请填写：大型、中型、小型、微型）企业。即，本公司同时满足以下条件：</w:t>
      </w:r>
    </w:p>
    <w:p>
      <w:pPr>
        <w:ind w:firstLine="480" w:firstLineChars="200"/>
        <w:rPr>
          <w:rFonts w:ascii="宋体" w:hAnsi="宋体"/>
        </w:rPr>
      </w:pPr>
      <w:r>
        <w:rPr>
          <w:rFonts w:hint="eastAsia" w:ascii="宋体" w:hAnsi="宋体"/>
        </w:rPr>
        <w:t>一、根据《工业和信息化部、国家统计局、国家发展和改革委员会、财政部关于印发中小企业划型标准规定的通知》（工信部联企业[2011]300号）规定的划分标准，本公司为______（请填写：大型、中型、小型、微型）企业。</w:t>
      </w:r>
    </w:p>
    <w:p>
      <w:pPr>
        <w:ind w:firstLine="480" w:firstLineChars="200"/>
        <w:rPr>
          <w:rFonts w:ascii="宋体" w:hAnsi="宋体"/>
          <w:b/>
        </w:rPr>
      </w:pPr>
      <w:r>
        <w:rPr>
          <w:rFonts w:hint="eastAsia" w:ascii="宋体" w:hAnsi="宋体"/>
        </w:rPr>
        <w:t>二、本公司参加</w:t>
      </w:r>
      <w:r>
        <w:rPr>
          <w:rFonts w:hint="eastAsia" w:ascii="宋体" w:hAnsi="宋体"/>
          <w:bCs/>
          <w:u w:val="single"/>
        </w:rPr>
        <w:t xml:space="preserve">  （项目名称）</w:t>
      </w:r>
      <w:r>
        <w:rPr>
          <w:rFonts w:hint="eastAsia" w:ascii="宋体" w:hAnsi="宋体"/>
        </w:rPr>
        <w:t>采购活动（按响应形式选择填写）：</w:t>
      </w:r>
    </w:p>
    <w:p>
      <w:pPr>
        <w:ind w:firstLine="480" w:firstLineChars="200"/>
        <w:rPr>
          <w:rFonts w:ascii="宋体" w:hAnsi="宋体"/>
        </w:rPr>
      </w:pPr>
      <w:r>
        <w:rPr>
          <w:rFonts w:hint="eastAsia" w:ascii="宋体" w:hAnsi="宋体"/>
        </w:rPr>
        <w:t>(一)□本公司为直接磋商响应供应商提供本企业提供的服务。</w:t>
      </w:r>
    </w:p>
    <w:p>
      <w:pPr>
        <w:ind w:firstLine="480" w:firstLineChars="200"/>
        <w:rPr>
          <w:rFonts w:ascii="宋体" w:hAnsi="宋体"/>
        </w:rPr>
      </w:pPr>
      <w:r>
        <w:rPr>
          <w:rFonts w:hint="eastAsia" w:ascii="宋体" w:hAnsi="宋体"/>
        </w:rPr>
        <w:t>本公司对上述声明的真实性负责。如有虚假，将依法承担相应责任。</w:t>
      </w:r>
    </w:p>
    <w:p>
      <w:pPr>
        <w:ind w:firstLine="480" w:firstLineChars="200"/>
        <w:rPr>
          <w:rFonts w:ascii="宋体" w:hAnsi="宋体"/>
        </w:rPr>
      </w:pPr>
    </w:p>
    <w:p>
      <w:pPr>
        <w:ind w:firstLine="480" w:firstLineChars="200"/>
        <w:rPr>
          <w:rFonts w:ascii="宋体" w:hAnsi="宋体"/>
        </w:rPr>
      </w:pPr>
    </w:p>
    <w:p>
      <w:pPr>
        <w:ind w:firstLine="480" w:firstLineChars="200"/>
        <w:rPr>
          <w:rFonts w:ascii="宋体" w:hAnsi="宋体"/>
        </w:rPr>
      </w:pPr>
    </w:p>
    <w:p>
      <w:pPr>
        <w:ind w:right="-934" w:rightChars="-389"/>
        <w:rPr>
          <w:rFonts w:ascii="宋体" w:hAnsi="宋体"/>
          <w:spacing w:val="-6"/>
        </w:rPr>
      </w:pPr>
      <w:r>
        <w:rPr>
          <w:rFonts w:hint="eastAsia" w:ascii="宋体" w:hAnsi="宋体"/>
          <w:spacing w:val="-6"/>
        </w:rPr>
        <w:t>磋商响应供应商名称（盖章）：</w:t>
      </w:r>
    </w:p>
    <w:p>
      <w:pPr>
        <w:ind w:right="-934" w:rightChars="-389"/>
        <w:rPr>
          <w:rFonts w:ascii="宋体" w:hAnsi="宋体"/>
          <w:spacing w:val="-6"/>
        </w:rPr>
      </w:pPr>
      <w:r>
        <w:rPr>
          <w:rFonts w:hint="eastAsia" w:ascii="宋体" w:hAnsi="宋体"/>
          <w:spacing w:val="-6"/>
        </w:rPr>
        <w:t>授权代表签字：</w:t>
      </w:r>
    </w:p>
    <w:p>
      <w:pPr>
        <w:ind w:right="-934" w:rightChars="-389"/>
        <w:rPr>
          <w:rFonts w:ascii="宋体" w:hAnsi="宋体"/>
          <w:bCs/>
          <w:spacing w:val="-6"/>
        </w:rPr>
      </w:pPr>
      <w:r>
        <w:rPr>
          <w:rFonts w:hint="eastAsia" w:ascii="宋体" w:hAnsi="宋体"/>
          <w:bCs/>
          <w:spacing w:val="-6"/>
        </w:rPr>
        <w:t>日期：    年  月  日</w:t>
      </w:r>
    </w:p>
    <w:p>
      <w:pPr>
        <w:ind w:right="-934" w:rightChars="-389"/>
        <w:rPr>
          <w:rFonts w:ascii="宋体" w:hAnsi="宋体"/>
          <w:b/>
          <w:bCs/>
          <w:spacing w:val="-6"/>
        </w:rPr>
      </w:pPr>
      <w:r>
        <w:rPr>
          <w:rFonts w:hint="eastAsia" w:ascii="宋体" w:hAnsi="宋体"/>
          <w:b/>
          <w:bCs/>
          <w:spacing w:val="-6"/>
        </w:rPr>
        <w:t>说明：</w:t>
      </w:r>
    </w:p>
    <w:p>
      <w:pPr>
        <w:ind w:right="-934" w:rightChars="-389"/>
        <w:rPr>
          <w:rFonts w:ascii="宋体" w:hAnsi="宋体"/>
          <w:spacing w:val="-6"/>
        </w:rPr>
      </w:pPr>
      <w:r>
        <w:rPr>
          <w:rFonts w:hint="eastAsia" w:ascii="宋体" w:hAnsi="宋体"/>
          <w:spacing w:val="-6"/>
        </w:rPr>
        <w:t>1、如磋商响应供应商为代理商且提供的是小型、微型企业制造的货物的，除提供自身小微企业资格证明材料外还须提供所代理品牌制造商小微企业资格证明材料；</w:t>
      </w:r>
    </w:p>
    <w:p>
      <w:pPr>
        <w:ind w:right="-934" w:rightChars="-389"/>
        <w:rPr>
          <w:rFonts w:ascii="宋体" w:hAnsi="宋体"/>
          <w:spacing w:val="-6"/>
        </w:rPr>
      </w:pPr>
      <w:r>
        <w:rPr>
          <w:rFonts w:hint="eastAsia" w:ascii="宋体" w:hAnsi="宋体"/>
          <w:spacing w:val="-6"/>
        </w:rPr>
        <w:t>2、磋商小组审查此项只根据响应文件本身的内容，不再寻求其他的外部证据；</w:t>
      </w:r>
    </w:p>
    <w:p>
      <w:pPr>
        <w:ind w:right="-934" w:rightChars="-389"/>
        <w:rPr>
          <w:rFonts w:ascii="宋体" w:hAnsi="宋体"/>
          <w:spacing w:val="-6"/>
        </w:rPr>
      </w:pPr>
      <w:r>
        <w:rPr>
          <w:rFonts w:hint="eastAsia" w:ascii="宋体" w:hAnsi="宋体"/>
          <w:spacing w:val="-6"/>
        </w:rPr>
        <w:t>3、小微企业资格证明材料中认定情形为“中小企业”等无法界定磋商响应供应商或其代理品牌制造商具体企业类型的均为无效证明材料。</w:t>
      </w:r>
    </w:p>
    <w:p>
      <w:pPr>
        <w:ind w:right="-934" w:rightChars="-389"/>
        <w:rPr>
          <w:rFonts w:ascii="宋体" w:hAnsi="宋体"/>
          <w:spacing w:val="-6"/>
        </w:rPr>
      </w:pPr>
      <w:r>
        <w:rPr>
          <w:rFonts w:hint="eastAsia" w:ascii="宋体" w:hAnsi="宋体"/>
          <w:spacing w:val="-6"/>
        </w:rPr>
        <w:t>4、如有虚假，将依法承担相应责任。</w:t>
      </w:r>
    </w:p>
    <w:p>
      <w:pPr>
        <w:ind w:right="-934" w:rightChars="-389"/>
        <w:jc w:val="center"/>
        <w:rPr>
          <w:rFonts w:ascii="宋体" w:hAnsi="宋体"/>
          <w:b/>
        </w:rPr>
      </w:pPr>
      <w:r>
        <w:rPr>
          <w:rFonts w:hint="eastAsia" w:ascii="宋体" w:hAnsi="宋体"/>
          <w:bCs/>
          <w:spacing w:val="-6"/>
        </w:rPr>
        <w:br w:type="page"/>
      </w:r>
      <w:r>
        <w:rPr>
          <w:rFonts w:hint="eastAsia" w:ascii="宋体" w:hAnsi="宋体"/>
          <w:b/>
          <w:sz w:val="32"/>
          <w:szCs w:val="32"/>
        </w:rPr>
        <w:t>中、小微企业资格证明材料（满足以下其一即可）</w:t>
      </w:r>
    </w:p>
    <w:p>
      <w:pPr>
        <w:ind w:firstLine="480" w:firstLineChars="200"/>
        <w:rPr>
          <w:rFonts w:ascii="宋体" w:hAnsi="宋体"/>
        </w:rPr>
      </w:pPr>
      <w:r>
        <w:rPr>
          <w:rFonts w:hint="eastAsia" w:ascii="宋体" w:hAnsi="宋体"/>
        </w:rPr>
        <w:t>（1）供应商和报价产品生产企业在当地中小企业行政主管部门的确认意见或《中小企业申明函》。</w:t>
      </w:r>
    </w:p>
    <w:p>
      <w:pPr>
        <w:ind w:firstLine="480" w:firstLineChars="200"/>
        <w:rPr>
          <w:rFonts w:ascii="宋体" w:hAnsi="宋体"/>
        </w:rPr>
      </w:pPr>
      <w:r>
        <w:rPr>
          <w:rFonts w:hint="eastAsia" w:ascii="宋体" w:hAnsi="宋体"/>
        </w:rPr>
        <w:t>（2）供应商和报价产品生产企业相关网站的网页打印件并（网页打印件应当显示为小型或微型企业）加盖公章。相关网站：小微企业名录（http://xwqy.gsxt.gov.cn/）或浙江省政府采购网（http://www.zjzfcg.gov.cn/）</w:t>
      </w:r>
    </w:p>
    <w:p>
      <w:pPr>
        <w:ind w:firstLine="480" w:firstLineChars="200"/>
        <w:rPr>
          <w:rFonts w:ascii="宋体" w:hAnsi="宋体"/>
        </w:rPr>
      </w:pPr>
      <w:r>
        <w:rPr>
          <w:rFonts w:hint="eastAsia" w:ascii="宋体" w:hAnsi="宋体"/>
        </w:rPr>
        <w:t>（3） 供应商和报价产品生产企业已通过浙江政府采购网申请注册并成为正式入库供应商的网页打印件并（网页打印件应当显示为小型或微型企业）加盖公章。</w:t>
      </w:r>
    </w:p>
    <w:p>
      <w:pPr>
        <w:ind w:firstLine="482"/>
        <w:rPr>
          <w:rFonts w:ascii="宋体" w:hAnsi="宋体"/>
          <w:b/>
          <w:bCs/>
          <w:szCs w:val="21"/>
        </w:rPr>
      </w:pPr>
    </w:p>
    <w:p>
      <w:pPr>
        <w:pStyle w:val="2"/>
        <w:rPr>
          <w:rFonts w:ascii="宋体" w:hAnsi="宋体" w:eastAsia="宋体" w:cs="宋体"/>
          <w:color w:val="auto"/>
        </w:rPr>
      </w:pPr>
    </w:p>
    <w:p>
      <w:pPr>
        <w:jc w:val="center"/>
        <w:rPr>
          <w:rFonts w:ascii="宋体" w:hAnsi="宋体"/>
          <w:b/>
          <w:sz w:val="32"/>
          <w:szCs w:val="32"/>
        </w:rPr>
      </w:pPr>
      <w:r>
        <w:rPr>
          <w:rFonts w:hint="eastAsia" w:ascii="宋体" w:hAnsi="宋体"/>
          <w:b/>
          <w:sz w:val="32"/>
          <w:szCs w:val="32"/>
        </w:rPr>
        <w:t>小企业资格确认意见书</w:t>
      </w:r>
    </w:p>
    <w:p>
      <w:pPr>
        <w:ind w:firstLine="480"/>
        <w:rPr>
          <w:rFonts w:ascii="宋体" w:hAnsi="宋体"/>
          <w:szCs w:val="21"/>
        </w:rPr>
      </w:pPr>
    </w:p>
    <w:p>
      <w:pPr>
        <w:ind w:firstLine="480" w:firstLineChars="200"/>
        <w:rPr>
          <w:rFonts w:ascii="宋体" w:hAnsi="宋体"/>
        </w:rPr>
      </w:pPr>
      <w:r>
        <w:rPr>
          <w:rFonts w:hint="eastAsia" w:ascii="宋体" w:hAnsi="宋体"/>
        </w:rPr>
        <w:t>根据《工业和信息化部、国家统计局、国家发展和改革委员会、财政部关于印发中小企业划型标准规定的通知》（工信部联企业[2011]300号）规定的划分标准，兹确认</w:t>
      </w:r>
      <w:r>
        <w:rPr>
          <w:rFonts w:hint="eastAsia" w:ascii="宋体" w:hAnsi="宋体"/>
          <w:u w:val="single"/>
        </w:rPr>
        <w:t xml:space="preserve">    </w:t>
      </w:r>
      <w:r>
        <w:rPr>
          <w:rFonts w:hint="eastAsia" w:ascii="宋体" w:hAnsi="宋体"/>
        </w:rPr>
        <w:t>公司为</w:t>
      </w:r>
      <w:r>
        <w:rPr>
          <w:rFonts w:hint="eastAsia" w:ascii="宋体" w:hAnsi="宋体"/>
          <w:u w:val="single"/>
        </w:rPr>
        <w:t xml:space="preserve">     </w:t>
      </w:r>
      <w:r>
        <w:rPr>
          <w:rFonts w:hint="eastAsia" w:ascii="宋体" w:hAnsi="宋体"/>
        </w:rPr>
        <w:t>行业的</w:t>
      </w:r>
      <w:r>
        <w:rPr>
          <w:rFonts w:hint="eastAsia" w:ascii="宋体" w:hAnsi="宋体"/>
          <w:u w:val="single"/>
        </w:rPr>
        <w:t xml:space="preserve">   </w:t>
      </w:r>
      <w:r>
        <w:rPr>
          <w:rFonts w:hint="eastAsia" w:ascii="宋体" w:hAnsi="宋体"/>
        </w:rPr>
        <w:t>（请填写：中型、小型、微型）企业</w:t>
      </w:r>
    </w:p>
    <w:p>
      <w:pPr>
        <w:ind w:firstLine="480" w:firstLineChars="200"/>
        <w:rPr>
          <w:rFonts w:ascii="宋体" w:hAnsi="宋体"/>
        </w:rPr>
      </w:pPr>
    </w:p>
    <w:p>
      <w:pPr>
        <w:ind w:firstLine="480" w:firstLineChars="200"/>
        <w:rPr>
          <w:rFonts w:ascii="宋体" w:hAnsi="宋体"/>
        </w:rPr>
      </w:pPr>
    </w:p>
    <w:p>
      <w:pPr>
        <w:ind w:firstLine="480" w:firstLineChars="200"/>
        <w:rPr>
          <w:rFonts w:ascii="宋体" w:hAnsi="宋体"/>
        </w:rPr>
      </w:pPr>
    </w:p>
    <w:p>
      <w:pPr>
        <w:ind w:firstLine="480" w:firstLineChars="200"/>
        <w:rPr>
          <w:rFonts w:ascii="宋体" w:hAnsi="宋体"/>
        </w:rPr>
      </w:pPr>
    </w:p>
    <w:p>
      <w:pPr>
        <w:ind w:firstLine="2880" w:firstLineChars="1200"/>
        <w:rPr>
          <w:rFonts w:ascii="宋体" w:hAnsi="宋体"/>
        </w:rPr>
      </w:pPr>
      <w:r>
        <w:rPr>
          <w:rFonts w:hint="eastAsia" w:ascii="宋体" w:hAnsi="宋体"/>
        </w:rPr>
        <w:t>省（市、县、区）中小企业局或其他具有认定资格的职能部门</w:t>
      </w:r>
    </w:p>
    <w:p>
      <w:pPr>
        <w:ind w:firstLine="480" w:firstLineChars="200"/>
        <w:rPr>
          <w:rFonts w:ascii="宋体" w:hAnsi="宋体"/>
        </w:rPr>
      </w:pPr>
    </w:p>
    <w:p>
      <w:pPr>
        <w:ind w:firstLine="5520" w:firstLineChars="2300"/>
        <w:rPr>
          <w:rFonts w:ascii="宋体" w:hAnsi="宋体"/>
        </w:rPr>
      </w:pPr>
      <w:r>
        <w:rPr>
          <w:rFonts w:hint="eastAsia" w:ascii="宋体" w:hAnsi="宋体"/>
        </w:rPr>
        <w:t>年     月     日</w:t>
      </w:r>
    </w:p>
    <w:p>
      <w:pPr>
        <w:ind w:firstLine="480" w:firstLineChars="200"/>
        <w:rPr>
          <w:rFonts w:ascii="宋体" w:hAnsi="宋体"/>
        </w:rPr>
        <w:sectPr>
          <w:headerReference r:id="rId15" w:type="default"/>
          <w:footerReference r:id="rId16" w:type="default"/>
          <w:pgSz w:w="11907" w:h="16840"/>
          <w:pgMar w:top="1247" w:right="1304" w:bottom="1021" w:left="1304" w:header="720" w:footer="720" w:gutter="0"/>
          <w:cols w:space="720" w:num="1"/>
          <w:docGrid w:linePitch="286" w:charSpace="0"/>
        </w:sectPr>
      </w:pPr>
    </w:p>
    <w:p>
      <w:pPr>
        <w:rPr>
          <w:rFonts w:ascii="宋体" w:hAnsi="宋体"/>
          <w:b/>
          <w:bCs/>
          <w:sz w:val="21"/>
          <w:szCs w:val="21"/>
        </w:rPr>
      </w:pPr>
    </w:p>
    <w:p>
      <w:pPr>
        <w:pStyle w:val="6"/>
        <w:jc w:val="center"/>
        <w:rPr>
          <w:rFonts w:ascii="宋体" w:hAnsi="宋体" w:cs="宋体"/>
          <w:sz w:val="32"/>
          <w:szCs w:val="32"/>
        </w:rPr>
      </w:pPr>
      <w:r>
        <w:rPr>
          <w:rFonts w:hint="eastAsia" w:ascii="宋体" w:hAnsi="宋体" w:cs="宋体"/>
          <w:sz w:val="32"/>
          <w:szCs w:val="32"/>
        </w:rPr>
        <w:t>监狱企业资格证明材料</w:t>
      </w:r>
    </w:p>
    <w:p>
      <w:pPr>
        <w:jc w:val="center"/>
        <w:rPr>
          <w:rFonts w:ascii="宋体" w:hAnsi="宋体"/>
          <w:b/>
          <w:bCs/>
          <w:sz w:val="21"/>
          <w:szCs w:val="21"/>
        </w:rPr>
      </w:pPr>
      <w:r>
        <w:rPr>
          <w:rFonts w:hint="eastAsia" w:ascii="宋体" w:hAnsi="宋体"/>
          <w:b/>
          <w:bCs/>
          <w:sz w:val="21"/>
          <w:szCs w:val="21"/>
        </w:rPr>
        <w:t>（省级以上监狱管理局、戒毒管理局（含新疆生产建设兵团）出具的属于监狱企业的证明文件）</w:t>
      </w:r>
    </w:p>
    <w:p>
      <w:pPr>
        <w:rPr>
          <w:rFonts w:ascii="宋体" w:hAnsi="宋体"/>
          <w:b/>
          <w:bCs/>
          <w:sz w:val="21"/>
          <w:szCs w:val="21"/>
        </w:rPr>
      </w:pPr>
      <w:r>
        <w:rPr>
          <w:rFonts w:hint="eastAsia" w:ascii="宋体" w:hAnsi="宋体"/>
          <w:b/>
          <w:bCs/>
          <w:sz w:val="21"/>
          <w:szCs w:val="21"/>
        </w:rPr>
        <w:t>说明：监狱企业视同小型、微型企业。</w:t>
      </w:r>
    </w:p>
    <w:p>
      <w:pPr>
        <w:rPr>
          <w:rFonts w:ascii="宋体" w:hAnsi="宋体"/>
          <w:b/>
          <w:spacing w:val="-6"/>
          <w:sz w:val="52"/>
          <w:szCs w:val="52"/>
        </w:rPr>
      </w:pPr>
    </w:p>
    <w:p>
      <w:pPr>
        <w:pStyle w:val="6"/>
        <w:jc w:val="center"/>
        <w:rPr>
          <w:rFonts w:ascii="宋体" w:hAnsi="宋体" w:cs="宋体"/>
          <w:b w:val="0"/>
          <w:spacing w:val="6"/>
        </w:rPr>
      </w:pPr>
      <w:r>
        <w:rPr>
          <w:rFonts w:hint="eastAsia" w:ascii="宋体" w:hAnsi="宋体" w:cs="宋体"/>
          <w:b w:val="0"/>
          <w:spacing w:val="-6"/>
          <w:sz w:val="52"/>
          <w:szCs w:val="52"/>
        </w:rPr>
        <w:br w:type="page"/>
      </w:r>
      <w:r>
        <w:rPr>
          <w:rFonts w:hint="eastAsia" w:ascii="宋体" w:hAnsi="宋体" w:cs="宋体"/>
          <w:sz w:val="32"/>
          <w:szCs w:val="32"/>
        </w:rPr>
        <w:t>残疾人福利性单位声明函</w:t>
      </w:r>
    </w:p>
    <w:p>
      <w:pPr>
        <w:jc w:val="center"/>
        <w:rPr>
          <w:rFonts w:ascii="宋体" w:hAnsi="宋体"/>
          <w:b/>
          <w:spacing w:val="6"/>
        </w:rPr>
      </w:pPr>
    </w:p>
    <w:p>
      <w:pPr>
        <w:ind w:firstLine="504" w:firstLineChars="200"/>
        <w:rPr>
          <w:rFonts w:ascii="宋体" w:hAnsi="宋体"/>
          <w:spacing w:val="6"/>
        </w:rPr>
      </w:pPr>
      <w:r>
        <w:rPr>
          <w:rFonts w:hint="eastAsia" w:ascii="宋体" w:hAnsi="宋体"/>
          <w:spacing w:val="6"/>
        </w:rPr>
        <w:t>本单位郑重声明，根据《财政部 民政部 中国残疾人联合会关于促进残疾人就业政府采购政策的通知》（财库</w:t>
      </w:r>
      <w:r>
        <w:rPr>
          <w:rFonts w:hint="eastAsia" w:ascii="宋体" w:hAnsi="宋体"/>
        </w:rPr>
        <w:t>[2017]141</w:t>
      </w:r>
      <w:r>
        <w:rPr>
          <w:rFonts w:hint="eastAsia" w:ascii="宋体" w:hAnsi="宋体"/>
          <w:spacing w:val="6"/>
        </w:rPr>
        <w:t>号）的规定，本单位为符合条件的残疾人福利性单位，且本单位参加</w:t>
      </w:r>
      <w:r>
        <w:rPr>
          <w:rFonts w:hint="eastAsia" w:ascii="宋体" w:hAnsi="宋体"/>
          <w:bCs/>
          <w:u w:val="single"/>
        </w:rPr>
        <w:t>（项目名称）</w:t>
      </w:r>
      <w:r>
        <w:rPr>
          <w:rFonts w:hint="eastAsia" w:ascii="宋体" w:hAnsi="宋体"/>
          <w:spacing w:val="6"/>
        </w:rPr>
        <w:t>采购活动提供本单位制造的货物，或者提供其他残疾人福利性单位制造的货物（不包括使用非残疾人福利性单位注册商标的货物）。</w:t>
      </w:r>
    </w:p>
    <w:p>
      <w:pPr>
        <w:ind w:firstLine="504" w:firstLineChars="200"/>
        <w:rPr>
          <w:rFonts w:ascii="宋体" w:hAnsi="宋体"/>
          <w:spacing w:val="6"/>
        </w:rPr>
      </w:pPr>
      <w:r>
        <w:rPr>
          <w:rFonts w:hint="eastAsia" w:ascii="宋体" w:hAnsi="宋体"/>
          <w:spacing w:val="6"/>
        </w:rPr>
        <w:t>本单位对上述声明的真实性负责。如有虚假，将依法承担相应责任。</w:t>
      </w:r>
    </w:p>
    <w:p>
      <w:pPr>
        <w:rPr>
          <w:rFonts w:ascii="宋体" w:hAnsi="宋体"/>
          <w:spacing w:val="-6"/>
        </w:rPr>
      </w:pPr>
    </w:p>
    <w:p>
      <w:pPr>
        <w:rPr>
          <w:rFonts w:ascii="宋体" w:hAnsi="宋体"/>
          <w:spacing w:val="-6"/>
        </w:rPr>
      </w:pPr>
      <w:r>
        <w:rPr>
          <w:rFonts w:hint="eastAsia" w:ascii="宋体" w:hAnsi="宋体"/>
          <w:spacing w:val="-6"/>
        </w:rPr>
        <w:t>磋商响应供应商名称（</w:t>
      </w:r>
      <w:r>
        <w:rPr>
          <w:rFonts w:hint="eastAsia" w:ascii="宋体" w:hAnsi="宋体"/>
          <w:bCs/>
          <w:spacing w:val="-6"/>
        </w:rPr>
        <w:t>盖章）</w:t>
      </w:r>
      <w:r>
        <w:rPr>
          <w:rFonts w:hint="eastAsia" w:ascii="宋体" w:hAnsi="宋体"/>
          <w:spacing w:val="-6"/>
        </w:rPr>
        <w:t>：</w:t>
      </w:r>
    </w:p>
    <w:p>
      <w:pPr>
        <w:rPr>
          <w:rFonts w:ascii="宋体" w:hAnsi="宋体"/>
          <w:spacing w:val="-6"/>
        </w:rPr>
      </w:pPr>
      <w:r>
        <w:rPr>
          <w:rFonts w:hint="eastAsia" w:ascii="宋体" w:hAnsi="宋体"/>
          <w:spacing w:val="-6"/>
        </w:rPr>
        <w:t>授权代表签字</w:t>
      </w:r>
      <w:r>
        <w:rPr>
          <w:rFonts w:hint="eastAsia" w:ascii="宋体" w:hAnsi="宋体"/>
          <w:bCs/>
          <w:spacing w:val="-6"/>
        </w:rPr>
        <w:t>：</w:t>
      </w:r>
    </w:p>
    <w:p>
      <w:pPr>
        <w:rPr>
          <w:rFonts w:ascii="宋体" w:hAnsi="宋体"/>
          <w:spacing w:val="-6"/>
        </w:rPr>
      </w:pPr>
      <w:r>
        <w:rPr>
          <w:rFonts w:hint="eastAsia" w:ascii="宋体" w:hAnsi="宋体"/>
          <w:bCs/>
          <w:spacing w:val="-6"/>
        </w:rPr>
        <w:t>日期：  年  月  日</w:t>
      </w:r>
    </w:p>
    <w:p>
      <w:pPr>
        <w:ind w:firstLine="506" w:firstLineChars="200"/>
        <w:jc w:val="left"/>
        <w:rPr>
          <w:rFonts w:ascii="宋体" w:hAnsi="宋体"/>
          <w:b/>
          <w:bCs/>
        </w:rPr>
      </w:pPr>
      <w:r>
        <w:rPr>
          <w:rFonts w:hint="eastAsia" w:ascii="宋体" w:hAnsi="宋体"/>
          <w:b/>
          <w:spacing w:val="6"/>
        </w:rPr>
        <w:t>磋商响应供应商不属于残疾人福利性单位的，无需提供此声明函，如提供所引起的后果由磋商响应供应商承担。</w:t>
      </w:r>
    </w:p>
    <w:p>
      <w:pPr>
        <w:rPr>
          <w:rFonts w:ascii="宋体" w:hAnsi="宋体"/>
          <w:b/>
          <w:bCs/>
          <w:sz w:val="21"/>
          <w:szCs w:val="21"/>
        </w:rPr>
      </w:pPr>
    </w:p>
    <w:p>
      <w:pPr>
        <w:rPr>
          <w:rFonts w:ascii="宋体" w:hAnsi="宋体"/>
          <w:b/>
          <w:bCs/>
          <w:sz w:val="21"/>
          <w:szCs w:val="21"/>
        </w:rPr>
      </w:pPr>
      <w:r>
        <w:rPr>
          <w:rFonts w:hint="eastAsia" w:ascii="宋体" w:hAnsi="宋体"/>
          <w:b/>
          <w:bCs/>
          <w:sz w:val="21"/>
          <w:szCs w:val="21"/>
        </w:rPr>
        <w:t>说明：</w:t>
      </w:r>
    </w:p>
    <w:p>
      <w:pPr>
        <w:ind w:firstLine="420"/>
        <w:rPr>
          <w:rFonts w:ascii="宋体" w:hAnsi="宋体"/>
        </w:rPr>
      </w:pPr>
      <w:r>
        <w:rPr>
          <w:rFonts w:hint="eastAsia" w:ascii="宋体" w:hAnsi="宋体"/>
        </w:rPr>
        <w:t>一、</w:t>
      </w:r>
      <w:r>
        <w:rPr>
          <w:rFonts w:hint="eastAsia" w:ascii="宋体" w:hAnsi="宋体"/>
          <w:spacing w:val="6"/>
          <w:sz w:val="21"/>
          <w:szCs w:val="21"/>
        </w:rPr>
        <w:t>若磋商响应供应商同时满足以下条件，则属于依法享受政府采购支持政策的残疾人福利性单位，可提供《残疾人福利性单位声明函》，并对声明的真实性负责：</w:t>
      </w:r>
    </w:p>
    <w:p>
      <w:pPr>
        <w:widowControl/>
        <w:shd w:val="clear" w:color="auto" w:fill="FFFFFF"/>
        <w:ind w:firstLine="444" w:firstLineChars="200"/>
        <w:jc w:val="left"/>
        <w:rPr>
          <w:rFonts w:ascii="宋体" w:hAnsi="宋体"/>
          <w:spacing w:val="6"/>
          <w:sz w:val="21"/>
          <w:szCs w:val="21"/>
        </w:rPr>
      </w:pPr>
      <w:r>
        <w:rPr>
          <w:rFonts w:hint="eastAsia" w:ascii="宋体" w:hAnsi="宋体"/>
          <w:spacing w:val="6"/>
          <w:sz w:val="21"/>
          <w:szCs w:val="21"/>
        </w:rPr>
        <w:t>(一)安置的残疾人占本单位在职职工人数的比例不低于25%（含25%），并且安置的残疾人人数不少于10人（含10人）；</w:t>
      </w:r>
    </w:p>
    <w:p>
      <w:pPr>
        <w:widowControl/>
        <w:shd w:val="clear" w:color="auto" w:fill="FFFFFF"/>
        <w:ind w:firstLine="444" w:firstLineChars="200"/>
        <w:jc w:val="left"/>
        <w:rPr>
          <w:rFonts w:ascii="宋体" w:hAnsi="宋体"/>
          <w:spacing w:val="6"/>
          <w:sz w:val="21"/>
          <w:szCs w:val="21"/>
        </w:rPr>
      </w:pPr>
      <w:r>
        <w:rPr>
          <w:rFonts w:hint="eastAsia" w:ascii="宋体" w:hAnsi="宋体"/>
          <w:spacing w:val="6"/>
          <w:sz w:val="21"/>
          <w:szCs w:val="21"/>
        </w:rPr>
        <w:t>(二)依法与安置的每位残疾人签订了一年以上（含一年）的劳动合同或服务协议；</w:t>
      </w:r>
    </w:p>
    <w:p>
      <w:pPr>
        <w:widowControl/>
        <w:shd w:val="clear" w:color="auto" w:fill="FFFFFF"/>
        <w:ind w:firstLine="444" w:firstLineChars="200"/>
        <w:jc w:val="left"/>
        <w:rPr>
          <w:rFonts w:ascii="宋体" w:hAnsi="宋体"/>
          <w:spacing w:val="6"/>
          <w:sz w:val="21"/>
          <w:szCs w:val="21"/>
        </w:rPr>
      </w:pPr>
      <w:r>
        <w:rPr>
          <w:rFonts w:hint="eastAsia" w:ascii="宋体" w:hAnsi="宋体"/>
          <w:spacing w:val="6"/>
          <w:sz w:val="21"/>
          <w:szCs w:val="21"/>
        </w:rPr>
        <w:t>(三)为安置的每位残疾人按月足额缴纳了基本养老保险、基本医疗保险、失业保险、工伤保险和生育保险等社会保险费；</w:t>
      </w:r>
    </w:p>
    <w:p>
      <w:pPr>
        <w:widowControl/>
        <w:shd w:val="clear" w:color="auto" w:fill="FFFFFF"/>
        <w:ind w:firstLine="444" w:firstLineChars="200"/>
        <w:jc w:val="left"/>
        <w:rPr>
          <w:rFonts w:ascii="宋体" w:hAnsi="宋体"/>
          <w:spacing w:val="6"/>
          <w:sz w:val="21"/>
          <w:szCs w:val="21"/>
        </w:rPr>
      </w:pPr>
      <w:r>
        <w:rPr>
          <w:rFonts w:hint="eastAsia" w:ascii="宋体" w:hAnsi="宋体"/>
          <w:spacing w:val="6"/>
          <w:sz w:val="21"/>
          <w:szCs w:val="21"/>
        </w:rPr>
        <w:t>(四)通过银行等金融机构向安置的每位残疾人，按月支付了不低于单位所在区县适用的经省级人民政府批准的月最低工资标准的工资；</w:t>
      </w:r>
    </w:p>
    <w:p>
      <w:pPr>
        <w:widowControl/>
        <w:shd w:val="clear" w:color="auto" w:fill="FFFFFF"/>
        <w:ind w:firstLine="444" w:firstLineChars="200"/>
        <w:jc w:val="left"/>
        <w:rPr>
          <w:rFonts w:ascii="宋体" w:hAnsi="宋体"/>
          <w:spacing w:val="6"/>
          <w:sz w:val="21"/>
          <w:szCs w:val="21"/>
        </w:rPr>
      </w:pPr>
      <w:r>
        <w:rPr>
          <w:rFonts w:hint="eastAsia" w:ascii="宋体" w:hAnsi="宋体"/>
          <w:spacing w:val="6"/>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ind w:firstLine="480" w:firstLineChars="200"/>
        <w:jc w:val="left"/>
        <w:rPr>
          <w:rFonts w:ascii="宋体" w:hAnsi="宋体"/>
          <w:spacing w:val="6"/>
          <w:sz w:val="21"/>
          <w:szCs w:val="21"/>
        </w:rPr>
      </w:pPr>
      <w:r>
        <w:rPr>
          <w:rFonts w:hint="eastAsia" w:ascii="宋体" w:hAnsi="宋体"/>
        </w:rPr>
        <w:t>1.</w:t>
      </w:r>
      <w:r>
        <w:rPr>
          <w:rFonts w:hint="eastAsia" w:ascii="宋体" w:hAnsi="宋体"/>
          <w:spacing w:val="6"/>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420" w:firstLineChars="200"/>
        <w:rPr>
          <w:rFonts w:ascii="宋体" w:hAnsi="宋体"/>
          <w:spacing w:val="-6"/>
        </w:rPr>
      </w:pPr>
      <w:r>
        <w:rPr>
          <w:rFonts w:hint="eastAsia" w:ascii="宋体" w:hAnsi="宋体"/>
          <w:bCs/>
          <w:sz w:val="21"/>
          <w:szCs w:val="21"/>
        </w:rPr>
        <w:t>2.成交供应商为残疾人福利性单位的，《残疾人福利性单位声明函》随成交结果同时公告，接受社会监督。</w:t>
      </w:r>
    </w:p>
    <w:p>
      <w:pPr>
        <w:pStyle w:val="6"/>
        <w:jc w:val="center"/>
        <w:rPr>
          <w:rFonts w:ascii="宋体" w:hAnsi="宋体" w:cs="宋体"/>
        </w:rPr>
      </w:pPr>
      <w:r>
        <w:rPr>
          <w:rFonts w:hint="eastAsia" w:ascii="宋体" w:hAnsi="宋体" w:cs="宋体"/>
          <w:b w:val="0"/>
          <w:spacing w:val="-6"/>
        </w:rPr>
        <w:br w:type="page"/>
      </w:r>
      <w:r>
        <w:rPr>
          <w:rFonts w:hint="eastAsia" w:ascii="宋体" w:hAnsi="宋体" w:cs="宋体"/>
          <w:sz w:val="32"/>
          <w:szCs w:val="32"/>
        </w:rPr>
        <w:t>廉政承诺书</w:t>
      </w:r>
    </w:p>
    <w:p>
      <w:pPr>
        <w:rPr>
          <w:rFonts w:ascii="宋体" w:hAnsi="宋体"/>
          <w:sz w:val="32"/>
          <w:szCs w:val="32"/>
        </w:rPr>
      </w:pPr>
    </w:p>
    <w:p>
      <w:pPr>
        <w:rPr>
          <w:rFonts w:ascii="宋体" w:hAnsi="宋体"/>
        </w:rPr>
      </w:pPr>
      <w:r>
        <w:rPr>
          <w:rFonts w:hint="eastAsia" w:ascii="宋体" w:hAnsi="宋体"/>
        </w:rPr>
        <w:t>浙江大学：</w:t>
      </w:r>
    </w:p>
    <w:p>
      <w:pPr>
        <w:pStyle w:val="2"/>
        <w:rPr>
          <w:rFonts w:ascii="宋体" w:hAnsi="宋体" w:eastAsia="宋体" w:cs="宋体"/>
          <w:color w:val="auto"/>
        </w:rPr>
      </w:pPr>
    </w:p>
    <w:p>
      <w:pPr>
        <w:ind w:firstLine="480"/>
        <w:rPr>
          <w:rFonts w:ascii="宋体" w:hAnsi="宋体"/>
        </w:rPr>
      </w:pPr>
      <w:r>
        <w:rPr>
          <w:rFonts w:hint="eastAsia" w:ascii="宋体" w:hAnsi="宋体"/>
        </w:rPr>
        <w:t>我单位响应你单位项目采购要求参加</w:t>
      </w:r>
      <w:r>
        <w:rPr>
          <w:rFonts w:hint="eastAsia" w:ascii="宋体" w:hAnsi="宋体"/>
          <w:spacing w:val="-6"/>
        </w:rPr>
        <w:t>响应</w:t>
      </w:r>
      <w:r>
        <w:rPr>
          <w:rFonts w:hint="eastAsia" w:ascii="宋体" w:hAnsi="宋体"/>
        </w:rPr>
        <w:t>。在这次</w:t>
      </w:r>
      <w:r>
        <w:rPr>
          <w:rFonts w:hint="eastAsia" w:ascii="宋体" w:hAnsi="宋体"/>
          <w:spacing w:val="-6"/>
        </w:rPr>
        <w:t>响应</w:t>
      </w:r>
      <w:r>
        <w:rPr>
          <w:rFonts w:hint="eastAsia" w:ascii="宋体" w:hAnsi="宋体"/>
        </w:rPr>
        <w:t xml:space="preserve">过程中和成交后，我们将严格遵守国家法律法规要求，并郑重承诺： </w:t>
      </w:r>
    </w:p>
    <w:p>
      <w:pPr>
        <w:ind w:firstLine="480"/>
        <w:rPr>
          <w:rFonts w:ascii="宋体" w:hAnsi="宋体"/>
        </w:rPr>
      </w:pPr>
      <w:r>
        <w:rPr>
          <w:rFonts w:hint="eastAsia" w:ascii="宋体" w:hAnsi="宋体"/>
        </w:rPr>
        <w:t>一、不向项目有关人员及部门赠送礼金礼物、有价证券、回扣以及中介费、介绍费、咨询费等好处费；</w:t>
      </w:r>
    </w:p>
    <w:p>
      <w:pPr>
        <w:ind w:firstLine="480"/>
        <w:rPr>
          <w:rFonts w:ascii="宋体" w:hAnsi="宋体"/>
        </w:rPr>
      </w:pPr>
      <w:r>
        <w:rPr>
          <w:rFonts w:hint="eastAsia" w:ascii="宋体" w:hAnsi="宋体"/>
        </w:rPr>
        <w:t>二、不为项目有关人员及部门报销应由你方单位或个人支付的费用；</w:t>
      </w:r>
    </w:p>
    <w:p>
      <w:pPr>
        <w:ind w:firstLine="480"/>
        <w:rPr>
          <w:rFonts w:ascii="宋体" w:hAnsi="宋体"/>
        </w:rPr>
      </w:pPr>
      <w:r>
        <w:rPr>
          <w:rFonts w:hint="eastAsia" w:ascii="宋体" w:hAnsi="宋体"/>
        </w:rPr>
        <w:t>三、不向项目有关人员及部门提供有可能影响公正的宴请和健身娱乐等活动；</w:t>
      </w:r>
    </w:p>
    <w:p>
      <w:pPr>
        <w:ind w:firstLine="480"/>
        <w:rPr>
          <w:rFonts w:ascii="宋体" w:hAnsi="宋体"/>
        </w:rPr>
      </w:pPr>
      <w:r>
        <w:rPr>
          <w:rFonts w:hint="eastAsia" w:ascii="宋体" w:hAnsi="宋体"/>
        </w:rPr>
        <w:t>四、不为项目有关人员及部门出国（境）、旅游等提供方便；</w:t>
      </w:r>
    </w:p>
    <w:p>
      <w:pPr>
        <w:ind w:firstLine="480"/>
        <w:rPr>
          <w:rFonts w:ascii="宋体" w:hAnsi="宋体"/>
        </w:rPr>
      </w:pPr>
      <w:r>
        <w:rPr>
          <w:rFonts w:hint="eastAsia" w:ascii="宋体" w:hAnsi="宋体"/>
        </w:rPr>
        <w:t>五、不为项目有关人员个人装修住房、婚丧嫁娶、配偶子女工作安排等提供好处；</w:t>
      </w:r>
    </w:p>
    <w:p>
      <w:pPr>
        <w:ind w:firstLine="480"/>
        <w:rPr>
          <w:rFonts w:ascii="宋体" w:hAnsi="宋体"/>
        </w:rPr>
      </w:pPr>
      <w:r>
        <w:rPr>
          <w:rFonts w:hint="eastAsia" w:ascii="宋体" w:hAnsi="宋体"/>
        </w:rPr>
        <w:t>六、严格遵守政府采购法、招标投标法、合同法等法律，诚实守信，合法经营，坚决抵制各种违法违纪行为。</w:t>
      </w:r>
    </w:p>
    <w:p>
      <w:pPr>
        <w:ind w:firstLine="480"/>
        <w:rPr>
          <w:rFonts w:ascii="宋体" w:hAnsi="宋体"/>
        </w:rPr>
      </w:pPr>
      <w:r>
        <w:rPr>
          <w:rFonts w:hint="eastAsia" w:ascii="宋体" w:hAnsi="宋体"/>
        </w:rPr>
        <w:t>如违反上述承诺，你单位有权立即取消我单位</w:t>
      </w:r>
      <w:r>
        <w:rPr>
          <w:rFonts w:hint="eastAsia" w:ascii="宋体" w:hAnsi="宋体"/>
          <w:spacing w:val="-6"/>
        </w:rPr>
        <w:t>响应</w:t>
      </w:r>
      <w:r>
        <w:rPr>
          <w:rFonts w:hint="eastAsia" w:ascii="宋体" w:hAnsi="宋体"/>
        </w:rPr>
        <w:t>、成交或在建项目的建设资格，有权拒绝我单位在一定时期内进入你单位进行工程建设或其他经营活动，并通报省采购监管处。由此引起的相应损失均由我单位承担。</w:t>
      </w:r>
    </w:p>
    <w:p>
      <w:pPr>
        <w:rPr>
          <w:rFonts w:ascii="宋体" w:hAnsi="宋体"/>
        </w:rPr>
      </w:pPr>
    </w:p>
    <w:p>
      <w:pPr>
        <w:rPr>
          <w:rFonts w:ascii="宋体" w:hAnsi="宋体"/>
        </w:rPr>
      </w:pPr>
    </w:p>
    <w:p>
      <w:pPr>
        <w:jc w:val="left"/>
        <w:rPr>
          <w:rFonts w:ascii="宋体" w:hAnsi="宋体"/>
        </w:rPr>
      </w:pPr>
    </w:p>
    <w:p>
      <w:pPr>
        <w:rPr>
          <w:rFonts w:ascii="宋体" w:hAnsi="宋体"/>
          <w:spacing w:val="-6"/>
        </w:rPr>
      </w:pPr>
      <w:r>
        <w:rPr>
          <w:rFonts w:hint="eastAsia" w:ascii="宋体" w:hAnsi="宋体"/>
          <w:spacing w:val="-6"/>
        </w:rPr>
        <w:t>磋商响应供应商名称（</w:t>
      </w:r>
      <w:r>
        <w:rPr>
          <w:rFonts w:hint="eastAsia" w:ascii="宋体" w:hAnsi="宋体"/>
          <w:bCs/>
          <w:spacing w:val="-6"/>
        </w:rPr>
        <w:t>盖章）</w:t>
      </w:r>
      <w:r>
        <w:rPr>
          <w:rFonts w:hint="eastAsia" w:ascii="宋体" w:hAnsi="宋体"/>
          <w:spacing w:val="-6"/>
        </w:rPr>
        <w:t>：</w:t>
      </w:r>
    </w:p>
    <w:p>
      <w:pPr>
        <w:rPr>
          <w:rFonts w:ascii="宋体" w:hAnsi="宋体"/>
          <w:spacing w:val="-6"/>
        </w:rPr>
      </w:pPr>
      <w:r>
        <w:rPr>
          <w:rFonts w:hint="eastAsia" w:ascii="宋体" w:hAnsi="宋体"/>
          <w:spacing w:val="-6"/>
        </w:rPr>
        <w:t>授权代表签字</w:t>
      </w:r>
      <w:r>
        <w:rPr>
          <w:rFonts w:hint="eastAsia" w:ascii="宋体" w:hAnsi="宋体"/>
          <w:bCs/>
          <w:spacing w:val="-6"/>
        </w:rPr>
        <w:t>：</w:t>
      </w:r>
    </w:p>
    <w:p>
      <w:pPr>
        <w:rPr>
          <w:rFonts w:ascii="宋体" w:hAnsi="宋体"/>
          <w:bCs/>
          <w:spacing w:val="-6"/>
        </w:rPr>
      </w:pPr>
      <w:r>
        <w:rPr>
          <w:rFonts w:hint="eastAsia" w:ascii="宋体" w:hAnsi="宋体"/>
          <w:bCs/>
          <w:spacing w:val="-6"/>
        </w:rPr>
        <w:t>日期：    年  月  日</w:t>
      </w:r>
    </w:p>
    <w:p>
      <w:pPr>
        <w:rPr>
          <w:rFonts w:ascii="宋体" w:hAnsi="宋体"/>
          <w:bCs/>
          <w:spacing w:val="-6"/>
        </w:rPr>
      </w:pPr>
      <w:r>
        <w:rPr>
          <w:rFonts w:hint="eastAsia" w:ascii="宋体" w:hAnsi="宋体"/>
          <w:bCs/>
          <w:spacing w:val="-6"/>
        </w:rPr>
        <w:br w:type="page"/>
      </w:r>
    </w:p>
    <w:p>
      <w:pPr>
        <w:pStyle w:val="6"/>
        <w:jc w:val="center"/>
        <w:rPr>
          <w:rFonts w:ascii="宋体" w:hAnsi="宋体" w:cs="宋体"/>
          <w:sz w:val="32"/>
          <w:szCs w:val="32"/>
        </w:rPr>
      </w:pPr>
      <w:r>
        <w:rPr>
          <w:rFonts w:hint="eastAsia" w:ascii="宋体" w:hAnsi="宋体" w:cs="宋体"/>
          <w:sz w:val="32"/>
          <w:szCs w:val="32"/>
        </w:rPr>
        <w:t>商务偏离表</w:t>
      </w:r>
    </w:p>
    <w:p>
      <w:pPr>
        <w:rPr>
          <w:rFonts w:ascii="宋体" w:hAnsi="宋体"/>
          <w:spacing w:val="-6"/>
        </w:rPr>
      </w:pPr>
      <w:r>
        <w:rPr>
          <w:rFonts w:hint="eastAsia" w:ascii="宋体" w:hAnsi="宋体"/>
          <w:bCs/>
          <w:spacing w:val="-6"/>
        </w:rPr>
        <w:t>项目名称：</w:t>
      </w:r>
    </w:p>
    <w:p>
      <w:pPr>
        <w:rPr>
          <w:rFonts w:ascii="宋体" w:hAnsi="宋体"/>
          <w:bCs/>
          <w:spacing w:val="-6"/>
        </w:rPr>
      </w:pPr>
      <w:r>
        <w:rPr>
          <w:rFonts w:hint="eastAsia" w:ascii="宋体" w:hAnsi="宋体"/>
          <w:bCs/>
          <w:spacing w:val="-6"/>
        </w:rPr>
        <w:t>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518"/>
        <w:gridCol w:w="2126"/>
        <w:gridCol w:w="2127"/>
        <w:gridCol w:w="283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pacing w:val="-6"/>
              </w:rPr>
            </w:pPr>
            <w:r>
              <w:rPr>
                <w:rFonts w:hint="eastAsia" w:ascii="宋体" w:hAnsi="宋体"/>
                <w:b/>
                <w:spacing w:val="-6"/>
              </w:rPr>
              <w:t>项目</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pacing w:val="-6"/>
              </w:rPr>
            </w:pPr>
            <w:r>
              <w:rPr>
                <w:rFonts w:hint="eastAsia" w:ascii="宋体" w:hAnsi="宋体"/>
                <w:b/>
                <w:spacing w:val="-6"/>
              </w:rPr>
              <w:t>磋商文件要求</w:t>
            </w:r>
          </w:p>
        </w:tc>
        <w:tc>
          <w:tcPr>
            <w:tcW w:w="21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pacing w:val="-6"/>
              </w:rPr>
            </w:pPr>
            <w:r>
              <w:rPr>
                <w:rFonts w:hint="eastAsia" w:ascii="宋体" w:hAnsi="宋体"/>
                <w:b/>
                <w:spacing w:val="-6"/>
              </w:rPr>
              <w:t>响应规格</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pacing w:val="-6"/>
              </w:rPr>
            </w:pPr>
            <w:r>
              <w:rPr>
                <w:rFonts w:hint="eastAsia" w:ascii="宋体" w:hAnsi="宋体"/>
                <w:b/>
                <w:spacing w:val="-6"/>
              </w:rPr>
              <w:t>是否偏离</w:t>
            </w:r>
          </w:p>
          <w:p>
            <w:pPr>
              <w:jc w:val="center"/>
              <w:rPr>
                <w:rFonts w:ascii="宋体" w:hAnsi="宋体"/>
                <w:b/>
                <w:spacing w:val="-6"/>
              </w:rPr>
            </w:pPr>
            <w:r>
              <w:rPr>
                <w:rFonts w:hint="eastAsia" w:ascii="宋体" w:hAnsi="宋体"/>
                <w:b/>
                <w:spacing w:val="-6"/>
              </w:rPr>
              <w:t>（提供说明）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1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1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127"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c>
          <w:tcPr>
            <w:tcW w:w="2835"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127"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c>
          <w:tcPr>
            <w:tcW w:w="2835"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5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r>
              <w:rPr>
                <w:rFonts w:hint="eastAsia" w:ascii="宋体" w:hAnsi="宋体"/>
                <w:spacing w:val="-6"/>
                <w:sz w:val="21"/>
                <w:szCs w:val="21"/>
              </w:rPr>
              <w:t>...</w:t>
            </w: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rPr>
            </w:pPr>
          </w:p>
        </w:tc>
        <w:tc>
          <w:tcPr>
            <w:tcW w:w="2127"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c>
          <w:tcPr>
            <w:tcW w:w="2835" w:type="dxa"/>
            <w:tcBorders>
              <w:top w:val="single" w:color="auto" w:sz="4" w:space="0"/>
              <w:left w:val="single" w:color="auto" w:sz="4" w:space="0"/>
              <w:bottom w:val="single" w:color="auto" w:sz="4" w:space="0"/>
              <w:right w:val="single" w:color="auto" w:sz="4" w:space="0"/>
            </w:tcBorders>
            <w:vAlign w:val="center"/>
          </w:tcPr>
          <w:p>
            <w:pPr>
              <w:ind w:left="43"/>
              <w:jc w:val="center"/>
              <w:rPr>
                <w:rFonts w:ascii="宋体" w:hAnsi="宋体"/>
                <w:spacing w:val="-6"/>
              </w:rPr>
            </w:pPr>
          </w:p>
        </w:tc>
      </w:tr>
    </w:tbl>
    <w:p>
      <w:pPr>
        <w:rPr>
          <w:rFonts w:ascii="宋体" w:hAnsi="宋体"/>
          <w:b/>
          <w:bCs/>
          <w:spacing w:val="-6"/>
        </w:rPr>
      </w:pPr>
    </w:p>
    <w:p>
      <w:pPr>
        <w:rPr>
          <w:rFonts w:ascii="宋体" w:hAnsi="宋体"/>
          <w:b/>
          <w:bCs/>
          <w:spacing w:val="-6"/>
        </w:rPr>
      </w:pPr>
      <w:r>
        <w:rPr>
          <w:rFonts w:hint="eastAsia" w:ascii="宋体" w:hAnsi="宋体"/>
          <w:b/>
          <w:bCs/>
          <w:spacing w:val="-6"/>
        </w:rPr>
        <w:t>说明：</w:t>
      </w:r>
    </w:p>
    <w:p>
      <w:pPr>
        <w:rPr>
          <w:rFonts w:ascii="宋体" w:hAnsi="宋体"/>
          <w:b/>
          <w:bCs/>
          <w:spacing w:val="-6"/>
        </w:rPr>
      </w:pPr>
      <w:r>
        <w:rPr>
          <w:rFonts w:hint="eastAsia" w:ascii="宋体" w:hAnsi="宋体"/>
          <w:b/>
          <w:bCs/>
          <w:spacing w:val="-6"/>
        </w:rPr>
        <w:t>1.逐项按照磋商文件要求填写响应规格。</w:t>
      </w:r>
    </w:p>
    <w:p>
      <w:pPr>
        <w:rPr>
          <w:rFonts w:ascii="宋体" w:hAnsi="宋体"/>
          <w:b/>
          <w:bCs/>
          <w:spacing w:val="-6"/>
        </w:rPr>
      </w:pPr>
      <w:r>
        <w:rPr>
          <w:rFonts w:hint="eastAsia" w:ascii="宋体" w:hAnsi="宋体"/>
          <w:b/>
          <w:bCs/>
          <w:spacing w:val="-6"/>
        </w:rPr>
        <w:t>2.偏离说明是指对磋商文件要求存在不同之处的解释说明。偏离系指：正偏离（高于响应要求）、负偏离（低于响应要求）、无偏离（满足响应要求）。</w:t>
      </w:r>
    </w:p>
    <w:p>
      <w:pPr>
        <w:rPr>
          <w:rFonts w:ascii="宋体" w:hAnsi="宋体"/>
          <w:b/>
          <w:bCs/>
          <w:spacing w:val="-6"/>
        </w:rPr>
      </w:pPr>
      <w:r>
        <w:rPr>
          <w:rFonts w:hint="eastAsia" w:ascii="宋体" w:hAnsi="宋体"/>
          <w:b/>
          <w:bCs/>
          <w:spacing w:val="-6"/>
        </w:rPr>
        <w:t>3.如不填写或填写不全或未如实填写，自行承担磋商响应风险。</w:t>
      </w:r>
    </w:p>
    <w:p>
      <w:pPr>
        <w:rPr>
          <w:rFonts w:ascii="宋体" w:hAnsi="宋体"/>
          <w:spacing w:val="-6"/>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法定代表人或其授权代表（签字或盖章）：</w:t>
      </w:r>
    </w:p>
    <w:p>
      <w:pPr>
        <w:rPr>
          <w:rFonts w:ascii="宋体" w:hAnsi="宋体"/>
          <w:spacing w:val="-6"/>
        </w:rPr>
      </w:pPr>
      <w:r>
        <w:rPr>
          <w:rFonts w:hint="eastAsia" w:ascii="宋体" w:hAnsi="宋体"/>
          <w:bCs/>
          <w:spacing w:val="-6"/>
        </w:rPr>
        <w:t>日期：  年  月  日</w:t>
      </w:r>
    </w:p>
    <w:p>
      <w:pPr>
        <w:pStyle w:val="2"/>
        <w:rPr>
          <w:rFonts w:ascii="宋体" w:hAnsi="宋体" w:eastAsia="宋体" w:cs="宋体"/>
          <w:color w:val="auto"/>
        </w:rPr>
      </w:pPr>
    </w:p>
    <w:p>
      <w:pPr>
        <w:jc w:val="center"/>
        <w:rPr>
          <w:rFonts w:ascii="宋体" w:hAnsi="宋体"/>
          <w:b/>
          <w:spacing w:val="-6"/>
        </w:rPr>
      </w:pPr>
      <w:r>
        <w:rPr>
          <w:rFonts w:hint="eastAsia" w:ascii="宋体" w:hAnsi="宋体"/>
          <w:b/>
          <w:spacing w:val="-6"/>
        </w:rPr>
        <w:br w:type="page"/>
      </w:r>
    </w:p>
    <w:p>
      <w:pPr>
        <w:pStyle w:val="6"/>
        <w:jc w:val="center"/>
        <w:rPr>
          <w:rFonts w:ascii="宋体" w:hAnsi="宋体" w:cs="宋体"/>
          <w:b w:val="0"/>
          <w:spacing w:val="-6"/>
        </w:rPr>
      </w:pPr>
      <w:r>
        <w:rPr>
          <w:rFonts w:hint="eastAsia" w:ascii="宋体" w:hAnsi="宋体" w:cs="宋体"/>
          <w:bCs/>
          <w:spacing w:val="-6"/>
        </w:rPr>
        <w:t>磋商响应供应商一般情况</w:t>
      </w:r>
    </w:p>
    <w:tbl>
      <w:tblPr>
        <w:tblStyle w:val="27"/>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1</w:t>
            </w:r>
          </w:p>
        </w:tc>
        <w:tc>
          <w:tcPr>
            <w:tcW w:w="8868" w:type="dxa"/>
            <w:gridSpan w:val="3"/>
            <w:vAlign w:val="center"/>
          </w:tcPr>
          <w:p>
            <w:pPr>
              <w:rPr>
                <w:rFonts w:ascii="宋体" w:hAnsi="宋体"/>
                <w:spacing w:val="-6"/>
              </w:rPr>
            </w:pPr>
            <w:r>
              <w:rPr>
                <w:rFonts w:hint="eastAsia" w:ascii="宋体" w:hAnsi="宋体"/>
                <w:spacing w:val="-6"/>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2</w:t>
            </w:r>
          </w:p>
        </w:tc>
        <w:tc>
          <w:tcPr>
            <w:tcW w:w="8868" w:type="dxa"/>
            <w:gridSpan w:val="3"/>
            <w:vAlign w:val="center"/>
          </w:tcPr>
          <w:p>
            <w:pPr>
              <w:rPr>
                <w:rFonts w:ascii="宋体" w:hAnsi="宋体"/>
                <w:spacing w:val="-6"/>
              </w:rPr>
            </w:pPr>
            <w:r>
              <w:rPr>
                <w:rFonts w:hint="eastAsia" w:ascii="宋体" w:hAnsi="宋体"/>
                <w:spacing w:val="-6"/>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3</w:t>
            </w:r>
          </w:p>
        </w:tc>
        <w:tc>
          <w:tcPr>
            <w:tcW w:w="8868" w:type="dxa"/>
            <w:gridSpan w:val="3"/>
            <w:vAlign w:val="center"/>
          </w:tcPr>
          <w:p>
            <w:pPr>
              <w:rPr>
                <w:rFonts w:ascii="宋体" w:hAnsi="宋体"/>
                <w:spacing w:val="-6"/>
              </w:rPr>
            </w:pPr>
            <w:r>
              <w:rPr>
                <w:rFonts w:hint="eastAsia" w:ascii="宋体" w:hAnsi="宋体"/>
                <w:spacing w:val="-6"/>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4</w:t>
            </w:r>
          </w:p>
        </w:tc>
        <w:tc>
          <w:tcPr>
            <w:tcW w:w="4305" w:type="dxa"/>
            <w:gridSpan w:val="2"/>
            <w:vAlign w:val="center"/>
          </w:tcPr>
          <w:p>
            <w:pPr>
              <w:rPr>
                <w:rFonts w:ascii="宋体" w:hAnsi="宋体"/>
                <w:spacing w:val="-6"/>
              </w:rPr>
            </w:pPr>
            <w:r>
              <w:rPr>
                <w:rFonts w:hint="eastAsia" w:ascii="宋体" w:hAnsi="宋体"/>
                <w:spacing w:val="-6"/>
              </w:rPr>
              <w:t>电话：</w:t>
            </w:r>
          </w:p>
        </w:tc>
        <w:tc>
          <w:tcPr>
            <w:tcW w:w="4563" w:type="dxa"/>
            <w:vAlign w:val="center"/>
          </w:tcPr>
          <w:p>
            <w:pPr>
              <w:rPr>
                <w:rFonts w:ascii="宋体" w:hAnsi="宋体"/>
                <w:spacing w:val="-6"/>
              </w:rPr>
            </w:pPr>
            <w:r>
              <w:rPr>
                <w:rFonts w:hint="eastAsia" w:ascii="宋体" w:hAnsi="宋体"/>
                <w:spacing w:val="-6"/>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5</w:t>
            </w:r>
          </w:p>
        </w:tc>
        <w:tc>
          <w:tcPr>
            <w:tcW w:w="4305" w:type="dxa"/>
            <w:gridSpan w:val="2"/>
            <w:vAlign w:val="center"/>
          </w:tcPr>
          <w:p>
            <w:pPr>
              <w:rPr>
                <w:rFonts w:ascii="宋体" w:hAnsi="宋体"/>
                <w:spacing w:val="-6"/>
              </w:rPr>
            </w:pPr>
            <w:r>
              <w:rPr>
                <w:rFonts w:hint="eastAsia" w:ascii="宋体" w:hAnsi="宋体"/>
                <w:spacing w:val="-6"/>
              </w:rPr>
              <w:t>传真：</w:t>
            </w:r>
          </w:p>
        </w:tc>
        <w:tc>
          <w:tcPr>
            <w:tcW w:w="4563" w:type="dxa"/>
            <w:vAlign w:val="center"/>
          </w:tcPr>
          <w:p>
            <w:pPr>
              <w:rPr>
                <w:rFonts w:ascii="宋体" w:hAnsi="宋体"/>
                <w:spacing w:val="-6"/>
              </w:rPr>
            </w:pPr>
            <w:r>
              <w:rPr>
                <w:rFonts w:hint="eastAsia" w:ascii="宋体" w:hAnsi="宋体"/>
                <w:spacing w:val="-6"/>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6</w:t>
            </w:r>
          </w:p>
        </w:tc>
        <w:tc>
          <w:tcPr>
            <w:tcW w:w="4305" w:type="dxa"/>
            <w:gridSpan w:val="2"/>
            <w:vAlign w:val="center"/>
          </w:tcPr>
          <w:p>
            <w:pPr>
              <w:rPr>
                <w:rFonts w:ascii="宋体" w:hAnsi="宋体"/>
                <w:spacing w:val="-6"/>
              </w:rPr>
            </w:pPr>
            <w:r>
              <w:rPr>
                <w:rFonts w:hint="eastAsia" w:ascii="宋体" w:hAnsi="宋体"/>
                <w:spacing w:val="-6"/>
              </w:rPr>
              <w:t>注册地：</w:t>
            </w:r>
          </w:p>
        </w:tc>
        <w:tc>
          <w:tcPr>
            <w:tcW w:w="4563" w:type="dxa"/>
            <w:vAlign w:val="center"/>
          </w:tcPr>
          <w:p>
            <w:pPr>
              <w:rPr>
                <w:rFonts w:ascii="宋体" w:hAnsi="宋体"/>
                <w:spacing w:val="-6"/>
              </w:rPr>
            </w:pPr>
            <w:r>
              <w:rPr>
                <w:rFonts w:hint="eastAsia" w:ascii="宋体" w:hAnsi="宋体"/>
                <w:spacing w:val="-6"/>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7</w:t>
            </w:r>
          </w:p>
        </w:tc>
        <w:tc>
          <w:tcPr>
            <w:tcW w:w="8868" w:type="dxa"/>
            <w:gridSpan w:val="3"/>
            <w:vAlign w:val="center"/>
          </w:tcPr>
          <w:p>
            <w:pPr>
              <w:rPr>
                <w:rFonts w:ascii="宋体" w:hAnsi="宋体"/>
                <w:spacing w:val="-6"/>
              </w:rPr>
            </w:pPr>
            <w:r>
              <w:rPr>
                <w:rFonts w:hint="eastAsia" w:ascii="宋体" w:hAnsi="宋体"/>
                <w:spacing w:val="-6"/>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8</w:t>
            </w:r>
          </w:p>
        </w:tc>
        <w:tc>
          <w:tcPr>
            <w:tcW w:w="8868" w:type="dxa"/>
            <w:gridSpan w:val="3"/>
            <w:vAlign w:val="center"/>
          </w:tcPr>
          <w:p>
            <w:pPr>
              <w:rPr>
                <w:rFonts w:ascii="宋体" w:hAnsi="宋体"/>
                <w:spacing w:val="-6"/>
              </w:rPr>
            </w:pPr>
            <w:r>
              <w:rPr>
                <w:rFonts w:hint="eastAsia" w:ascii="宋体" w:hAnsi="宋体"/>
                <w:spacing w:val="-6"/>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vAlign w:val="center"/>
          </w:tcPr>
          <w:p>
            <w:pPr>
              <w:jc w:val="center"/>
              <w:rPr>
                <w:rFonts w:ascii="宋体" w:hAnsi="宋体"/>
                <w:spacing w:val="-6"/>
              </w:rPr>
            </w:pPr>
            <w:r>
              <w:rPr>
                <w:rFonts w:hint="eastAsia" w:ascii="宋体" w:hAnsi="宋体"/>
                <w:spacing w:val="-6"/>
              </w:rPr>
              <w:t>9</w:t>
            </w:r>
          </w:p>
        </w:tc>
        <w:tc>
          <w:tcPr>
            <w:tcW w:w="2520" w:type="dxa"/>
            <w:vAlign w:val="center"/>
          </w:tcPr>
          <w:p>
            <w:pPr>
              <w:rPr>
                <w:rFonts w:ascii="宋体" w:hAnsi="宋体"/>
                <w:spacing w:val="-6"/>
              </w:rPr>
            </w:pPr>
            <w:r>
              <w:rPr>
                <w:rFonts w:hint="eastAsia" w:ascii="宋体" w:hAnsi="宋体"/>
                <w:spacing w:val="-6"/>
              </w:rPr>
              <w:t>其他需要说明的情况</w:t>
            </w:r>
          </w:p>
        </w:tc>
        <w:tc>
          <w:tcPr>
            <w:tcW w:w="6348" w:type="dxa"/>
            <w:gridSpan w:val="2"/>
            <w:vAlign w:val="center"/>
          </w:tcPr>
          <w:p>
            <w:pPr>
              <w:rPr>
                <w:rFonts w:ascii="宋体" w:hAnsi="宋体"/>
                <w:spacing w:val="-6"/>
              </w:rPr>
            </w:pPr>
          </w:p>
        </w:tc>
      </w:tr>
    </w:tbl>
    <w:p>
      <w:pPr>
        <w:rPr>
          <w:rFonts w:ascii="宋体" w:hAnsi="宋体"/>
          <w:spacing w:val="-6"/>
        </w:rPr>
      </w:pPr>
    </w:p>
    <w:p>
      <w:pPr>
        <w:rPr>
          <w:rFonts w:ascii="宋体" w:hAnsi="宋体"/>
          <w:b/>
          <w:spacing w:val="-6"/>
        </w:rPr>
      </w:pPr>
      <w:r>
        <w:rPr>
          <w:rFonts w:hint="eastAsia" w:ascii="宋体" w:hAnsi="宋体"/>
          <w:b/>
          <w:spacing w:val="-6"/>
        </w:rPr>
        <w:t>说明：所有磋商响应供应商都须填写此表。</w:t>
      </w:r>
    </w:p>
    <w:p>
      <w:pPr>
        <w:rPr>
          <w:rFonts w:ascii="宋体" w:hAnsi="宋体"/>
          <w:spacing w:val="-6"/>
        </w:rPr>
      </w:pPr>
    </w:p>
    <w:p>
      <w:pPr>
        <w:rPr>
          <w:rFonts w:ascii="宋体" w:hAnsi="宋体"/>
          <w:spacing w:val="-6"/>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授权代表签字：</w:t>
      </w:r>
    </w:p>
    <w:p>
      <w:pPr>
        <w:rPr>
          <w:rFonts w:ascii="宋体" w:hAnsi="宋体"/>
          <w:spacing w:val="-6"/>
        </w:rPr>
      </w:pPr>
      <w:r>
        <w:rPr>
          <w:rFonts w:hint="eastAsia" w:ascii="宋体" w:hAnsi="宋体"/>
          <w:spacing w:val="-6"/>
        </w:rPr>
        <w:t>日期：  年  月  日</w:t>
      </w:r>
    </w:p>
    <w:p>
      <w:pPr>
        <w:pStyle w:val="2"/>
        <w:rPr>
          <w:rFonts w:ascii="宋体" w:hAnsi="宋体" w:eastAsia="宋体" w:cs="宋体"/>
          <w:color w:val="auto"/>
        </w:rPr>
      </w:pPr>
      <w:r>
        <w:rPr>
          <w:rFonts w:hint="eastAsia" w:ascii="宋体" w:hAnsi="宋体" w:eastAsia="宋体" w:cs="宋体"/>
          <w:color w:val="auto"/>
        </w:rPr>
        <w:br w:type="page"/>
      </w:r>
    </w:p>
    <w:p>
      <w:pPr>
        <w:pStyle w:val="6"/>
        <w:jc w:val="center"/>
        <w:rPr>
          <w:rFonts w:ascii="宋体" w:hAnsi="宋体" w:cs="宋体"/>
          <w:sz w:val="32"/>
          <w:szCs w:val="32"/>
        </w:rPr>
      </w:pPr>
      <w:r>
        <w:rPr>
          <w:rFonts w:hint="eastAsia" w:ascii="宋体" w:hAnsi="宋体" w:cs="宋体"/>
          <w:sz w:val="32"/>
          <w:szCs w:val="32"/>
        </w:rPr>
        <w:t>技术规范响应表</w:t>
      </w:r>
    </w:p>
    <w:p>
      <w:pPr>
        <w:pStyle w:val="2"/>
        <w:rPr>
          <w:rFonts w:ascii="宋体" w:hAnsi="宋体" w:eastAsia="宋体" w:cs="宋体"/>
          <w:color w:val="auto"/>
        </w:rPr>
      </w:pPr>
    </w:p>
    <w:p>
      <w:pPr>
        <w:rPr>
          <w:rFonts w:ascii="宋体" w:hAnsi="宋体"/>
          <w:spacing w:val="-6"/>
        </w:rPr>
      </w:pPr>
      <w:r>
        <w:rPr>
          <w:rFonts w:hint="eastAsia" w:ascii="宋体" w:hAnsi="宋体"/>
          <w:bCs/>
          <w:spacing w:val="-6"/>
        </w:rPr>
        <w:t>项目名称：</w:t>
      </w:r>
    </w:p>
    <w:p>
      <w:pPr>
        <w:rPr>
          <w:rFonts w:ascii="宋体" w:hAnsi="宋体"/>
          <w:bCs/>
          <w:spacing w:val="-6"/>
        </w:rPr>
      </w:pPr>
    </w:p>
    <w:p>
      <w:pPr>
        <w:rPr>
          <w:rFonts w:ascii="宋体" w:hAnsi="宋体"/>
          <w:bCs/>
          <w:spacing w:val="-6"/>
        </w:rPr>
      </w:pPr>
      <w:r>
        <w:rPr>
          <w:rFonts w:hint="eastAsia" w:ascii="宋体" w:hAnsi="宋体"/>
          <w:bCs/>
          <w:spacing w:val="-6"/>
        </w:rPr>
        <w:t>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400"/>
        <w:gridCol w:w="1621"/>
        <w:gridCol w:w="2377"/>
        <w:gridCol w:w="2122"/>
        <w:gridCol w:w="1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pPr>
              <w:jc w:val="center"/>
              <w:rPr>
                <w:rFonts w:ascii="宋体" w:hAnsi="宋体"/>
              </w:rPr>
            </w:pPr>
            <w:r>
              <w:rPr>
                <w:rFonts w:hint="eastAsia" w:ascii="宋体" w:hAnsi="宋体"/>
              </w:rPr>
              <w:t>序号</w:t>
            </w:r>
          </w:p>
        </w:tc>
        <w:tc>
          <w:tcPr>
            <w:tcW w:w="1400" w:type="dxa"/>
            <w:vAlign w:val="center"/>
          </w:tcPr>
          <w:p>
            <w:pPr>
              <w:jc w:val="center"/>
              <w:rPr>
                <w:rFonts w:ascii="宋体" w:hAnsi="宋体"/>
              </w:rPr>
            </w:pPr>
            <w:r>
              <w:rPr>
                <w:rFonts w:hint="eastAsia" w:ascii="宋体" w:hAnsi="宋体"/>
              </w:rPr>
              <w:t>产品名称</w:t>
            </w:r>
          </w:p>
        </w:tc>
        <w:tc>
          <w:tcPr>
            <w:tcW w:w="1621" w:type="dxa"/>
            <w:vAlign w:val="center"/>
          </w:tcPr>
          <w:p>
            <w:pPr>
              <w:jc w:val="center"/>
              <w:rPr>
                <w:rFonts w:ascii="宋体" w:hAnsi="宋体"/>
              </w:rPr>
            </w:pPr>
            <w:r>
              <w:rPr>
                <w:rFonts w:hint="eastAsia" w:ascii="宋体" w:hAnsi="宋体"/>
              </w:rPr>
              <w:t>采购要求</w:t>
            </w:r>
          </w:p>
        </w:tc>
        <w:tc>
          <w:tcPr>
            <w:tcW w:w="2377" w:type="dxa"/>
            <w:vAlign w:val="center"/>
          </w:tcPr>
          <w:p>
            <w:pPr>
              <w:ind w:left="102"/>
              <w:jc w:val="center"/>
              <w:rPr>
                <w:rFonts w:ascii="宋体" w:hAnsi="宋体"/>
              </w:rPr>
            </w:pPr>
            <w:r>
              <w:rPr>
                <w:rFonts w:hint="eastAsia" w:ascii="宋体" w:hAnsi="宋体"/>
              </w:rPr>
              <w:t>响应</w:t>
            </w:r>
          </w:p>
        </w:tc>
        <w:tc>
          <w:tcPr>
            <w:tcW w:w="2122" w:type="dxa"/>
            <w:vAlign w:val="center"/>
          </w:tcPr>
          <w:p>
            <w:pPr>
              <w:jc w:val="center"/>
              <w:rPr>
                <w:rFonts w:ascii="宋体" w:hAnsi="宋体"/>
              </w:rPr>
            </w:pPr>
            <w:r>
              <w:rPr>
                <w:rFonts w:hint="eastAsia" w:ascii="宋体" w:hAnsi="宋体"/>
              </w:rPr>
              <w:t>偏离情况</w:t>
            </w:r>
          </w:p>
        </w:tc>
        <w:tc>
          <w:tcPr>
            <w:tcW w:w="1294" w:type="dxa"/>
            <w:vAlign w:val="center"/>
          </w:tcPr>
          <w:p>
            <w:pPr>
              <w:jc w:val="center"/>
              <w:rPr>
                <w:rFonts w:ascii="宋体" w:hAnsi="宋体"/>
              </w:rPr>
            </w:pPr>
            <w:r>
              <w:rPr>
                <w:rFonts w:hint="eastAsia" w:ascii="宋体" w:hAnsi="宋体"/>
              </w:rPr>
              <w:t>备注</w:t>
            </w:r>
          </w:p>
          <w:p>
            <w:pPr>
              <w:jc w:val="center"/>
              <w:rPr>
                <w:rFonts w:ascii="宋体" w:hAnsi="宋体"/>
              </w:rPr>
            </w:pPr>
            <w:r>
              <w:rPr>
                <w:rFonts w:hint="eastAsia" w:ascii="宋体" w:hAnsi="宋体"/>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tcPr>
          <w:p>
            <w:pPr>
              <w:rPr>
                <w:rFonts w:ascii="宋体" w:hAnsi="宋体"/>
              </w:rPr>
            </w:pPr>
          </w:p>
        </w:tc>
        <w:tc>
          <w:tcPr>
            <w:tcW w:w="1400" w:type="dxa"/>
          </w:tcPr>
          <w:p>
            <w:pPr>
              <w:rPr>
                <w:rFonts w:ascii="宋体" w:hAnsi="宋体"/>
              </w:rPr>
            </w:pPr>
          </w:p>
        </w:tc>
        <w:tc>
          <w:tcPr>
            <w:tcW w:w="1621" w:type="dxa"/>
          </w:tcPr>
          <w:p>
            <w:pPr>
              <w:rPr>
                <w:rFonts w:ascii="宋体" w:hAnsi="宋体"/>
              </w:rPr>
            </w:pPr>
          </w:p>
        </w:tc>
        <w:tc>
          <w:tcPr>
            <w:tcW w:w="2377" w:type="dxa"/>
          </w:tcPr>
          <w:p>
            <w:pPr>
              <w:rPr>
                <w:rFonts w:ascii="宋体" w:hAnsi="宋体"/>
              </w:rPr>
            </w:pPr>
          </w:p>
        </w:tc>
        <w:tc>
          <w:tcPr>
            <w:tcW w:w="2122" w:type="dxa"/>
          </w:tcPr>
          <w:p>
            <w:pPr>
              <w:rPr>
                <w:rFonts w:ascii="宋体" w:hAnsi="宋体"/>
              </w:rPr>
            </w:pPr>
          </w:p>
        </w:tc>
        <w:tc>
          <w:tcPr>
            <w:tcW w:w="1294" w:type="dxa"/>
          </w:tcPr>
          <w:p>
            <w:pPr>
              <w:rPr>
                <w:rFonts w:ascii="宋体" w:hAnsi="宋体"/>
              </w:rPr>
            </w:pPr>
          </w:p>
        </w:tc>
      </w:tr>
    </w:tbl>
    <w:p>
      <w:pPr>
        <w:pStyle w:val="2"/>
        <w:rPr>
          <w:rFonts w:ascii="宋体" w:hAnsi="宋体" w:eastAsia="宋体" w:cs="宋体"/>
          <w:color w:val="auto"/>
        </w:rPr>
      </w:pPr>
    </w:p>
    <w:p>
      <w:pPr>
        <w:pStyle w:val="67"/>
        <w:rPr>
          <w:rFonts w:ascii="宋体" w:hAnsi="宋体" w:cs="宋体"/>
        </w:rPr>
      </w:pPr>
    </w:p>
    <w:p>
      <w:pPr>
        <w:pStyle w:val="2"/>
        <w:rPr>
          <w:rFonts w:ascii="宋体" w:hAnsi="宋体" w:eastAsia="宋体" w:cs="宋体"/>
          <w:b/>
          <w:bCs/>
          <w:color w:val="auto"/>
          <w:spacing w:val="-6"/>
        </w:rPr>
      </w:pPr>
    </w:p>
    <w:p>
      <w:pPr>
        <w:rPr>
          <w:rFonts w:ascii="宋体" w:hAnsi="宋体"/>
          <w:b/>
          <w:bCs/>
          <w:spacing w:val="-6"/>
        </w:rPr>
      </w:pPr>
      <w:r>
        <w:rPr>
          <w:rFonts w:hint="eastAsia" w:ascii="宋体" w:hAnsi="宋体"/>
          <w:b/>
          <w:bCs/>
          <w:spacing w:val="-6"/>
        </w:rPr>
        <w:t>说明：</w:t>
      </w:r>
    </w:p>
    <w:p>
      <w:pPr>
        <w:rPr>
          <w:rFonts w:ascii="宋体" w:hAnsi="宋体"/>
        </w:rPr>
      </w:pPr>
      <w:r>
        <w:rPr>
          <w:rFonts w:hint="eastAsia" w:ascii="宋体" w:hAnsi="宋体"/>
        </w:rPr>
        <w:t>1.逐项按照竞争性磋商文件要求填写响应规格，对照竞争性磋商文件要求在“偏离情况”栏注明“正偏离”、“负偏离”或“无偏离”；</w:t>
      </w:r>
    </w:p>
    <w:p>
      <w:pPr>
        <w:spacing w:line="312" w:lineRule="auto"/>
        <w:rPr>
          <w:rFonts w:ascii="宋体" w:hAnsi="宋体"/>
        </w:rPr>
      </w:pPr>
      <w:r>
        <w:rPr>
          <w:rFonts w:hint="eastAsia" w:ascii="宋体" w:hAnsi="宋体"/>
        </w:rPr>
        <w:t>2.表后需提供</w:t>
      </w:r>
      <w:r>
        <w:rPr>
          <w:rFonts w:hint="eastAsia" w:ascii="宋体" w:hAnsi="宋体"/>
          <w:b/>
          <w:bCs/>
        </w:rPr>
        <w:t>技术支持资料</w:t>
      </w:r>
      <w:r>
        <w:rPr>
          <w:rFonts w:hint="eastAsia" w:ascii="宋体" w:hAnsi="宋体"/>
        </w:rPr>
        <w:t>以证明其对技术指标的应答。若对技术指标的应答无技术支持资料证明，评标委员会可不予承认，并可认为该应答不符合竞争性磋商文件要求，将作出不利于磋商响应供应商的技术评审，其后果将由磋商响应供应商自行承担；</w:t>
      </w:r>
    </w:p>
    <w:p>
      <w:pPr>
        <w:spacing w:line="312" w:lineRule="auto"/>
        <w:rPr>
          <w:rFonts w:ascii="宋体" w:hAnsi="宋体"/>
        </w:rPr>
      </w:pPr>
      <w:r>
        <w:rPr>
          <w:rFonts w:hint="eastAsia" w:ascii="宋体" w:hAnsi="宋体"/>
        </w:rPr>
        <w:t>3.磋商响应供应商可提供同等于或优于竞争性磋商文件要求的设备和服务。</w:t>
      </w:r>
    </w:p>
    <w:p>
      <w:pPr>
        <w:pStyle w:val="2"/>
        <w:rPr>
          <w:rFonts w:ascii="宋体" w:hAnsi="宋体" w:eastAsia="宋体" w:cs="宋体"/>
          <w:color w:val="auto"/>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法定代表人或其授权代表（签字或盖章）：</w:t>
      </w:r>
    </w:p>
    <w:p>
      <w:pPr>
        <w:rPr>
          <w:rFonts w:ascii="宋体" w:hAnsi="宋体"/>
          <w:bCs/>
          <w:spacing w:val="-6"/>
        </w:rPr>
      </w:pPr>
      <w:r>
        <w:rPr>
          <w:rFonts w:hint="eastAsia" w:ascii="宋体" w:hAnsi="宋体"/>
          <w:bCs/>
          <w:spacing w:val="-6"/>
        </w:rPr>
        <w:t>日期：  年  月  日</w:t>
      </w:r>
    </w:p>
    <w:p>
      <w:pPr>
        <w:rPr>
          <w:rFonts w:ascii="宋体" w:hAnsi="宋体"/>
          <w:bCs/>
          <w:spacing w:val="-6"/>
        </w:rPr>
      </w:pPr>
      <w:r>
        <w:rPr>
          <w:rFonts w:hint="eastAsia" w:ascii="宋体" w:hAnsi="宋体"/>
          <w:bCs/>
          <w:spacing w:val="-6"/>
        </w:rPr>
        <w:br w:type="page"/>
      </w:r>
    </w:p>
    <w:p>
      <w:pPr>
        <w:pStyle w:val="6"/>
        <w:jc w:val="center"/>
        <w:rPr>
          <w:rFonts w:ascii="宋体" w:hAnsi="宋体" w:cs="宋体"/>
          <w:sz w:val="32"/>
          <w:szCs w:val="32"/>
        </w:rPr>
      </w:pPr>
      <w:r>
        <w:rPr>
          <w:rFonts w:hint="eastAsia" w:ascii="宋体" w:hAnsi="宋体" w:cs="宋体"/>
          <w:sz w:val="32"/>
          <w:szCs w:val="32"/>
        </w:rPr>
        <w:t>产品规格配置清单</w:t>
      </w:r>
    </w:p>
    <w:p>
      <w:pPr>
        <w:rPr>
          <w:rFonts w:ascii="宋体" w:hAnsi="宋体"/>
          <w:b/>
          <w:sz w:val="32"/>
          <w:szCs w:val="32"/>
        </w:rPr>
      </w:pPr>
    </w:p>
    <w:p>
      <w:pPr>
        <w:pStyle w:val="2"/>
        <w:rPr>
          <w:rFonts w:ascii="宋体" w:hAnsi="宋体" w:eastAsia="宋体" w:cs="宋体"/>
          <w:color w:val="auto"/>
        </w:rPr>
      </w:pPr>
    </w:p>
    <w:p>
      <w:pPr>
        <w:rPr>
          <w:rFonts w:ascii="宋体" w:hAnsi="宋体"/>
          <w:spacing w:val="-6"/>
        </w:rPr>
      </w:pPr>
      <w:r>
        <w:rPr>
          <w:rFonts w:hint="eastAsia" w:ascii="宋体" w:hAnsi="宋体"/>
          <w:bCs/>
          <w:spacing w:val="-6"/>
        </w:rPr>
        <w:t>项目名称：</w:t>
      </w:r>
    </w:p>
    <w:p>
      <w:pPr>
        <w:rPr>
          <w:rFonts w:ascii="宋体" w:hAnsi="宋体"/>
          <w:bCs/>
          <w:spacing w:val="-6"/>
        </w:rPr>
      </w:pPr>
    </w:p>
    <w:p>
      <w:pPr>
        <w:rPr>
          <w:rFonts w:ascii="宋体" w:hAnsi="宋体"/>
          <w:bCs/>
          <w:spacing w:val="-6"/>
        </w:rPr>
      </w:pPr>
      <w:r>
        <w:rPr>
          <w:rFonts w:hint="eastAsia" w:ascii="宋体" w:hAnsi="宋体"/>
          <w:bCs/>
          <w:spacing w:val="-6"/>
        </w:rPr>
        <w:t>项目编号：</w:t>
      </w:r>
    </w:p>
    <w:p>
      <w:pPr>
        <w:rPr>
          <w:rFonts w:ascii="宋体" w:hAnsi="宋体"/>
        </w:rPr>
      </w:pPr>
    </w:p>
    <w:tbl>
      <w:tblPr>
        <w:tblStyle w:val="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126"/>
        <w:gridCol w:w="751"/>
        <w:gridCol w:w="1242"/>
        <w:gridCol w:w="1242"/>
        <w:gridCol w:w="2817"/>
        <w:gridCol w:w="791"/>
        <w:gridCol w:w="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49" w:type="pct"/>
            <w:vAlign w:val="center"/>
          </w:tcPr>
          <w:p>
            <w:pPr>
              <w:rPr>
                <w:rFonts w:ascii="宋体" w:hAnsi="宋体"/>
                <w:bCs/>
                <w:spacing w:val="-6"/>
              </w:rPr>
            </w:pPr>
            <w:r>
              <w:rPr>
                <w:rFonts w:hint="eastAsia" w:ascii="宋体" w:hAnsi="宋体"/>
                <w:bCs/>
                <w:spacing w:val="-6"/>
              </w:rPr>
              <w:t>序号</w:t>
            </w:r>
          </w:p>
        </w:tc>
        <w:tc>
          <w:tcPr>
            <w:tcW w:w="585" w:type="pct"/>
            <w:vAlign w:val="center"/>
          </w:tcPr>
          <w:p>
            <w:pPr>
              <w:rPr>
                <w:rFonts w:ascii="宋体" w:hAnsi="宋体"/>
                <w:bCs/>
                <w:spacing w:val="-6"/>
              </w:rPr>
            </w:pPr>
            <w:r>
              <w:rPr>
                <w:rFonts w:hint="eastAsia" w:ascii="宋体" w:hAnsi="宋体"/>
                <w:bCs/>
                <w:spacing w:val="-6"/>
              </w:rPr>
              <w:t>设备名称</w:t>
            </w:r>
          </w:p>
        </w:tc>
        <w:tc>
          <w:tcPr>
            <w:tcW w:w="390" w:type="pct"/>
            <w:vAlign w:val="center"/>
          </w:tcPr>
          <w:p>
            <w:pPr>
              <w:jc w:val="center"/>
              <w:rPr>
                <w:rFonts w:ascii="宋体" w:hAnsi="宋体"/>
                <w:bCs/>
                <w:spacing w:val="-6"/>
              </w:rPr>
            </w:pPr>
            <w:r>
              <w:rPr>
                <w:rFonts w:hint="eastAsia" w:ascii="宋体" w:hAnsi="宋体"/>
                <w:bCs/>
                <w:spacing w:val="-6"/>
              </w:rPr>
              <w:t>规格</w:t>
            </w:r>
          </w:p>
        </w:tc>
        <w:tc>
          <w:tcPr>
            <w:tcW w:w="645" w:type="pct"/>
            <w:vAlign w:val="center"/>
          </w:tcPr>
          <w:p>
            <w:pPr>
              <w:jc w:val="center"/>
              <w:rPr>
                <w:rFonts w:ascii="宋体" w:hAnsi="宋体"/>
                <w:bCs/>
                <w:spacing w:val="-6"/>
              </w:rPr>
            </w:pPr>
            <w:r>
              <w:rPr>
                <w:rFonts w:hint="eastAsia" w:ascii="宋体" w:hAnsi="宋体"/>
                <w:bCs/>
                <w:spacing w:val="-6"/>
              </w:rPr>
              <w:t>原产国</w:t>
            </w:r>
          </w:p>
        </w:tc>
        <w:tc>
          <w:tcPr>
            <w:tcW w:w="645" w:type="pct"/>
            <w:vAlign w:val="center"/>
          </w:tcPr>
          <w:p>
            <w:pPr>
              <w:jc w:val="center"/>
              <w:rPr>
                <w:rFonts w:ascii="宋体" w:hAnsi="宋体"/>
                <w:bCs/>
                <w:spacing w:val="-6"/>
              </w:rPr>
            </w:pPr>
            <w:r>
              <w:rPr>
                <w:rFonts w:hint="eastAsia" w:ascii="宋体" w:hAnsi="宋体"/>
                <w:bCs/>
                <w:spacing w:val="-6"/>
              </w:rPr>
              <w:t>厂家</w:t>
            </w:r>
          </w:p>
        </w:tc>
        <w:tc>
          <w:tcPr>
            <w:tcW w:w="1463" w:type="pct"/>
            <w:vAlign w:val="center"/>
          </w:tcPr>
          <w:p>
            <w:pPr>
              <w:rPr>
                <w:rFonts w:ascii="宋体" w:hAnsi="宋体"/>
                <w:bCs/>
                <w:spacing w:val="-6"/>
              </w:rPr>
            </w:pPr>
            <w:r>
              <w:rPr>
                <w:rFonts w:hint="eastAsia" w:ascii="宋体" w:hAnsi="宋体"/>
                <w:spacing w:val="-6"/>
              </w:rPr>
              <w:t>响应</w:t>
            </w:r>
            <w:r>
              <w:rPr>
                <w:rFonts w:hint="eastAsia" w:ascii="宋体" w:hAnsi="宋体"/>
                <w:bCs/>
                <w:spacing w:val="-6"/>
              </w:rPr>
              <w:t>品牌及型号</w:t>
            </w:r>
          </w:p>
        </w:tc>
        <w:tc>
          <w:tcPr>
            <w:tcW w:w="411" w:type="pct"/>
            <w:vAlign w:val="center"/>
          </w:tcPr>
          <w:p>
            <w:pPr>
              <w:rPr>
                <w:rFonts w:ascii="宋体" w:hAnsi="宋体"/>
                <w:bCs/>
                <w:spacing w:val="-6"/>
              </w:rPr>
            </w:pPr>
            <w:r>
              <w:rPr>
                <w:rFonts w:hint="eastAsia" w:ascii="宋体" w:hAnsi="宋体"/>
                <w:bCs/>
                <w:spacing w:val="-6"/>
              </w:rPr>
              <w:t>数量</w:t>
            </w:r>
          </w:p>
        </w:tc>
        <w:tc>
          <w:tcPr>
            <w:tcW w:w="508" w:type="pct"/>
            <w:vAlign w:val="center"/>
          </w:tcPr>
          <w:p>
            <w:pPr>
              <w:rPr>
                <w:rFonts w:ascii="宋体" w:hAnsi="宋体"/>
                <w:bCs/>
                <w:spacing w:val="-6"/>
              </w:rPr>
            </w:pPr>
            <w:r>
              <w:rPr>
                <w:rFonts w:hint="eastAsia" w:ascii="宋体" w:hAnsi="宋体"/>
                <w:bCs/>
                <w:spacing w:val="-6"/>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49" w:type="pct"/>
            <w:vAlign w:val="center"/>
          </w:tcPr>
          <w:p>
            <w:pPr>
              <w:rPr>
                <w:rFonts w:ascii="宋体" w:hAnsi="宋体"/>
                <w:bCs/>
                <w:spacing w:val="-6"/>
              </w:rPr>
            </w:pPr>
            <w:r>
              <w:rPr>
                <w:rFonts w:hint="eastAsia" w:ascii="宋体" w:hAnsi="宋体"/>
                <w:bCs/>
                <w:spacing w:val="-6"/>
              </w:rPr>
              <w:t>1</w:t>
            </w:r>
          </w:p>
        </w:tc>
        <w:tc>
          <w:tcPr>
            <w:tcW w:w="585" w:type="pct"/>
            <w:vAlign w:val="center"/>
          </w:tcPr>
          <w:p>
            <w:pPr>
              <w:rPr>
                <w:rFonts w:ascii="宋体" w:hAnsi="宋体"/>
                <w:bCs/>
                <w:spacing w:val="-6"/>
              </w:rPr>
            </w:pPr>
          </w:p>
        </w:tc>
        <w:tc>
          <w:tcPr>
            <w:tcW w:w="390" w:type="pct"/>
            <w:vAlign w:val="center"/>
          </w:tcPr>
          <w:p>
            <w:pPr>
              <w:rPr>
                <w:rFonts w:ascii="宋体" w:hAnsi="宋体"/>
                <w:bCs/>
                <w:spacing w:val="-6"/>
              </w:rPr>
            </w:pPr>
          </w:p>
        </w:tc>
        <w:tc>
          <w:tcPr>
            <w:tcW w:w="645" w:type="pct"/>
            <w:vAlign w:val="center"/>
          </w:tcPr>
          <w:p>
            <w:pPr>
              <w:rPr>
                <w:rFonts w:ascii="宋体" w:hAnsi="宋体"/>
                <w:bCs/>
                <w:spacing w:val="-6"/>
              </w:rPr>
            </w:pPr>
          </w:p>
        </w:tc>
        <w:tc>
          <w:tcPr>
            <w:tcW w:w="645" w:type="pct"/>
            <w:vAlign w:val="center"/>
          </w:tcPr>
          <w:p>
            <w:pPr>
              <w:rPr>
                <w:rFonts w:ascii="宋体" w:hAnsi="宋体"/>
                <w:bCs/>
                <w:spacing w:val="-6"/>
              </w:rPr>
            </w:pPr>
          </w:p>
        </w:tc>
        <w:tc>
          <w:tcPr>
            <w:tcW w:w="1463" w:type="pct"/>
            <w:vAlign w:val="center"/>
          </w:tcPr>
          <w:p>
            <w:pPr>
              <w:rPr>
                <w:rFonts w:ascii="宋体" w:hAnsi="宋体"/>
                <w:bCs/>
                <w:spacing w:val="-6"/>
              </w:rPr>
            </w:pPr>
          </w:p>
        </w:tc>
        <w:tc>
          <w:tcPr>
            <w:tcW w:w="411" w:type="pct"/>
            <w:vAlign w:val="center"/>
          </w:tcPr>
          <w:p>
            <w:pPr>
              <w:rPr>
                <w:rFonts w:ascii="宋体" w:hAnsi="宋体"/>
                <w:bCs/>
                <w:spacing w:val="-6"/>
              </w:rPr>
            </w:pPr>
          </w:p>
        </w:tc>
        <w:tc>
          <w:tcPr>
            <w:tcW w:w="508" w:type="pct"/>
            <w:vAlign w:val="center"/>
          </w:tcPr>
          <w:p>
            <w:pPr>
              <w:rPr>
                <w:rFonts w:ascii="宋体" w:hAnsi="宋体"/>
                <w:bCs/>
                <w:spacing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349" w:type="pct"/>
            <w:vAlign w:val="center"/>
          </w:tcPr>
          <w:p>
            <w:pPr>
              <w:rPr>
                <w:rFonts w:ascii="宋体" w:hAnsi="宋体"/>
                <w:bCs/>
                <w:spacing w:val="-6"/>
              </w:rPr>
            </w:pPr>
            <w:r>
              <w:rPr>
                <w:rFonts w:hint="eastAsia" w:ascii="宋体" w:hAnsi="宋体"/>
                <w:bCs/>
                <w:spacing w:val="-6"/>
              </w:rPr>
              <w:t>2</w:t>
            </w:r>
          </w:p>
        </w:tc>
        <w:tc>
          <w:tcPr>
            <w:tcW w:w="585" w:type="pct"/>
            <w:vAlign w:val="center"/>
          </w:tcPr>
          <w:p>
            <w:pPr>
              <w:rPr>
                <w:rFonts w:ascii="宋体" w:hAnsi="宋体"/>
                <w:bCs/>
                <w:spacing w:val="-6"/>
              </w:rPr>
            </w:pPr>
          </w:p>
        </w:tc>
        <w:tc>
          <w:tcPr>
            <w:tcW w:w="390" w:type="pct"/>
            <w:vAlign w:val="center"/>
          </w:tcPr>
          <w:p>
            <w:pPr>
              <w:rPr>
                <w:rFonts w:ascii="宋体" w:hAnsi="宋体"/>
                <w:bCs/>
                <w:spacing w:val="-6"/>
              </w:rPr>
            </w:pPr>
          </w:p>
        </w:tc>
        <w:tc>
          <w:tcPr>
            <w:tcW w:w="645" w:type="pct"/>
            <w:vAlign w:val="center"/>
          </w:tcPr>
          <w:p>
            <w:pPr>
              <w:rPr>
                <w:rFonts w:ascii="宋体" w:hAnsi="宋体"/>
                <w:bCs/>
                <w:spacing w:val="-6"/>
              </w:rPr>
            </w:pPr>
          </w:p>
        </w:tc>
        <w:tc>
          <w:tcPr>
            <w:tcW w:w="645" w:type="pct"/>
            <w:vAlign w:val="center"/>
          </w:tcPr>
          <w:p>
            <w:pPr>
              <w:rPr>
                <w:rFonts w:ascii="宋体" w:hAnsi="宋体"/>
                <w:bCs/>
                <w:spacing w:val="-6"/>
              </w:rPr>
            </w:pPr>
          </w:p>
        </w:tc>
        <w:tc>
          <w:tcPr>
            <w:tcW w:w="1463" w:type="pct"/>
            <w:vAlign w:val="center"/>
          </w:tcPr>
          <w:p>
            <w:pPr>
              <w:rPr>
                <w:rFonts w:ascii="宋体" w:hAnsi="宋体"/>
                <w:bCs/>
                <w:spacing w:val="-6"/>
              </w:rPr>
            </w:pPr>
          </w:p>
        </w:tc>
        <w:tc>
          <w:tcPr>
            <w:tcW w:w="411" w:type="pct"/>
            <w:vAlign w:val="center"/>
          </w:tcPr>
          <w:p>
            <w:pPr>
              <w:rPr>
                <w:rFonts w:ascii="宋体" w:hAnsi="宋体"/>
                <w:bCs/>
                <w:spacing w:val="-6"/>
              </w:rPr>
            </w:pPr>
          </w:p>
        </w:tc>
        <w:tc>
          <w:tcPr>
            <w:tcW w:w="508" w:type="pct"/>
            <w:vAlign w:val="center"/>
          </w:tcPr>
          <w:p>
            <w:pPr>
              <w:rPr>
                <w:rFonts w:ascii="宋体" w:hAnsi="宋体"/>
                <w:bCs/>
                <w:spacing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349" w:type="pct"/>
            <w:vAlign w:val="center"/>
          </w:tcPr>
          <w:p>
            <w:pPr>
              <w:rPr>
                <w:rFonts w:ascii="宋体" w:hAnsi="宋体"/>
                <w:bCs/>
                <w:spacing w:val="-6"/>
              </w:rPr>
            </w:pPr>
            <w:r>
              <w:rPr>
                <w:rFonts w:hint="eastAsia" w:ascii="宋体" w:hAnsi="宋体"/>
                <w:bCs/>
                <w:spacing w:val="-6"/>
              </w:rPr>
              <w:t>……</w:t>
            </w:r>
          </w:p>
        </w:tc>
        <w:tc>
          <w:tcPr>
            <w:tcW w:w="585" w:type="pct"/>
            <w:vAlign w:val="center"/>
          </w:tcPr>
          <w:p>
            <w:pPr>
              <w:rPr>
                <w:rFonts w:ascii="宋体" w:hAnsi="宋体"/>
                <w:bCs/>
                <w:spacing w:val="-6"/>
              </w:rPr>
            </w:pPr>
          </w:p>
        </w:tc>
        <w:tc>
          <w:tcPr>
            <w:tcW w:w="390" w:type="pct"/>
            <w:vAlign w:val="center"/>
          </w:tcPr>
          <w:p>
            <w:pPr>
              <w:rPr>
                <w:rFonts w:ascii="宋体" w:hAnsi="宋体"/>
                <w:bCs/>
                <w:spacing w:val="-6"/>
              </w:rPr>
            </w:pPr>
          </w:p>
        </w:tc>
        <w:tc>
          <w:tcPr>
            <w:tcW w:w="645" w:type="pct"/>
            <w:vAlign w:val="center"/>
          </w:tcPr>
          <w:p>
            <w:pPr>
              <w:rPr>
                <w:rFonts w:ascii="宋体" w:hAnsi="宋体"/>
                <w:bCs/>
                <w:spacing w:val="-6"/>
              </w:rPr>
            </w:pPr>
          </w:p>
        </w:tc>
        <w:tc>
          <w:tcPr>
            <w:tcW w:w="645" w:type="pct"/>
            <w:vAlign w:val="center"/>
          </w:tcPr>
          <w:p>
            <w:pPr>
              <w:rPr>
                <w:rFonts w:ascii="宋体" w:hAnsi="宋体"/>
                <w:bCs/>
                <w:spacing w:val="-6"/>
              </w:rPr>
            </w:pPr>
          </w:p>
        </w:tc>
        <w:tc>
          <w:tcPr>
            <w:tcW w:w="1463" w:type="pct"/>
            <w:vAlign w:val="center"/>
          </w:tcPr>
          <w:p>
            <w:pPr>
              <w:rPr>
                <w:rFonts w:ascii="宋体" w:hAnsi="宋体"/>
                <w:bCs/>
                <w:spacing w:val="-6"/>
              </w:rPr>
            </w:pPr>
          </w:p>
        </w:tc>
        <w:tc>
          <w:tcPr>
            <w:tcW w:w="411" w:type="pct"/>
            <w:vAlign w:val="center"/>
          </w:tcPr>
          <w:p>
            <w:pPr>
              <w:rPr>
                <w:rFonts w:ascii="宋体" w:hAnsi="宋体"/>
                <w:bCs/>
                <w:spacing w:val="-6"/>
              </w:rPr>
            </w:pPr>
          </w:p>
        </w:tc>
        <w:tc>
          <w:tcPr>
            <w:tcW w:w="508" w:type="pct"/>
            <w:vAlign w:val="center"/>
          </w:tcPr>
          <w:p>
            <w:pPr>
              <w:rPr>
                <w:rFonts w:ascii="宋体" w:hAnsi="宋体"/>
                <w:bCs/>
                <w:spacing w:val="-6"/>
              </w:rPr>
            </w:pPr>
          </w:p>
        </w:tc>
      </w:tr>
    </w:tbl>
    <w:p>
      <w:pPr>
        <w:pStyle w:val="2"/>
        <w:rPr>
          <w:rFonts w:ascii="宋体" w:hAnsi="宋体" w:eastAsia="宋体" w:cs="宋体"/>
          <w:b/>
          <w:color w:val="auto"/>
        </w:rPr>
      </w:pPr>
    </w:p>
    <w:p>
      <w:pPr>
        <w:rPr>
          <w:rFonts w:ascii="宋体" w:hAnsi="宋体"/>
        </w:rPr>
      </w:pPr>
    </w:p>
    <w:p>
      <w:pPr>
        <w:pStyle w:val="2"/>
        <w:rPr>
          <w:rFonts w:ascii="宋体" w:hAnsi="宋体" w:eastAsia="宋体" w:cs="宋体"/>
          <w:color w:val="auto"/>
        </w:rPr>
      </w:pPr>
    </w:p>
    <w:p>
      <w:pPr>
        <w:spacing w:line="440" w:lineRule="exact"/>
        <w:ind w:firstLine="456"/>
        <w:jc w:val="left"/>
        <w:rPr>
          <w:rFonts w:ascii="宋体" w:hAnsi="宋体"/>
          <w:spacing w:val="-6"/>
        </w:rPr>
      </w:pPr>
      <w:r>
        <w:rPr>
          <w:rFonts w:hint="eastAsia" w:ascii="宋体" w:hAnsi="宋体"/>
          <w:spacing w:val="-6"/>
        </w:rPr>
        <w:t>所响应的货物的完整配置方案，详细列明响应货物的所有技术指标（包括所响应货物的品牌、规格型号、详细配置、主要技术参数、随机软件等），明确表示该项指标所涉及的软硬件是标准配置还是选择配置（所有技术指标表述均应采用中文，如当前公布的技术指标只有英文表述的，必须由磋商响应供应商作出中文注释，否则任何含糊不清的表述导致评标委员会技术扣分直至认定为响应无效都将是磋商响应供应商的责任）</w:t>
      </w:r>
    </w:p>
    <w:p>
      <w:pPr>
        <w:pStyle w:val="2"/>
        <w:rPr>
          <w:rFonts w:ascii="宋体" w:hAnsi="宋体" w:eastAsia="宋体" w:cs="宋体"/>
          <w:color w:val="auto"/>
        </w:rPr>
      </w:pPr>
    </w:p>
    <w:p>
      <w:pPr>
        <w:pStyle w:val="2"/>
        <w:rPr>
          <w:rFonts w:ascii="宋体" w:hAnsi="宋体" w:eastAsia="宋体" w:cs="宋体"/>
          <w:color w:val="auto"/>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法定代表人或其授权代表（签字或盖章）：</w:t>
      </w:r>
    </w:p>
    <w:p>
      <w:pPr>
        <w:pStyle w:val="2"/>
        <w:rPr>
          <w:rFonts w:ascii="宋体" w:hAnsi="宋体" w:eastAsia="宋体" w:cs="宋体"/>
          <w:color w:val="auto"/>
        </w:rPr>
        <w:sectPr>
          <w:pgSz w:w="11906" w:h="16838"/>
          <w:pgMar w:top="1247" w:right="1247" w:bottom="1247" w:left="1247" w:header="170" w:footer="567" w:gutter="0"/>
          <w:cols w:space="720" w:num="1"/>
          <w:docGrid w:linePitch="381" w:charSpace="0"/>
        </w:sectPr>
      </w:pPr>
      <w:r>
        <w:rPr>
          <w:rFonts w:hint="eastAsia" w:ascii="宋体" w:hAnsi="宋体" w:eastAsia="宋体" w:cs="宋体"/>
          <w:color w:val="auto"/>
          <w:spacing w:val="-6"/>
        </w:rPr>
        <w:t>日期：    年  月  日</w:t>
      </w:r>
    </w:p>
    <w:p>
      <w:pPr>
        <w:pStyle w:val="6"/>
        <w:jc w:val="center"/>
        <w:rPr>
          <w:rFonts w:ascii="宋体" w:hAnsi="宋体" w:cs="宋体"/>
          <w:sz w:val="32"/>
          <w:szCs w:val="32"/>
        </w:rPr>
      </w:pPr>
      <w:r>
        <w:rPr>
          <w:rFonts w:hint="eastAsia" w:ascii="宋体" w:hAnsi="宋体" w:cs="宋体"/>
          <w:sz w:val="32"/>
          <w:szCs w:val="32"/>
        </w:rPr>
        <w:t>拟投入本项目的服务团队情况表</w:t>
      </w:r>
    </w:p>
    <w:p>
      <w:pPr>
        <w:jc w:val="center"/>
        <w:rPr>
          <w:rFonts w:ascii="宋体" w:hAnsi="宋体"/>
          <w:b/>
        </w:rPr>
      </w:pPr>
      <w:r>
        <w:rPr>
          <w:rFonts w:hint="eastAsia" w:ascii="宋体" w:hAnsi="宋体"/>
          <w:b/>
        </w:rPr>
        <w:t>(一)拟投入本项目的服务团队人员汇总表</w:t>
      </w:r>
    </w:p>
    <w:tbl>
      <w:tblPr>
        <w:tblStyle w:val="27"/>
        <w:tblW w:w="0" w:type="auto"/>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255"/>
        <w:gridCol w:w="3399"/>
        <w:gridCol w:w="1420"/>
        <w:gridCol w:w="1558"/>
        <w:gridCol w:w="105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rFonts w:ascii="宋体" w:hAnsi="宋体"/>
                <w:b/>
                <w:kern w:val="0"/>
              </w:rPr>
            </w:pPr>
            <w:r>
              <w:rPr>
                <w:rFonts w:hint="eastAsia" w:ascii="宋体" w:hAnsi="宋体"/>
                <w:b/>
                <w:kern w:val="0"/>
              </w:rPr>
              <w:t>序号</w:t>
            </w:r>
          </w:p>
        </w:tc>
        <w:tc>
          <w:tcPr>
            <w:tcW w:w="1255" w:type="dxa"/>
            <w:vAlign w:val="center"/>
          </w:tcPr>
          <w:p>
            <w:pPr>
              <w:autoSpaceDE w:val="0"/>
              <w:autoSpaceDN w:val="0"/>
              <w:jc w:val="center"/>
              <w:rPr>
                <w:rFonts w:ascii="宋体" w:hAnsi="宋体"/>
                <w:b/>
                <w:kern w:val="0"/>
              </w:rPr>
            </w:pPr>
            <w:r>
              <w:rPr>
                <w:rFonts w:hint="eastAsia" w:ascii="宋体" w:hAnsi="宋体"/>
                <w:b/>
                <w:kern w:val="0"/>
              </w:rPr>
              <w:t>姓名</w:t>
            </w:r>
          </w:p>
        </w:tc>
        <w:tc>
          <w:tcPr>
            <w:tcW w:w="3399" w:type="dxa"/>
            <w:vAlign w:val="center"/>
          </w:tcPr>
          <w:p>
            <w:pPr>
              <w:autoSpaceDE w:val="0"/>
              <w:autoSpaceDN w:val="0"/>
              <w:jc w:val="center"/>
              <w:rPr>
                <w:rFonts w:ascii="宋体" w:hAnsi="宋体"/>
                <w:b/>
                <w:kern w:val="0"/>
              </w:rPr>
            </w:pPr>
            <w:r>
              <w:rPr>
                <w:rFonts w:hint="eastAsia" w:ascii="宋体" w:hAnsi="宋体"/>
                <w:b/>
                <w:kern w:val="0"/>
              </w:rPr>
              <w:t>职称及相关专业认证（或执业资格）情况（如评分需要）</w:t>
            </w:r>
          </w:p>
        </w:tc>
        <w:tc>
          <w:tcPr>
            <w:tcW w:w="1420" w:type="dxa"/>
            <w:vAlign w:val="center"/>
          </w:tcPr>
          <w:p>
            <w:pPr>
              <w:autoSpaceDE w:val="0"/>
              <w:autoSpaceDN w:val="0"/>
              <w:jc w:val="center"/>
              <w:rPr>
                <w:rFonts w:ascii="宋体" w:hAnsi="宋体"/>
                <w:b/>
                <w:kern w:val="0"/>
              </w:rPr>
            </w:pPr>
            <w:r>
              <w:rPr>
                <w:rFonts w:hint="eastAsia" w:ascii="宋体" w:hAnsi="宋体"/>
                <w:b/>
                <w:kern w:val="0"/>
              </w:rPr>
              <w:t>在本单位工作年限</w:t>
            </w:r>
          </w:p>
        </w:tc>
        <w:tc>
          <w:tcPr>
            <w:tcW w:w="1558" w:type="dxa"/>
            <w:vAlign w:val="center"/>
          </w:tcPr>
          <w:p>
            <w:pPr>
              <w:autoSpaceDE w:val="0"/>
              <w:autoSpaceDN w:val="0"/>
              <w:jc w:val="center"/>
              <w:rPr>
                <w:rFonts w:ascii="宋体" w:hAnsi="宋体"/>
                <w:b/>
                <w:kern w:val="0"/>
              </w:rPr>
            </w:pPr>
            <w:r>
              <w:rPr>
                <w:rFonts w:hint="eastAsia" w:ascii="宋体" w:hAnsi="宋体"/>
                <w:b/>
                <w:kern w:val="0"/>
              </w:rPr>
              <w:t>在本项目中拟担任职务</w:t>
            </w:r>
          </w:p>
        </w:tc>
        <w:tc>
          <w:tcPr>
            <w:tcW w:w="1054" w:type="dxa"/>
            <w:vAlign w:val="center"/>
          </w:tcPr>
          <w:p>
            <w:pPr>
              <w:autoSpaceDE w:val="0"/>
              <w:autoSpaceDN w:val="0"/>
              <w:jc w:val="center"/>
              <w:rPr>
                <w:rFonts w:ascii="宋体" w:hAnsi="宋体"/>
                <w:b/>
                <w:kern w:val="0"/>
              </w:rPr>
            </w:pPr>
            <w:r>
              <w:rPr>
                <w:rFonts w:hint="eastAsia" w:ascii="宋体" w:hAnsi="宋体"/>
                <w:b/>
                <w:kern w:val="0"/>
              </w:rPr>
              <w:t>备注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rFonts w:ascii="宋体" w:hAnsi="宋体"/>
                <w:kern w:val="0"/>
              </w:rPr>
            </w:pPr>
            <w:r>
              <w:rPr>
                <w:rFonts w:hint="eastAsia" w:ascii="宋体" w:hAnsi="宋体"/>
                <w:kern w:val="0"/>
              </w:rPr>
              <w:t>1</w:t>
            </w:r>
          </w:p>
        </w:tc>
        <w:tc>
          <w:tcPr>
            <w:tcW w:w="1255" w:type="dxa"/>
            <w:vAlign w:val="center"/>
          </w:tcPr>
          <w:p>
            <w:pPr>
              <w:autoSpaceDE w:val="0"/>
              <w:autoSpaceDN w:val="0"/>
              <w:rPr>
                <w:rFonts w:ascii="宋体" w:hAnsi="宋体"/>
                <w:kern w:val="0"/>
              </w:rPr>
            </w:pPr>
          </w:p>
        </w:tc>
        <w:tc>
          <w:tcPr>
            <w:tcW w:w="3399" w:type="dxa"/>
            <w:vAlign w:val="center"/>
          </w:tcPr>
          <w:p>
            <w:pPr>
              <w:autoSpaceDE w:val="0"/>
              <w:autoSpaceDN w:val="0"/>
              <w:rPr>
                <w:rFonts w:ascii="宋体" w:hAnsi="宋体"/>
                <w:kern w:val="0"/>
              </w:rPr>
            </w:pPr>
          </w:p>
        </w:tc>
        <w:tc>
          <w:tcPr>
            <w:tcW w:w="1420" w:type="dxa"/>
            <w:vAlign w:val="center"/>
          </w:tcPr>
          <w:p>
            <w:pPr>
              <w:autoSpaceDE w:val="0"/>
              <w:autoSpaceDN w:val="0"/>
              <w:rPr>
                <w:rFonts w:ascii="宋体" w:hAnsi="宋体"/>
                <w:kern w:val="0"/>
              </w:rPr>
            </w:pPr>
          </w:p>
        </w:tc>
        <w:tc>
          <w:tcPr>
            <w:tcW w:w="1558" w:type="dxa"/>
            <w:vAlign w:val="center"/>
          </w:tcPr>
          <w:p>
            <w:pPr>
              <w:autoSpaceDE w:val="0"/>
              <w:autoSpaceDN w:val="0"/>
              <w:rPr>
                <w:rFonts w:ascii="宋体" w:hAnsi="宋体"/>
                <w:kern w:val="0"/>
              </w:rPr>
            </w:pPr>
            <w:r>
              <w:rPr>
                <w:rFonts w:hint="eastAsia" w:ascii="宋体" w:hAnsi="宋体"/>
                <w:kern w:val="0"/>
              </w:rPr>
              <w:t>项目负责人</w:t>
            </w:r>
          </w:p>
        </w:tc>
        <w:tc>
          <w:tcPr>
            <w:tcW w:w="1054" w:type="dxa"/>
            <w:vAlign w:val="center"/>
          </w:tcPr>
          <w:p>
            <w:pPr>
              <w:autoSpaceDE w:val="0"/>
              <w:autoSpaceDN w:val="0"/>
              <w:rPr>
                <w:rFonts w:ascii="宋体" w:hAnsi="宋体"/>
                <w:kern w:val="0"/>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rFonts w:ascii="宋体" w:hAnsi="宋体"/>
                <w:kern w:val="0"/>
              </w:rPr>
            </w:pPr>
            <w:r>
              <w:rPr>
                <w:rFonts w:hint="eastAsia" w:ascii="宋体" w:hAnsi="宋体"/>
                <w:kern w:val="0"/>
              </w:rPr>
              <w:t>2</w:t>
            </w:r>
          </w:p>
        </w:tc>
        <w:tc>
          <w:tcPr>
            <w:tcW w:w="1255" w:type="dxa"/>
            <w:vAlign w:val="center"/>
          </w:tcPr>
          <w:p>
            <w:pPr>
              <w:autoSpaceDE w:val="0"/>
              <w:autoSpaceDN w:val="0"/>
              <w:rPr>
                <w:rFonts w:ascii="宋体" w:hAnsi="宋体"/>
                <w:kern w:val="0"/>
              </w:rPr>
            </w:pPr>
          </w:p>
        </w:tc>
        <w:tc>
          <w:tcPr>
            <w:tcW w:w="3399" w:type="dxa"/>
            <w:vAlign w:val="center"/>
          </w:tcPr>
          <w:p>
            <w:pPr>
              <w:autoSpaceDE w:val="0"/>
              <w:autoSpaceDN w:val="0"/>
              <w:rPr>
                <w:rFonts w:ascii="宋体" w:hAnsi="宋体"/>
                <w:kern w:val="0"/>
              </w:rPr>
            </w:pPr>
          </w:p>
        </w:tc>
        <w:tc>
          <w:tcPr>
            <w:tcW w:w="1420" w:type="dxa"/>
            <w:vAlign w:val="center"/>
          </w:tcPr>
          <w:p>
            <w:pPr>
              <w:autoSpaceDE w:val="0"/>
              <w:autoSpaceDN w:val="0"/>
              <w:rPr>
                <w:rFonts w:ascii="宋体" w:hAnsi="宋体"/>
                <w:kern w:val="0"/>
              </w:rPr>
            </w:pPr>
          </w:p>
        </w:tc>
        <w:tc>
          <w:tcPr>
            <w:tcW w:w="1558" w:type="dxa"/>
            <w:vAlign w:val="center"/>
          </w:tcPr>
          <w:p>
            <w:pPr>
              <w:autoSpaceDE w:val="0"/>
              <w:autoSpaceDN w:val="0"/>
              <w:rPr>
                <w:rFonts w:ascii="宋体" w:hAnsi="宋体"/>
                <w:kern w:val="0"/>
              </w:rPr>
            </w:pPr>
          </w:p>
        </w:tc>
        <w:tc>
          <w:tcPr>
            <w:tcW w:w="1054" w:type="dxa"/>
            <w:vAlign w:val="center"/>
          </w:tcPr>
          <w:p>
            <w:pPr>
              <w:autoSpaceDE w:val="0"/>
              <w:autoSpaceDN w:val="0"/>
              <w:rPr>
                <w:rFonts w:ascii="宋体" w:hAnsi="宋体"/>
                <w:kern w:val="0"/>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rFonts w:ascii="宋体" w:hAnsi="宋体"/>
                <w:kern w:val="0"/>
              </w:rPr>
            </w:pPr>
            <w:r>
              <w:rPr>
                <w:rFonts w:hint="eastAsia" w:ascii="宋体" w:hAnsi="宋体"/>
                <w:kern w:val="0"/>
              </w:rPr>
              <w:t>3</w:t>
            </w:r>
          </w:p>
        </w:tc>
        <w:tc>
          <w:tcPr>
            <w:tcW w:w="1255" w:type="dxa"/>
            <w:vAlign w:val="center"/>
          </w:tcPr>
          <w:p>
            <w:pPr>
              <w:autoSpaceDE w:val="0"/>
              <w:autoSpaceDN w:val="0"/>
              <w:rPr>
                <w:rFonts w:ascii="宋体" w:hAnsi="宋体"/>
                <w:kern w:val="0"/>
              </w:rPr>
            </w:pPr>
          </w:p>
        </w:tc>
        <w:tc>
          <w:tcPr>
            <w:tcW w:w="3399" w:type="dxa"/>
            <w:vAlign w:val="center"/>
          </w:tcPr>
          <w:p>
            <w:pPr>
              <w:autoSpaceDE w:val="0"/>
              <w:autoSpaceDN w:val="0"/>
              <w:rPr>
                <w:rFonts w:ascii="宋体" w:hAnsi="宋体"/>
                <w:kern w:val="0"/>
              </w:rPr>
            </w:pPr>
          </w:p>
        </w:tc>
        <w:tc>
          <w:tcPr>
            <w:tcW w:w="1420" w:type="dxa"/>
            <w:vAlign w:val="center"/>
          </w:tcPr>
          <w:p>
            <w:pPr>
              <w:autoSpaceDE w:val="0"/>
              <w:autoSpaceDN w:val="0"/>
              <w:rPr>
                <w:rFonts w:ascii="宋体" w:hAnsi="宋体"/>
                <w:kern w:val="0"/>
              </w:rPr>
            </w:pPr>
          </w:p>
        </w:tc>
        <w:tc>
          <w:tcPr>
            <w:tcW w:w="1558" w:type="dxa"/>
            <w:vAlign w:val="center"/>
          </w:tcPr>
          <w:p>
            <w:pPr>
              <w:autoSpaceDE w:val="0"/>
              <w:autoSpaceDN w:val="0"/>
              <w:rPr>
                <w:rFonts w:ascii="宋体" w:hAnsi="宋体"/>
                <w:kern w:val="0"/>
              </w:rPr>
            </w:pPr>
          </w:p>
        </w:tc>
        <w:tc>
          <w:tcPr>
            <w:tcW w:w="1054" w:type="dxa"/>
            <w:vAlign w:val="center"/>
          </w:tcPr>
          <w:p>
            <w:pPr>
              <w:autoSpaceDE w:val="0"/>
              <w:autoSpaceDN w:val="0"/>
              <w:rPr>
                <w:rFonts w:ascii="宋体" w:hAnsi="宋体"/>
                <w:kern w:val="0"/>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pPr>
              <w:autoSpaceDE w:val="0"/>
              <w:autoSpaceDN w:val="0"/>
              <w:jc w:val="center"/>
              <w:rPr>
                <w:rFonts w:ascii="宋体" w:hAnsi="宋体"/>
                <w:kern w:val="0"/>
              </w:rPr>
            </w:pPr>
            <w:r>
              <w:rPr>
                <w:rFonts w:hint="eastAsia" w:ascii="宋体" w:hAnsi="宋体"/>
                <w:kern w:val="0"/>
              </w:rPr>
              <w:t>…</w:t>
            </w:r>
          </w:p>
        </w:tc>
        <w:tc>
          <w:tcPr>
            <w:tcW w:w="1255" w:type="dxa"/>
            <w:vAlign w:val="center"/>
          </w:tcPr>
          <w:p>
            <w:pPr>
              <w:autoSpaceDE w:val="0"/>
              <w:autoSpaceDN w:val="0"/>
              <w:rPr>
                <w:rFonts w:ascii="宋体" w:hAnsi="宋体"/>
                <w:kern w:val="0"/>
              </w:rPr>
            </w:pPr>
          </w:p>
        </w:tc>
        <w:tc>
          <w:tcPr>
            <w:tcW w:w="3399" w:type="dxa"/>
            <w:vAlign w:val="center"/>
          </w:tcPr>
          <w:p>
            <w:pPr>
              <w:autoSpaceDE w:val="0"/>
              <w:autoSpaceDN w:val="0"/>
              <w:rPr>
                <w:rFonts w:ascii="宋体" w:hAnsi="宋体"/>
                <w:kern w:val="0"/>
              </w:rPr>
            </w:pPr>
          </w:p>
        </w:tc>
        <w:tc>
          <w:tcPr>
            <w:tcW w:w="1420" w:type="dxa"/>
            <w:vAlign w:val="center"/>
          </w:tcPr>
          <w:p>
            <w:pPr>
              <w:autoSpaceDE w:val="0"/>
              <w:autoSpaceDN w:val="0"/>
              <w:rPr>
                <w:rFonts w:ascii="宋体" w:hAnsi="宋体"/>
                <w:kern w:val="0"/>
              </w:rPr>
            </w:pPr>
          </w:p>
        </w:tc>
        <w:tc>
          <w:tcPr>
            <w:tcW w:w="1558" w:type="dxa"/>
            <w:vAlign w:val="center"/>
          </w:tcPr>
          <w:p>
            <w:pPr>
              <w:autoSpaceDE w:val="0"/>
              <w:autoSpaceDN w:val="0"/>
              <w:rPr>
                <w:rFonts w:ascii="宋体" w:hAnsi="宋体"/>
                <w:kern w:val="0"/>
              </w:rPr>
            </w:pPr>
          </w:p>
        </w:tc>
        <w:tc>
          <w:tcPr>
            <w:tcW w:w="1054" w:type="dxa"/>
            <w:vAlign w:val="center"/>
          </w:tcPr>
          <w:p>
            <w:pPr>
              <w:autoSpaceDE w:val="0"/>
              <w:autoSpaceDN w:val="0"/>
              <w:rPr>
                <w:rFonts w:ascii="宋体" w:hAnsi="宋体"/>
                <w:kern w:val="0"/>
              </w:rPr>
            </w:pP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autoSpaceDE w:val="0"/>
              <w:autoSpaceDN w:val="0"/>
              <w:rPr>
                <w:rFonts w:ascii="宋体" w:hAnsi="宋体"/>
                <w:b/>
                <w:kern w:val="0"/>
              </w:rPr>
            </w:pPr>
            <w:r>
              <w:rPr>
                <w:rFonts w:hint="eastAsia" w:ascii="宋体" w:hAnsi="宋体"/>
                <w:b/>
                <w:kern w:val="0"/>
              </w:rPr>
              <w:t>其他说明：（如有）</w:t>
            </w:r>
          </w:p>
        </w:tc>
      </w:tr>
    </w:tbl>
    <w:p>
      <w:pPr>
        <w:rPr>
          <w:rFonts w:ascii="宋体" w:hAnsi="宋体"/>
        </w:rPr>
      </w:pPr>
      <w:r>
        <w:rPr>
          <w:rFonts w:hint="eastAsia" w:ascii="宋体" w:hAnsi="宋体"/>
          <w:b/>
          <w:kern w:val="0"/>
        </w:rPr>
        <w:t>注：本表后附对应的人员详细情况表及其为磋商响应供应商正式员工的证明文件（磋商响应供应商为其缴纳的社保记录或劳务合同等证明文件，其中社保记录可在资格后审材料中勾注，劳务合同可附在对应的人员详细情况表后）。</w:t>
      </w:r>
    </w:p>
    <w:p>
      <w:pPr>
        <w:jc w:val="center"/>
        <w:rPr>
          <w:rFonts w:ascii="宋体" w:hAnsi="宋体"/>
          <w:b/>
        </w:rPr>
      </w:pPr>
    </w:p>
    <w:p>
      <w:pPr>
        <w:jc w:val="center"/>
        <w:rPr>
          <w:rFonts w:ascii="宋体" w:hAnsi="宋体"/>
          <w:b/>
        </w:rPr>
      </w:pPr>
      <w:r>
        <w:rPr>
          <w:rFonts w:hint="eastAsia" w:ascii="宋体" w:hAnsi="宋体"/>
          <w:b/>
        </w:rPr>
        <w:t>(二)拟投入本项目的服务团队人员详细情况表</w:t>
      </w:r>
    </w:p>
    <w:tbl>
      <w:tblPr>
        <w:tblStyle w:val="27"/>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679"/>
        <w:gridCol w:w="1978"/>
        <w:gridCol w:w="1698"/>
        <w:gridCol w:w="993"/>
        <w:gridCol w:w="1418"/>
        <w:gridCol w:w="908"/>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rFonts w:ascii="宋体" w:hAnsi="宋体"/>
                <w:b/>
              </w:rPr>
            </w:pPr>
            <w:r>
              <w:rPr>
                <w:rFonts w:hint="eastAsia" w:ascii="宋体" w:hAnsi="宋体"/>
                <w:b/>
              </w:rPr>
              <w:t>序号</w:t>
            </w:r>
          </w:p>
        </w:tc>
        <w:tc>
          <w:tcPr>
            <w:tcW w:w="6995" w:type="dxa"/>
            <w:gridSpan w:val="5"/>
            <w:vAlign w:val="center"/>
          </w:tcPr>
          <w:p>
            <w:pPr>
              <w:widowControl/>
              <w:jc w:val="center"/>
              <w:rPr>
                <w:rFonts w:ascii="宋体" w:hAnsi="宋体"/>
                <w:b/>
              </w:rPr>
            </w:pPr>
            <w:r>
              <w:rPr>
                <w:rFonts w:hint="eastAsia" w:ascii="宋体" w:hAnsi="宋体"/>
              </w:rPr>
              <w:t>（对应人员汇总表中的序号）</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902" w:type="dxa"/>
            <w:gridSpan w:val="5"/>
            <w:tcBorders>
              <w:right w:val="single" w:color="000000" w:sz="4" w:space="0"/>
            </w:tcBorders>
            <w:vAlign w:val="center"/>
          </w:tcPr>
          <w:p>
            <w:pPr>
              <w:widowControl/>
              <w:jc w:val="center"/>
              <w:rPr>
                <w:rFonts w:ascii="宋体" w:hAnsi="宋体"/>
              </w:rPr>
            </w:pPr>
            <w:r>
              <w:rPr>
                <w:rFonts w:hint="eastAsia" w:ascii="宋体" w:hAnsi="宋体"/>
                <w:b/>
              </w:rPr>
              <w:t xml:space="preserve">                   一般情况</w:t>
            </w:r>
          </w:p>
        </w:tc>
        <w:tc>
          <w:tcPr>
            <w:tcW w:w="1418" w:type="dxa"/>
            <w:tcBorders>
              <w:left w:val="single" w:color="000000" w:sz="4" w:space="0"/>
              <w:right w:val="single" w:color="000000" w:sz="4" w:space="0"/>
            </w:tcBorders>
            <w:vAlign w:val="center"/>
          </w:tcPr>
          <w:p>
            <w:pPr>
              <w:widowControl/>
              <w:jc w:val="center"/>
              <w:rPr>
                <w:rFonts w:ascii="宋体" w:hAnsi="宋体"/>
                <w:b/>
              </w:rPr>
            </w:pPr>
            <w:r>
              <w:rPr>
                <w:rFonts w:hint="eastAsia" w:ascii="宋体" w:hAnsi="宋体"/>
                <w:b/>
              </w:rPr>
              <w:t>证明材料</w:t>
            </w:r>
          </w:p>
        </w:tc>
        <w:tc>
          <w:tcPr>
            <w:tcW w:w="908" w:type="dxa"/>
            <w:tcBorders>
              <w:left w:val="single" w:color="000000" w:sz="4" w:space="0"/>
            </w:tcBorders>
            <w:vAlign w:val="center"/>
          </w:tcPr>
          <w:p>
            <w:pPr>
              <w:widowControl/>
              <w:jc w:val="center"/>
              <w:rPr>
                <w:rFonts w:ascii="宋体" w:hAnsi="宋体"/>
                <w:b/>
              </w:rPr>
            </w:pPr>
            <w:r>
              <w:rPr>
                <w:rFonts w:hint="eastAsia" w:ascii="宋体" w:hAnsi="宋体"/>
                <w:b/>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rFonts w:ascii="宋体" w:hAnsi="宋体"/>
                <w:b/>
              </w:rPr>
            </w:pPr>
            <w:r>
              <w:rPr>
                <w:rFonts w:hint="eastAsia" w:ascii="宋体" w:hAnsi="宋体"/>
                <w:b/>
              </w:rPr>
              <w:t>姓名</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restart"/>
            <w:tcBorders>
              <w:left w:val="single" w:color="000000" w:sz="4" w:space="0"/>
              <w:right w:val="single" w:color="000000" w:sz="4" w:space="0"/>
            </w:tcBorders>
            <w:vAlign w:val="center"/>
          </w:tcPr>
          <w:p>
            <w:pPr>
              <w:widowControl/>
              <w:jc w:val="left"/>
              <w:rPr>
                <w:rFonts w:ascii="宋体" w:hAnsi="宋体"/>
              </w:rPr>
            </w:pPr>
            <w:r>
              <w:rPr>
                <w:rFonts w:hint="eastAsia" w:ascii="宋体" w:hAnsi="宋体"/>
              </w:rPr>
              <w:t>身份证复印件</w:t>
            </w:r>
          </w:p>
        </w:tc>
        <w:tc>
          <w:tcPr>
            <w:tcW w:w="908" w:type="dxa"/>
            <w:vMerge w:val="restart"/>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rFonts w:ascii="宋体" w:hAnsi="宋体"/>
                <w:b/>
              </w:rPr>
            </w:pPr>
            <w:r>
              <w:rPr>
                <w:rFonts w:hint="eastAsia" w:ascii="宋体" w:hAnsi="宋体"/>
                <w:b/>
              </w:rPr>
              <w:t>年龄</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left"/>
              <w:rPr>
                <w:rFonts w:ascii="宋体" w:hAnsi="宋体"/>
              </w:rPr>
            </w:pPr>
          </w:p>
        </w:tc>
        <w:tc>
          <w:tcPr>
            <w:tcW w:w="908" w:type="dxa"/>
            <w:vMerge w:val="continue"/>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2233" w:type="dxa"/>
            <w:gridSpan w:val="2"/>
            <w:vAlign w:val="center"/>
          </w:tcPr>
          <w:p>
            <w:pPr>
              <w:widowControl/>
              <w:jc w:val="left"/>
              <w:rPr>
                <w:rFonts w:ascii="宋体" w:hAnsi="宋体"/>
                <w:b/>
              </w:rPr>
            </w:pPr>
            <w:r>
              <w:rPr>
                <w:rFonts w:hint="eastAsia" w:ascii="宋体" w:hAnsi="宋体"/>
                <w:b/>
              </w:rPr>
              <w:t>是否为正式员工</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restart"/>
            <w:tcBorders>
              <w:left w:val="single" w:color="000000" w:sz="4" w:space="0"/>
              <w:right w:val="single" w:color="000000" w:sz="4" w:space="0"/>
            </w:tcBorders>
            <w:vAlign w:val="center"/>
          </w:tcPr>
          <w:p>
            <w:pPr>
              <w:jc w:val="left"/>
              <w:rPr>
                <w:rFonts w:ascii="宋体" w:hAnsi="宋体"/>
              </w:rPr>
            </w:pPr>
            <w:r>
              <w:rPr>
                <w:rFonts w:hint="eastAsia" w:ascii="宋体" w:hAnsi="宋体"/>
              </w:rPr>
              <w:t>社保记录或劳务合同等</w:t>
            </w:r>
          </w:p>
        </w:tc>
        <w:tc>
          <w:tcPr>
            <w:tcW w:w="908" w:type="dxa"/>
            <w:vMerge w:val="restart"/>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rFonts w:ascii="宋体" w:hAnsi="宋体"/>
                <w:b/>
              </w:rPr>
            </w:pPr>
            <w:r>
              <w:rPr>
                <w:rFonts w:hint="eastAsia" w:ascii="宋体" w:hAnsi="宋体"/>
                <w:b/>
              </w:rPr>
              <w:t>在本单位任职时间</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left"/>
              <w:rPr>
                <w:rFonts w:ascii="宋体" w:hAnsi="宋体"/>
              </w:rPr>
            </w:pPr>
          </w:p>
        </w:tc>
        <w:tc>
          <w:tcPr>
            <w:tcW w:w="908" w:type="dxa"/>
            <w:vMerge w:val="continue"/>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rFonts w:ascii="宋体" w:hAnsi="宋体"/>
                <w:b/>
              </w:rPr>
            </w:pPr>
            <w:r>
              <w:rPr>
                <w:rFonts w:hint="eastAsia" w:ascii="宋体" w:hAnsi="宋体"/>
                <w:b/>
              </w:rPr>
              <w:t>职务（本单位）</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restart"/>
            <w:tcBorders>
              <w:left w:val="single" w:color="000000" w:sz="4" w:space="0"/>
              <w:right w:val="single" w:color="000000" w:sz="4" w:space="0"/>
            </w:tcBorders>
            <w:vAlign w:val="center"/>
          </w:tcPr>
          <w:p>
            <w:pPr>
              <w:widowControl/>
              <w:jc w:val="center"/>
              <w:rPr>
                <w:rFonts w:ascii="宋体" w:hAnsi="宋体"/>
              </w:rPr>
            </w:pPr>
            <w:r>
              <w:rPr>
                <w:rFonts w:hint="eastAsia" w:ascii="宋体" w:hAnsi="宋体"/>
              </w:rPr>
              <w:t>\</w:t>
            </w:r>
          </w:p>
        </w:tc>
        <w:tc>
          <w:tcPr>
            <w:tcW w:w="908" w:type="dxa"/>
            <w:vMerge w:val="restart"/>
            <w:tcBorders>
              <w:left w:val="single" w:color="000000" w:sz="4" w:space="0"/>
            </w:tcBorders>
            <w:vAlign w:val="center"/>
          </w:tcPr>
          <w:p>
            <w:pPr>
              <w:widowControl/>
              <w:jc w:val="center"/>
              <w:rPr>
                <w:rFonts w:ascii="宋体" w:hAnsi="宋体"/>
              </w:rPr>
            </w:pPr>
            <w:r>
              <w:rPr>
                <w:rFonts w:hint="eastAsia" w:ascii="宋体" w:hAnsi="宋体"/>
              </w:rPr>
              <w:t>\</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rFonts w:ascii="宋体" w:hAnsi="宋体"/>
                <w:b/>
              </w:rPr>
            </w:pPr>
            <w:r>
              <w:rPr>
                <w:rFonts w:hint="eastAsia" w:ascii="宋体" w:hAnsi="宋体"/>
                <w:b/>
              </w:rPr>
              <w:t>职务/职责（本项目）</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vMerge w:val="continue"/>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233" w:type="dxa"/>
            <w:gridSpan w:val="2"/>
            <w:vAlign w:val="center"/>
          </w:tcPr>
          <w:p>
            <w:pPr>
              <w:widowControl/>
              <w:jc w:val="left"/>
              <w:rPr>
                <w:rFonts w:ascii="宋体" w:hAnsi="宋体"/>
                <w:b/>
              </w:rPr>
            </w:pPr>
            <w:r>
              <w:rPr>
                <w:rFonts w:hint="eastAsia" w:ascii="宋体" w:hAnsi="宋体"/>
                <w:b/>
              </w:rPr>
              <w:t>学历</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restart"/>
            <w:tcBorders>
              <w:left w:val="single" w:color="000000" w:sz="4" w:space="0"/>
              <w:right w:val="single" w:color="000000" w:sz="4" w:space="0"/>
            </w:tcBorders>
            <w:vAlign w:val="center"/>
          </w:tcPr>
          <w:p>
            <w:pPr>
              <w:widowControl/>
              <w:jc w:val="left"/>
              <w:rPr>
                <w:rFonts w:ascii="宋体" w:hAnsi="宋体"/>
              </w:rPr>
            </w:pPr>
            <w:r>
              <w:rPr>
                <w:rFonts w:hint="eastAsia" w:ascii="宋体" w:hAnsi="宋体"/>
              </w:rPr>
              <w:t>相关证书复印件</w:t>
            </w:r>
          </w:p>
        </w:tc>
        <w:tc>
          <w:tcPr>
            <w:tcW w:w="908" w:type="dxa"/>
            <w:vMerge w:val="restart"/>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2233" w:type="dxa"/>
            <w:gridSpan w:val="2"/>
            <w:vAlign w:val="center"/>
          </w:tcPr>
          <w:p>
            <w:pPr>
              <w:widowControl/>
              <w:jc w:val="left"/>
              <w:rPr>
                <w:rFonts w:ascii="宋体" w:hAnsi="宋体"/>
                <w:b/>
              </w:rPr>
            </w:pPr>
            <w:r>
              <w:rPr>
                <w:rFonts w:hint="eastAsia" w:ascii="宋体" w:hAnsi="宋体"/>
                <w:b/>
              </w:rPr>
              <w:t>职称及相关专业认证（或执业资格）</w:t>
            </w:r>
          </w:p>
        </w:tc>
        <w:tc>
          <w:tcPr>
            <w:tcW w:w="4669" w:type="dxa"/>
            <w:gridSpan w:val="3"/>
            <w:tcBorders>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vMerge w:val="continue"/>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center"/>
              <w:rPr>
                <w:rFonts w:ascii="宋体" w:hAnsi="宋体"/>
                <w:b/>
              </w:rPr>
            </w:pPr>
            <w:r>
              <w:rPr>
                <w:rFonts w:hint="eastAsia" w:ascii="宋体" w:hAnsi="宋体"/>
                <w:b/>
              </w:rPr>
              <w:t>以往经验</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87" w:hRule="atLeast"/>
        </w:trPr>
        <w:tc>
          <w:tcPr>
            <w:tcW w:w="554" w:type="dxa"/>
            <w:tcBorders>
              <w:right w:val="single" w:color="000000" w:sz="4" w:space="0"/>
            </w:tcBorders>
            <w:vAlign w:val="center"/>
          </w:tcPr>
          <w:p>
            <w:pPr>
              <w:widowControl/>
              <w:jc w:val="left"/>
              <w:rPr>
                <w:rFonts w:ascii="宋体" w:hAnsi="宋体"/>
                <w:b/>
              </w:rPr>
            </w:pPr>
            <w:r>
              <w:rPr>
                <w:rFonts w:hint="eastAsia" w:ascii="宋体" w:hAnsi="宋体"/>
                <w:b/>
              </w:rPr>
              <w:t>序号</w:t>
            </w:r>
          </w:p>
        </w:tc>
        <w:tc>
          <w:tcPr>
            <w:tcW w:w="3657" w:type="dxa"/>
            <w:gridSpan w:val="2"/>
            <w:tcBorders>
              <w:left w:val="single" w:color="000000" w:sz="4" w:space="0"/>
              <w:right w:val="single" w:color="000000" w:sz="4" w:space="0"/>
            </w:tcBorders>
            <w:vAlign w:val="center"/>
          </w:tcPr>
          <w:p>
            <w:pPr>
              <w:widowControl/>
              <w:jc w:val="center"/>
              <w:rPr>
                <w:rFonts w:ascii="宋体" w:hAnsi="宋体"/>
                <w:b/>
              </w:rPr>
            </w:pPr>
            <w:r>
              <w:rPr>
                <w:rFonts w:hint="eastAsia" w:ascii="宋体" w:hAnsi="宋体"/>
                <w:b/>
              </w:rPr>
              <w:t>项目名称</w:t>
            </w:r>
          </w:p>
        </w:tc>
        <w:tc>
          <w:tcPr>
            <w:tcW w:w="1698" w:type="dxa"/>
            <w:tcBorders>
              <w:left w:val="single" w:color="000000" w:sz="4" w:space="0"/>
              <w:right w:val="single" w:color="000000" w:sz="4" w:space="0"/>
            </w:tcBorders>
            <w:vAlign w:val="center"/>
          </w:tcPr>
          <w:p>
            <w:pPr>
              <w:widowControl/>
              <w:jc w:val="center"/>
              <w:rPr>
                <w:rFonts w:ascii="宋体" w:hAnsi="宋体"/>
                <w:b/>
              </w:rPr>
            </w:pPr>
            <w:r>
              <w:rPr>
                <w:rFonts w:hint="eastAsia" w:ascii="宋体" w:hAnsi="宋体"/>
                <w:b/>
              </w:rPr>
              <w:t>合同签订时间</w:t>
            </w:r>
          </w:p>
        </w:tc>
        <w:tc>
          <w:tcPr>
            <w:tcW w:w="993" w:type="dxa"/>
            <w:tcBorders>
              <w:left w:val="single" w:color="000000" w:sz="4" w:space="0"/>
              <w:right w:val="single" w:color="000000" w:sz="4" w:space="0"/>
            </w:tcBorders>
            <w:vAlign w:val="center"/>
          </w:tcPr>
          <w:p>
            <w:pPr>
              <w:widowControl/>
              <w:jc w:val="center"/>
              <w:rPr>
                <w:rFonts w:ascii="宋体" w:hAnsi="宋体"/>
                <w:b/>
              </w:rPr>
            </w:pPr>
            <w:r>
              <w:rPr>
                <w:rFonts w:hint="eastAsia" w:ascii="宋体" w:hAnsi="宋体"/>
                <w:b/>
              </w:rPr>
              <w:t>该项目中任职</w:t>
            </w:r>
          </w:p>
        </w:tc>
        <w:tc>
          <w:tcPr>
            <w:tcW w:w="1418" w:type="dxa"/>
            <w:tcBorders>
              <w:left w:val="single" w:color="000000" w:sz="4" w:space="0"/>
              <w:right w:val="single" w:color="000000" w:sz="4" w:space="0"/>
            </w:tcBorders>
            <w:vAlign w:val="center"/>
          </w:tcPr>
          <w:p>
            <w:pPr>
              <w:widowControl/>
              <w:jc w:val="center"/>
              <w:rPr>
                <w:rFonts w:ascii="宋体" w:hAnsi="宋体"/>
                <w:b/>
              </w:rPr>
            </w:pPr>
            <w:r>
              <w:rPr>
                <w:rFonts w:hint="eastAsia" w:ascii="宋体" w:hAnsi="宋体"/>
                <w:b/>
              </w:rPr>
              <w:t>证明材料</w:t>
            </w:r>
          </w:p>
        </w:tc>
        <w:tc>
          <w:tcPr>
            <w:tcW w:w="908" w:type="dxa"/>
            <w:tcBorders>
              <w:left w:val="single" w:color="000000" w:sz="4" w:space="0"/>
            </w:tcBorders>
            <w:vAlign w:val="center"/>
          </w:tcPr>
          <w:p>
            <w:pPr>
              <w:widowControl/>
              <w:jc w:val="center"/>
              <w:rPr>
                <w:rFonts w:ascii="宋体" w:hAnsi="宋体"/>
                <w:b/>
              </w:rPr>
            </w:pPr>
            <w:r>
              <w:rPr>
                <w:rFonts w:hint="eastAsia" w:ascii="宋体" w:hAnsi="宋体"/>
                <w:b/>
              </w:rPr>
              <w:t>材料页码</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rFonts w:ascii="宋体" w:hAnsi="宋体"/>
                <w:b/>
              </w:rPr>
            </w:pPr>
          </w:p>
        </w:tc>
        <w:tc>
          <w:tcPr>
            <w:tcW w:w="3657" w:type="dxa"/>
            <w:gridSpan w:val="2"/>
            <w:tcBorders>
              <w:left w:val="single" w:color="000000" w:sz="4" w:space="0"/>
              <w:right w:val="single" w:color="000000" w:sz="4" w:space="0"/>
            </w:tcBorders>
            <w:vAlign w:val="center"/>
          </w:tcPr>
          <w:p>
            <w:pPr>
              <w:widowControl/>
              <w:jc w:val="center"/>
              <w:rPr>
                <w:rFonts w:ascii="宋体" w:hAnsi="宋体"/>
              </w:rPr>
            </w:pPr>
          </w:p>
        </w:tc>
        <w:tc>
          <w:tcPr>
            <w:tcW w:w="1698" w:type="dxa"/>
            <w:tcBorders>
              <w:left w:val="single" w:color="000000" w:sz="4" w:space="0"/>
              <w:right w:val="single" w:color="000000" w:sz="4" w:space="0"/>
            </w:tcBorders>
            <w:vAlign w:val="center"/>
          </w:tcPr>
          <w:p>
            <w:pPr>
              <w:widowControl/>
              <w:jc w:val="center"/>
              <w:rPr>
                <w:rFonts w:ascii="宋体" w:hAnsi="宋体"/>
              </w:rPr>
            </w:pPr>
          </w:p>
        </w:tc>
        <w:tc>
          <w:tcPr>
            <w:tcW w:w="993" w:type="dxa"/>
            <w:tcBorders>
              <w:left w:val="single" w:color="000000" w:sz="4" w:space="0"/>
              <w:right w:val="single" w:color="000000" w:sz="4" w:space="0"/>
            </w:tcBorders>
            <w:vAlign w:val="center"/>
          </w:tcPr>
          <w:p>
            <w:pPr>
              <w:widowControl/>
              <w:jc w:val="center"/>
              <w:rPr>
                <w:rFonts w:ascii="宋体" w:hAnsi="宋体"/>
              </w:rPr>
            </w:pPr>
          </w:p>
        </w:tc>
        <w:tc>
          <w:tcPr>
            <w:tcW w:w="1418" w:type="dxa"/>
            <w:vMerge w:val="restart"/>
            <w:tcBorders>
              <w:left w:val="single" w:color="000000" w:sz="4" w:space="0"/>
              <w:right w:val="single" w:color="000000" w:sz="4" w:space="0"/>
            </w:tcBorders>
            <w:vAlign w:val="center"/>
          </w:tcPr>
          <w:p>
            <w:pPr>
              <w:widowControl/>
              <w:jc w:val="center"/>
              <w:rPr>
                <w:rFonts w:ascii="宋体" w:hAnsi="宋体"/>
              </w:rPr>
            </w:pPr>
            <w:r>
              <w:rPr>
                <w:rFonts w:hint="eastAsia" w:ascii="宋体" w:hAnsi="宋体"/>
              </w:rPr>
              <w:t>按评分办法要求提供合同复印件等</w:t>
            </w:r>
          </w:p>
        </w:tc>
        <w:tc>
          <w:tcPr>
            <w:tcW w:w="908" w:type="dxa"/>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rFonts w:ascii="宋体" w:hAnsi="宋体"/>
                <w:b/>
              </w:rPr>
            </w:pPr>
          </w:p>
        </w:tc>
        <w:tc>
          <w:tcPr>
            <w:tcW w:w="3657" w:type="dxa"/>
            <w:gridSpan w:val="2"/>
            <w:tcBorders>
              <w:left w:val="single" w:color="000000" w:sz="4" w:space="0"/>
              <w:right w:val="single" w:color="000000" w:sz="4" w:space="0"/>
            </w:tcBorders>
            <w:vAlign w:val="center"/>
          </w:tcPr>
          <w:p>
            <w:pPr>
              <w:widowControl/>
              <w:jc w:val="center"/>
              <w:rPr>
                <w:rFonts w:ascii="宋体" w:hAnsi="宋体"/>
              </w:rPr>
            </w:pPr>
          </w:p>
        </w:tc>
        <w:tc>
          <w:tcPr>
            <w:tcW w:w="1698" w:type="dxa"/>
            <w:tcBorders>
              <w:left w:val="single" w:color="000000" w:sz="4" w:space="0"/>
              <w:right w:val="single" w:color="000000" w:sz="4" w:space="0"/>
            </w:tcBorders>
            <w:vAlign w:val="center"/>
          </w:tcPr>
          <w:p>
            <w:pPr>
              <w:widowControl/>
              <w:jc w:val="center"/>
              <w:rPr>
                <w:rFonts w:ascii="宋体" w:hAnsi="宋体"/>
              </w:rPr>
            </w:pPr>
          </w:p>
        </w:tc>
        <w:tc>
          <w:tcPr>
            <w:tcW w:w="993" w:type="dxa"/>
            <w:tcBorders>
              <w:left w:val="single" w:color="000000" w:sz="4" w:space="0"/>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554" w:type="dxa"/>
            <w:tcBorders>
              <w:right w:val="single" w:color="000000" w:sz="4" w:space="0"/>
            </w:tcBorders>
            <w:vAlign w:val="center"/>
          </w:tcPr>
          <w:p>
            <w:pPr>
              <w:widowControl/>
              <w:jc w:val="left"/>
              <w:rPr>
                <w:rFonts w:ascii="宋体" w:hAnsi="宋体"/>
                <w:b/>
              </w:rPr>
            </w:pPr>
          </w:p>
        </w:tc>
        <w:tc>
          <w:tcPr>
            <w:tcW w:w="3657" w:type="dxa"/>
            <w:gridSpan w:val="2"/>
            <w:tcBorders>
              <w:left w:val="single" w:color="000000" w:sz="4" w:space="0"/>
              <w:right w:val="single" w:color="000000" w:sz="4" w:space="0"/>
            </w:tcBorders>
            <w:vAlign w:val="center"/>
          </w:tcPr>
          <w:p>
            <w:pPr>
              <w:widowControl/>
              <w:jc w:val="center"/>
              <w:rPr>
                <w:rFonts w:ascii="宋体" w:hAnsi="宋体"/>
              </w:rPr>
            </w:pPr>
          </w:p>
        </w:tc>
        <w:tc>
          <w:tcPr>
            <w:tcW w:w="1698" w:type="dxa"/>
            <w:tcBorders>
              <w:left w:val="single" w:color="000000" w:sz="4" w:space="0"/>
              <w:right w:val="single" w:color="000000" w:sz="4" w:space="0"/>
            </w:tcBorders>
            <w:vAlign w:val="center"/>
          </w:tcPr>
          <w:p>
            <w:pPr>
              <w:widowControl/>
              <w:jc w:val="center"/>
              <w:rPr>
                <w:rFonts w:ascii="宋体" w:hAnsi="宋体"/>
              </w:rPr>
            </w:pPr>
          </w:p>
        </w:tc>
        <w:tc>
          <w:tcPr>
            <w:tcW w:w="993" w:type="dxa"/>
            <w:tcBorders>
              <w:left w:val="single" w:color="000000" w:sz="4" w:space="0"/>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rFonts w:ascii="宋体" w:hAnsi="宋体"/>
                <w:b/>
              </w:rPr>
            </w:pPr>
          </w:p>
        </w:tc>
        <w:tc>
          <w:tcPr>
            <w:tcW w:w="3657" w:type="dxa"/>
            <w:gridSpan w:val="2"/>
            <w:tcBorders>
              <w:left w:val="single" w:color="000000" w:sz="4" w:space="0"/>
              <w:right w:val="single" w:color="000000" w:sz="4" w:space="0"/>
            </w:tcBorders>
            <w:vAlign w:val="center"/>
          </w:tcPr>
          <w:p>
            <w:pPr>
              <w:widowControl/>
              <w:jc w:val="center"/>
              <w:rPr>
                <w:rFonts w:ascii="宋体" w:hAnsi="宋体"/>
              </w:rPr>
            </w:pPr>
          </w:p>
        </w:tc>
        <w:tc>
          <w:tcPr>
            <w:tcW w:w="1698" w:type="dxa"/>
            <w:tcBorders>
              <w:left w:val="single" w:color="000000" w:sz="4" w:space="0"/>
              <w:right w:val="single" w:color="000000" w:sz="4" w:space="0"/>
            </w:tcBorders>
            <w:vAlign w:val="center"/>
          </w:tcPr>
          <w:p>
            <w:pPr>
              <w:widowControl/>
              <w:jc w:val="center"/>
              <w:rPr>
                <w:rFonts w:ascii="宋体" w:hAnsi="宋体"/>
              </w:rPr>
            </w:pPr>
          </w:p>
        </w:tc>
        <w:tc>
          <w:tcPr>
            <w:tcW w:w="993" w:type="dxa"/>
            <w:tcBorders>
              <w:left w:val="single" w:color="000000" w:sz="4" w:space="0"/>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554" w:type="dxa"/>
            <w:tcBorders>
              <w:right w:val="single" w:color="000000" w:sz="4" w:space="0"/>
            </w:tcBorders>
            <w:vAlign w:val="center"/>
          </w:tcPr>
          <w:p>
            <w:pPr>
              <w:widowControl/>
              <w:jc w:val="left"/>
              <w:rPr>
                <w:rFonts w:ascii="宋体" w:hAnsi="宋体"/>
                <w:b/>
              </w:rPr>
            </w:pPr>
          </w:p>
        </w:tc>
        <w:tc>
          <w:tcPr>
            <w:tcW w:w="3657" w:type="dxa"/>
            <w:gridSpan w:val="2"/>
            <w:tcBorders>
              <w:left w:val="single" w:color="000000" w:sz="4" w:space="0"/>
              <w:right w:val="single" w:color="000000" w:sz="4" w:space="0"/>
            </w:tcBorders>
            <w:vAlign w:val="center"/>
          </w:tcPr>
          <w:p>
            <w:pPr>
              <w:widowControl/>
              <w:jc w:val="center"/>
              <w:rPr>
                <w:rFonts w:ascii="宋体" w:hAnsi="宋体"/>
              </w:rPr>
            </w:pPr>
          </w:p>
        </w:tc>
        <w:tc>
          <w:tcPr>
            <w:tcW w:w="1698" w:type="dxa"/>
            <w:tcBorders>
              <w:left w:val="single" w:color="000000" w:sz="4" w:space="0"/>
              <w:right w:val="single" w:color="000000" w:sz="4" w:space="0"/>
            </w:tcBorders>
            <w:vAlign w:val="center"/>
          </w:tcPr>
          <w:p>
            <w:pPr>
              <w:widowControl/>
              <w:jc w:val="center"/>
              <w:rPr>
                <w:rFonts w:ascii="宋体" w:hAnsi="宋体"/>
              </w:rPr>
            </w:pPr>
          </w:p>
        </w:tc>
        <w:tc>
          <w:tcPr>
            <w:tcW w:w="993" w:type="dxa"/>
            <w:tcBorders>
              <w:left w:val="single" w:color="000000" w:sz="4" w:space="0"/>
              <w:right w:val="single" w:color="000000" w:sz="4" w:space="0"/>
            </w:tcBorders>
            <w:vAlign w:val="center"/>
          </w:tcPr>
          <w:p>
            <w:pPr>
              <w:widowControl/>
              <w:jc w:val="center"/>
              <w:rPr>
                <w:rFonts w:ascii="宋体" w:hAnsi="宋体"/>
              </w:rPr>
            </w:pPr>
          </w:p>
        </w:tc>
        <w:tc>
          <w:tcPr>
            <w:tcW w:w="1418" w:type="dxa"/>
            <w:vMerge w:val="continue"/>
            <w:tcBorders>
              <w:left w:val="single" w:color="000000" w:sz="4" w:space="0"/>
              <w:right w:val="single" w:color="000000" w:sz="4" w:space="0"/>
            </w:tcBorders>
            <w:vAlign w:val="center"/>
          </w:tcPr>
          <w:p>
            <w:pPr>
              <w:widowControl/>
              <w:jc w:val="center"/>
              <w:rPr>
                <w:rFonts w:ascii="宋体" w:hAnsi="宋体"/>
              </w:rPr>
            </w:pPr>
          </w:p>
        </w:tc>
        <w:tc>
          <w:tcPr>
            <w:tcW w:w="908" w:type="dxa"/>
            <w:tcBorders>
              <w:left w:val="single" w:color="000000" w:sz="4" w:space="0"/>
            </w:tcBorders>
            <w:vAlign w:val="center"/>
          </w:tcPr>
          <w:p>
            <w:pPr>
              <w:widowControl/>
              <w:jc w:val="center"/>
              <w:rPr>
                <w:rFonts w:ascii="宋体" w:hAnsi="宋体"/>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279" w:hRule="atLeast"/>
        </w:trPr>
        <w:tc>
          <w:tcPr>
            <w:tcW w:w="9228" w:type="dxa"/>
            <w:gridSpan w:val="7"/>
            <w:vAlign w:val="center"/>
          </w:tcPr>
          <w:p>
            <w:pPr>
              <w:widowControl/>
              <w:jc w:val="left"/>
              <w:rPr>
                <w:rFonts w:ascii="宋体" w:hAnsi="宋体"/>
              </w:rPr>
            </w:pPr>
            <w:r>
              <w:rPr>
                <w:rFonts w:hint="eastAsia" w:ascii="宋体" w:hAnsi="宋体"/>
                <w:b/>
              </w:rPr>
              <w:t>备注：</w:t>
            </w:r>
          </w:p>
        </w:tc>
      </w:tr>
    </w:tbl>
    <w:p>
      <w:pPr>
        <w:rPr>
          <w:rFonts w:ascii="宋体" w:hAnsi="宋体"/>
          <w:b/>
        </w:rPr>
      </w:pPr>
      <w:r>
        <w:rPr>
          <w:rFonts w:hint="eastAsia" w:ascii="宋体" w:hAnsi="宋体"/>
          <w:b/>
        </w:rPr>
        <w:t>注：本表后附对应的证明材料；“职称及相关专业认证”、“以往经验”仅在评分办法有对应评分项时填写；具体内容见评分办法。</w:t>
      </w:r>
    </w:p>
    <w:p>
      <w:pPr>
        <w:pStyle w:val="2"/>
        <w:rPr>
          <w:rFonts w:ascii="宋体" w:hAnsi="宋体" w:eastAsia="宋体" w:cs="宋体"/>
          <w:b/>
          <w:color w:val="auto"/>
        </w:rPr>
      </w:pPr>
    </w:p>
    <w:p>
      <w:pPr>
        <w:pStyle w:val="2"/>
        <w:rPr>
          <w:rFonts w:ascii="宋体" w:hAnsi="宋体" w:eastAsia="宋体" w:cs="宋体"/>
          <w:b/>
          <w:color w:val="auto"/>
        </w:rPr>
      </w:pPr>
    </w:p>
    <w:p>
      <w:pPr>
        <w:pStyle w:val="2"/>
        <w:rPr>
          <w:rFonts w:ascii="宋体" w:hAnsi="宋体" w:eastAsia="宋体" w:cs="宋体"/>
          <w:b/>
          <w:color w:val="auto"/>
        </w:rPr>
      </w:pPr>
    </w:p>
    <w:p>
      <w:pPr>
        <w:pStyle w:val="2"/>
        <w:rPr>
          <w:rFonts w:ascii="宋体" w:hAnsi="宋体" w:eastAsia="宋体" w:cs="宋体"/>
          <w:b/>
          <w:color w:val="auto"/>
        </w:rPr>
      </w:pPr>
    </w:p>
    <w:p>
      <w:pPr>
        <w:pStyle w:val="2"/>
        <w:rPr>
          <w:rFonts w:ascii="宋体" w:hAnsi="宋体" w:eastAsia="宋体" w:cs="宋体"/>
          <w:b/>
          <w:color w:val="auto"/>
        </w:rPr>
      </w:pPr>
    </w:p>
    <w:p>
      <w:pPr>
        <w:pStyle w:val="2"/>
        <w:rPr>
          <w:rFonts w:ascii="宋体" w:hAnsi="宋体" w:eastAsia="宋体" w:cs="宋体"/>
          <w:b/>
          <w:color w:val="auto"/>
        </w:rPr>
      </w:pPr>
    </w:p>
    <w:p>
      <w:pPr>
        <w:rPr>
          <w:rFonts w:ascii="宋体" w:hAnsi="宋体"/>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授权代表签字：</w:t>
      </w:r>
    </w:p>
    <w:p>
      <w:pPr>
        <w:rPr>
          <w:rFonts w:ascii="宋体" w:hAnsi="宋体"/>
          <w:spacing w:val="-6"/>
        </w:rPr>
      </w:pPr>
      <w:r>
        <w:rPr>
          <w:rFonts w:hint="eastAsia" w:ascii="宋体" w:hAnsi="宋体"/>
          <w:spacing w:val="-6"/>
        </w:rPr>
        <w:t>日期：    年  月  日</w:t>
      </w:r>
    </w:p>
    <w:p>
      <w:pPr>
        <w:rPr>
          <w:rFonts w:ascii="宋体" w:hAnsi="宋体"/>
        </w:rPr>
      </w:pPr>
    </w:p>
    <w:p>
      <w:pPr>
        <w:pStyle w:val="6"/>
        <w:jc w:val="center"/>
        <w:rPr>
          <w:rFonts w:ascii="宋体" w:hAnsi="宋体" w:cs="宋体"/>
          <w:sz w:val="32"/>
          <w:szCs w:val="32"/>
        </w:rPr>
      </w:pPr>
      <w:r>
        <w:rPr>
          <w:rFonts w:hint="eastAsia" w:ascii="宋体" w:hAnsi="宋体" w:cs="宋体"/>
        </w:rPr>
        <w:br w:type="page"/>
      </w:r>
      <w:r>
        <w:rPr>
          <w:rFonts w:hint="eastAsia" w:ascii="宋体" w:hAnsi="宋体" w:cs="宋体"/>
          <w:sz w:val="32"/>
          <w:szCs w:val="32"/>
        </w:rPr>
        <w:t>质保期满后备品备件的配置清单</w:t>
      </w:r>
    </w:p>
    <w:tbl>
      <w:tblPr>
        <w:tblStyle w:val="27"/>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35"/>
        <w:gridCol w:w="993"/>
        <w:gridCol w:w="1560"/>
        <w:gridCol w:w="1418"/>
        <w:gridCol w:w="1419"/>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r>
              <w:rPr>
                <w:rFonts w:hint="eastAsia" w:ascii="宋体" w:hAnsi="宋体"/>
                <w:b/>
              </w:rPr>
              <w:t>序号</w:t>
            </w: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r>
              <w:rPr>
                <w:rFonts w:hint="eastAsia" w:ascii="宋体" w:hAnsi="宋体"/>
                <w:b/>
              </w:rPr>
              <w:t>名称</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r>
              <w:rPr>
                <w:rFonts w:hint="eastAsia" w:ascii="宋体" w:hAnsi="宋体"/>
                <w:b/>
              </w:rPr>
              <w:t>数量</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r>
              <w:rPr>
                <w:rFonts w:hint="eastAsia" w:ascii="宋体" w:hAnsi="宋体"/>
                <w:b/>
              </w:rPr>
              <w:t>品牌型号</w:t>
            </w: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r>
              <w:rPr>
                <w:rFonts w:ascii="宋体" w:eastAsia="宋体"/>
                <w:b/>
              </w:rPr>
              <w:t>产地</w:t>
            </w: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r>
              <w:rPr>
                <w:rFonts w:ascii="宋体" w:eastAsia="宋体"/>
                <w:b/>
                <w:kern w:val="2"/>
              </w:rPr>
              <w:t>单价</w:t>
            </w: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r>
              <w:rPr>
                <w:rFonts w:ascii="宋体" w:eastAsia="宋体"/>
                <w:b/>
                <w:kern w:val="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1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5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66"/>
              <w:widowControl w:val="0"/>
              <w:spacing w:before="0" w:beforeAutospacing="0" w:after="0" w:afterAutospacing="0"/>
              <w:rPr>
                <w:rFonts w:hint="default" w:ascii="宋体" w:eastAsia="宋体"/>
                <w:b/>
                <w:kern w:val="2"/>
              </w:rPr>
            </w:pPr>
          </w:p>
        </w:tc>
      </w:tr>
    </w:tbl>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法定代表人或其授权代表（签字或盖章）：</w:t>
      </w:r>
    </w:p>
    <w:p>
      <w:pPr>
        <w:rPr>
          <w:rFonts w:ascii="宋体" w:hAnsi="宋体"/>
          <w:spacing w:val="-6"/>
        </w:rPr>
      </w:pPr>
      <w:r>
        <w:rPr>
          <w:rFonts w:hint="eastAsia" w:ascii="宋体" w:hAnsi="宋体"/>
          <w:spacing w:val="-6"/>
        </w:rPr>
        <w:t>日期：    年  月  日</w:t>
      </w:r>
    </w:p>
    <w:p>
      <w:pPr>
        <w:rPr>
          <w:rFonts w:ascii="宋体" w:hAnsi="宋体"/>
          <w:b/>
        </w:rPr>
      </w:pPr>
    </w:p>
    <w:p>
      <w:pPr>
        <w:pStyle w:val="2"/>
        <w:rPr>
          <w:rFonts w:ascii="宋体" w:hAnsi="宋体" w:eastAsia="宋体" w:cs="宋体"/>
          <w:b/>
          <w:color w:val="auto"/>
        </w:rPr>
      </w:pPr>
    </w:p>
    <w:p>
      <w:pPr>
        <w:pStyle w:val="67"/>
        <w:rPr>
          <w:rFonts w:ascii="宋体" w:hAnsi="宋体" w:cs="宋体"/>
        </w:rPr>
        <w:sectPr>
          <w:pgSz w:w="11906" w:h="16838"/>
          <w:pgMar w:top="1247" w:right="1247" w:bottom="1247" w:left="1247" w:header="170" w:footer="567" w:gutter="0"/>
          <w:cols w:space="720" w:num="1"/>
          <w:docGrid w:linePitch="381" w:charSpace="0"/>
        </w:sectPr>
      </w:pPr>
    </w:p>
    <w:p>
      <w:pPr>
        <w:pStyle w:val="6"/>
        <w:jc w:val="center"/>
        <w:rPr>
          <w:rFonts w:ascii="宋体" w:hAnsi="宋体" w:cs="宋体"/>
          <w:sz w:val="32"/>
          <w:szCs w:val="32"/>
        </w:rPr>
      </w:pPr>
      <w:r>
        <w:rPr>
          <w:rFonts w:hint="eastAsia" w:ascii="宋体" w:hAnsi="宋体" w:cs="宋体"/>
          <w:sz w:val="32"/>
          <w:szCs w:val="32"/>
        </w:rPr>
        <w:t>2017年1月份以来同类项目实施情况一览表</w:t>
      </w:r>
    </w:p>
    <w:p>
      <w:pPr>
        <w:pStyle w:val="21"/>
        <w:ind w:left="480" w:hanging="480"/>
        <w:rPr>
          <w:rFonts w:ascii="宋体" w:hAnsi="宋体"/>
        </w:rPr>
      </w:pPr>
    </w:p>
    <w:tbl>
      <w:tblPr>
        <w:tblStyle w:val="27"/>
        <w:tblW w:w="0" w:type="auto"/>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134"/>
        <w:gridCol w:w="1443"/>
        <w:gridCol w:w="1155"/>
        <w:gridCol w:w="830"/>
        <w:gridCol w:w="1558"/>
        <w:gridCol w:w="19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采购单位</w:t>
            </w: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项目名称</w:t>
            </w: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合同金额</w:t>
            </w:r>
          </w:p>
          <w:p>
            <w:pPr>
              <w:jc w:val="center"/>
              <w:rPr>
                <w:rFonts w:ascii="宋体" w:hAnsi="宋体"/>
                <w:b/>
                <w:sz w:val="21"/>
                <w:szCs w:val="21"/>
              </w:rPr>
            </w:pPr>
            <w:r>
              <w:rPr>
                <w:rFonts w:hint="eastAsia" w:ascii="宋体" w:hAnsi="宋体"/>
                <w:b/>
                <w:sz w:val="21"/>
                <w:szCs w:val="21"/>
              </w:rPr>
              <w:t>（万元）</w:t>
            </w: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附件页码</w:t>
            </w: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合同签订时间</w:t>
            </w: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采购单位联系人</w:t>
            </w:r>
          </w:p>
          <w:p>
            <w:pPr>
              <w:jc w:val="center"/>
              <w:rPr>
                <w:rFonts w:ascii="宋体" w:hAnsi="宋体"/>
                <w:b/>
              </w:rPr>
            </w:pPr>
            <w:r>
              <w:rPr>
                <w:rFonts w:hint="eastAsia" w:ascii="宋体" w:hAnsi="宋体"/>
                <w:b/>
                <w:sz w:val="21"/>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0"/>
              </w:rPr>
            </w:pPr>
          </w:p>
        </w:tc>
        <w:tc>
          <w:tcPr>
            <w:tcW w:w="1985" w:type="dxa"/>
            <w:tcBorders>
              <w:top w:val="single" w:color="auto" w:sz="4" w:space="0"/>
              <w:left w:val="single" w:color="auto" w:sz="4" w:space="0"/>
              <w:bottom w:val="single" w:color="auto" w:sz="4" w:space="0"/>
              <w:right w:val="single" w:color="auto" w:sz="4" w:space="0"/>
            </w:tcBorders>
          </w:tcPr>
          <w:p>
            <w:pPr>
              <w:jc w:val="center"/>
              <w:rPr>
                <w:rFonts w:ascii="宋体" w:hAnsi="宋体"/>
                <w:szCs w:val="20"/>
              </w:rPr>
            </w:pPr>
          </w:p>
        </w:tc>
      </w:tr>
    </w:tbl>
    <w:p>
      <w:pPr>
        <w:pStyle w:val="21"/>
        <w:ind w:left="480" w:hanging="480"/>
        <w:rPr>
          <w:rFonts w:ascii="宋体" w:hAnsi="宋体"/>
        </w:rPr>
      </w:pPr>
    </w:p>
    <w:p>
      <w:pPr>
        <w:rPr>
          <w:rFonts w:ascii="宋体" w:hAnsi="宋体"/>
          <w:b/>
          <w:spacing w:val="-6"/>
        </w:rPr>
      </w:pPr>
      <w:r>
        <w:rPr>
          <w:rFonts w:hint="eastAsia" w:ascii="宋体" w:hAnsi="宋体"/>
          <w:b/>
          <w:spacing w:val="-6"/>
        </w:rPr>
        <w:t>说明：</w:t>
      </w:r>
    </w:p>
    <w:p>
      <w:pPr>
        <w:rPr>
          <w:rFonts w:ascii="宋体" w:hAnsi="宋体"/>
          <w:b/>
          <w:spacing w:val="-6"/>
        </w:rPr>
      </w:pPr>
      <w:r>
        <w:rPr>
          <w:rFonts w:hint="eastAsia" w:ascii="宋体" w:hAnsi="宋体"/>
          <w:b/>
          <w:spacing w:val="-6"/>
        </w:rPr>
        <w:t>1.磋商响应供应商须提供上述业绩合同复印件；</w:t>
      </w:r>
    </w:p>
    <w:p>
      <w:pPr>
        <w:rPr>
          <w:rFonts w:ascii="宋体" w:hAnsi="宋体"/>
          <w:b/>
          <w:spacing w:val="-6"/>
        </w:rPr>
      </w:pPr>
      <w:r>
        <w:rPr>
          <w:rFonts w:hint="eastAsia" w:ascii="宋体" w:hAnsi="宋体"/>
          <w:b/>
          <w:spacing w:val="-6"/>
        </w:rPr>
        <w:t>2.所有合同复印件应清晰，应能体现合同签订时间、双方签字盖章等内容；</w:t>
      </w:r>
    </w:p>
    <w:p>
      <w:pPr>
        <w:rPr>
          <w:rFonts w:ascii="宋体" w:hAnsi="宋体"/>
          <w:b/>
        </w:rPr>
      </w:pPr>
      <w:r>
        <w:rPr>
          <w:rFonts w:hint="eastAsia" w:ascii="宋体" w:hAnsi="宋体"/>
          <w:b/>
          <w:spacing w:val="-6"/>
        </w:rPr>
        <w:t>3.磋商响应供应商应在不涉及商业秘密的前提下尽可能提供详细的合同复印件内容。</w:t>
      </w:r>
    </w:p>
    <w:p>
      <w:pPr>
        <w:rPr>
          <w:rFonts w:ascii="宋体" w:hAnsi="宋体"/>
          <w:spacing w:val="-6"/>
        </w:rPr>
      </w:pPr>
    </w:p>
    <w:p>
      <w:pPr>
        <w:rPr>
          <w:rFonts w:ascii="宋体" w:hAnsi="宋体"/>
          <w:spacing w:val="-6"/>
        </w:rPr>
      </w:pPr>
      <w:r>
        <w:rPr>
          <w:rFonts w:hint="eastAsia" w:ascii="宋体" w:hAnsi="宋体"/>
          <w:spacing w:val="-6"/>
        </w:rPr>
        <w:t>磋商响应供应商名称（盖章）：</w:t>
      </w:r>
    </w:p>
    <w:p>
      <w:pPr>
        <w:rPr>
          <w:rFonts w:ascii="宋体" w:hAnsi="宋体"/>
          <w:spacing w:val="-6"/>
        </w:rPr>
      </w:pPr>
      <w:r>
        <w:rPr>
          <w:rFonts w:hint="eastAsia" w:ascii="宋体" w:hAnsi="宋体"/>
          <w:spacing w:val="-6"/>
        </w:rPr>
        <w:t>授权代表签字：</w:t>
      </w:r>
    </w:p>
    <w:p>
      <w:pPr>
        <w:rPr>
          <w:rFonts w:ascii="宋体" w:hAnsi="宋体"/>
          <w:spacing w:val="-6"/>
        </w:rPr>
      </w:pPr>
      <w:r>
        <w:rPr>
          <w:rFonts w:hint="eastAsia" w:ascii="宋体" w:hAnsi="宋体"/>
          <w:spacing w:val="-6"/>
        </w:rPr>
        <w:t>日期：    年  月  日</w:t>
      </w: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2"/>
        <w:rPr>
          <w:rFonts w:ascii="宋体" w:hAnsi="宋体" w:eastAsia="宋体" w:cs="宋体"/>
          <w:color w:val="auto"/>
        </w:rPr>
      </w:pPr>
    </w:p>
    <w:p>
      <w:pPr>
        <w:pStyle w:val="6"/>
        <w:rPr>
          <w:rFonts w:ascii="宋体" w:hAnsi="宋体" w:cs="宋体"/>
        </w:rPr>
      </w:pPr>
      <w:r>
        <w:rPr>
          <w:rFonts w:hint="eastAsia" w:ascii="宋体" w:hAnsi="宋体" w:cs="宋体"/>
        </w:rPr>
        <w:t>附件4：质疑函范本及制作说明</w:t>
      </w:r>
    </w:p>
    <w:p>
      <w:pPr>
        <w:jc w:val="center"/>
        <w:rPr>
          <w:rFonts w:ascii="宋体" w:hAnsi="宋体"/>
          <w:b/>
          <w:spacing w:val="6"/>
        </w:rPr>
      </w:pPr>
      <w:r>
        <w:rPr>
          <w:rFonts w:hint="eastAsia" w:ascii="宋体" w:hAnsi="宋体"/>
          <w:b/>
          <w:spacing w:val="6"/>
        </w:rPr>
        <w:t>质疑函范本</w:t>
      </w:r>
    </w:p>
    <w:p>
      <w:pPr>
        <w:spacing w:beforeLines="100"/>
        <w:rPr>
          <w:rFonts w:ascii="宋体" w:hAnsi="宋体"/>
          <w:bCs/>
        </w:rPr>
      </w:pPr>
      <w:r>
        <w:rPr>
          <w:rFonts w:hint="eastAsia" w:ascii="宋体" w:hAnsi="宋体"/>
          <w:bCs/>
        </w:rPr>
        <w:t>一、质疑供应商基本信息</w:t>
      </w:r>
    </w:p>
    <w:p>
      <w:pPr>
        <w:rPr>
          <w:rFonts w:ascii="宋体" w:hAnsi="宋体"/>
          <w:u w:val="dotted"/>
        </w:rPr>
      </w:pPr>
      <w:r>
        <w:rPr>
          <w:rFonts w:hint="eastAsia" w:ascii="宋体" w:hAnsi="宋体"/>
        </w:rPr>
        <w:t>质疑供应商：</w:t>
      </w:r>
      <w:r>
        <w:rPr>
          <w:rFonts w:hint="eastAsia" w:ascii="宋体" w:hAnsi="宋体"/>
          <w:u w:val="dotted"/>
        </w:rPr>
        <w:t xml:space="preserve">                                        </w:t>
      </w:r>
    </w:p>
    <w:p>
      <w:pPr>
        <w:rPr>
          <w:rFonts w:ascii="宋体" w:hAnsi="宋体"/>
        </w:rPr>
      </w:pPr>
      <w:r>
        <w:rPr>
          <w:rFonts w:hint="eastAsia" w:ascii="宋体" w:hAnsi="宋体"/>
        </w:rPr>
        <w:t>地址：</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p>
    <w:p>
      <w:pPr>
        <w:rPr>
          <w:rFonts w:ascii="宋体" w:hAnsi="宋体"/>
        </w:rPr>
      </w:pPr>
      <w:r>
        <w:rPr>
          <w:rFonts w:hint="eastAsia" w:ascii="宋体" w:hAnsi="宋体"/>
        </w:rPr>
        <w:t>联系人：</w:t>
      </w:r>
      <w:r>
        <w:rPr>
          <w:rFonts w:hint="eastAsia" w:ascii="宋体" w:hAnsi="宋体"/>
          <w:u w:val="dotted"/>
        </w:rPr>
        <w:t xml:space="preserve">                      </w:t>
      </w:r>
      <w:r>
        <w:rPr>
          <w:rFonts w:hint="eastAsia" w:ascii="宋体" w:hAnsi="宋体"/>
        </w:rPr>
        <w:t>联系电话：</w:t>
      </w:r>
      <w:r>
        <w:rPr>
          <w:rFonts w:hint="eastAsia" w:ascii="宋体" w:hAnsi="宋体"/>
          <w:u w:val="dotted"/>
        </w:rPr>
        <w:t xml:space="preserve">                              </w:t>
      </w:r>
    </w:p>
    <w:p>
      <w:pPr>
        <w:rPr>
          <w:rFonts w:ascii="宋体" w:hAnsi="宋体"/>
          <w:u w:val="dotted"/>
        </w:rPr>
      </w:pPr>
      <w:r>
        <w:rPr>
          <w:rFonts w:hint="eastAsia" w:ascii="宋体" w:hAnsi="宋体"/>
        </w:rPr>
        <w:t>授权代表：</w:t>
      </w:r>
      <w:r>
        <w:rPr>
          <w:rFonts w:hint="eastAsia" w:ascii="宋体" w:hAnsi="宋体"/>
          <w:u w:val="dotted"/>
        </w:rPr>
        <w:t xml:space="preserve">                                          </w:t>
      </w:r>
    </w:p>
    <w:p>
      <w:pPr>
        <w:rPr>
          <w:rFonts w:ascii="宋体" w:hAnsi="宋体"/>
        </w:rPr>
      </w:pPr>
      <w:r>
        <w:rPr>
          <w:rFonts w:hint="eastAsia" w:ascii="宋体" w:hAnsi="宋体"/>
        </w:rPr>
        <w:t>联系电话：</w:t>
      </w:r>
      <w:r>
        <w:rPr>
          <w:rFonts w:hint="eastAsia" w:ascii="宋体" w:hAnsi="宋体"/>
          <w:u w:val="dotted"/>
        </w:rPr>
        <w:t xml:space="preserve">                                           </w:t>
      </w:r>
      <w:r>
        <w:rPr>
          <w:rFonts w:hint="eastAsia" w:ascii="宋体" w:hAnsi="宋体"/>
        </w:rPr>
        <w:t xml:space="preserve"> </w:t>
      </w:r>
    </w:p>
    <w:p>
      <w:pPr>
        <w:rPr>
          <w:rFonts w:ascii="宋体" w:hAnsi="宋体"/>
        </w:rPr>
      </w:pPr>
      <w:r>
        <w:rPr>
          <w:rFonts w:hint="eastAsia" w:ascii="宋体" w:hAnsi="宋体"/>
        </w:rPr>
        <w:t xml:space="preserve">地址： </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p>
    <w:p>
      <w:pPr>
        <w:rPr>
          <w:rFonts w:ascii="宋体" w:hAnsi="宋体"/>
          <w:bCs/>
        </w:rPr>
      </w:pPr>
      <w:r>
        <w:rPr>
          <w:rFonts w:hint="eastAsia" w:ascii="宋体" w:hAnsi="宋体"/>
          <w:bCs/>
        </w:rPr>
        <w:t>二、质疑项目基本情况</w:t>
      </w:r>
    </w:p>
    <w:p>
      <w:pPr>
        <w:rPr>
          <w:rFonts w:ascii="宋体" w:hAnsi="宋体"/>
        </w:rPr>
      </w:pPr>
      <w:r>
        <w:rPr>
          <w:rFonts w:hint="eastAsia" w:ascii="宋体" w:hAnsi="宋体"/>
        </w:rPr>
        <w:t>质疑项目的名称：</w:t>
      </w:r>
      <w:r>
        <w:rPr>
          <w:rFonts w:hint="eastAsia" w:ascii="宋体" w:hAnsi="宋体"/>
          <w:u w:val="dotted"/>
        </w:rPr>
        <w:t xml:space="preserve">                                      </w:t>
      </w:r>
    </w:p>
    <w:p>
      <w:pPr>
        <w:rPr>
          <w:rFonts w:ascii="宋体" w:hAnsi="宋体"/>
        </w:rPr>
      </w:pPr>
      <w:r>
        <w:rPr>
          <w:rFonts w:hint="eastAsia" w:ascii="宋体" w:hAnsi="宋体"/>
        </w:rPr>
        <w:t>质疑项目的编号：</w:t>
      </w:r>
      <w:r>
        <w:rPr>
          <w:rFonts w:hint="eastAsia" w:ascii="宋体" w:hAnsi="宋体"/>
          <w:u w:val="dotted"/>
        </w:rPr>
        <w:t xml:space="preserve">               </w:t>
      </w:r>
      <w:r>
        <w:rPr>
          <w:rFonts w:hint="eastAsia" w:ascii="宋体" w:hAnsi="宋体"/>
        </w:rPr>
        <w:t>包号：</w:t>
      </w:r>
      <w:r>
        <w:rPr>
          <w:rFonts w:hint="eastAsia" w:ascii="宋体" w:hAnsi="宋体"/>
          <w:u w:val="dotted"/>
        </w:rPr>
        <w:t xml:space="preserve">                 </w:t>
      </w:r>
    </w:p>
    <w:p>
      <w:pPr>
        <w:rPr>
          <w:rFonts w:ascii="宋体" w:hAnsi="宋体"/>
          <w:u w:val="dotted"/>
        </w:rPr>
      </w:pPr>
      <w:r>
        <w:rPr>
          <w:rFonts w:hint="eastAsia" w:ascii="宋体" w:hAnsi="宋体"/>
        </w:rPr>
        <w:t>采购人名称：</w:t>
      </w:r>
      <w:r>
        <w:rPr>
          <w:rFonts w:hint="eastAsia" w:ascii="宋体" w:hAnsi="宋体"/>
          <w:u w:val="dotted"/>
        </w:rPr>
        <w:t xml:space="preserve">                                         </w:t>
      </w:r>
    </w:p>
    <w:p>
      <w:pPr>
        <w:rPr>
          <w:rFonts w:ascii="宋体" w:hAnsi="宋体"/>
        </w:rPr>
      </w:pPr>
      <w:r>
        <w:rPr>
          <w:rFonts w:hint="eastAsia" w:ascii="宋体" w:hAnsi="宋体"/>
        </w:rPr>
        <w:t>竞争性磋商文件获取日期：</w:t>
      </w:r>
      <w:r>
        <w:rPr>
          <w:rFonts w:hint="eastAsia" w:ascii="宋体" w:hAnsi="宋体"/>
          <w:u w:val="dotted"/>
        </w:rPr>
        <w:t xml:space="preserve">                                           </w:t>
      </w:r>
    </w:p>
    <w:p>
      <w:pPr>
        <w:rPr>
          <w:rFonts w:ascii="宋体" w:hAnsi="宋体"/>
          <w:bCs/>
        </w:rPr>
      </w:pPr>
      <w:r>
        <w:rPr>
          <w:rFonts w:hint="eastAsia" w:ascii="宋体" w:hAnsi="宋体"/>
          <w:bCs/>
        </w:rPr>
        <w:t>三、质疑事项具体内容</w:t>
      </w:r>
    </w:p>
    <w:p>
      <w:pPr>
        <w:rPr>
          <w:rFonts w:ascii="宋体" w:hAnsi="宋体"/>
          <w:u w:val="dotted"/>
        </w:rPr>
      </w:pPr>
      <w:r>
        <w:rPr>
          <w:rFonts w:hint="eastAsia" w:ascii="宋体" w:hAnsi="宋体"/>
        </w:rPr>
        <w:t>质疑事项1：</w:t>
      </w:r>
      <w:r>
        <w:rPr>
          <w:rFonts w:hint="eastAsia" w:ascii="宋体" w:hAnsi="宋体"/>
          <w:u w:val="dotted"/>
        </w:rPr>
        <w:t xml:space="preserve">                                         </w:t>
      </w:r>
    </w:p>
    <w:p>
      <w:pPr>
        <w:rPr>
          <w:rFonts w:ascii="宋体" w:hAnsi="宋体"/>
          <w:u w:val="dotted"/>
        </w:rPr>
      </w:pPr>
      <w:r>
        <w:rPr>
          <w:rFonts w:hint="eastAsia" w:ascii="宋体" w:hAnsi="宋体"/>
        </w:rPr>
        <w:t>事实依据：</w:t>
      </w:r>
      <w:r>
        <w:rPr>
          <w:rFonts w:hint="eastAsia" w:ascii="宋体" w:hAnsi="宋体"/>
          <w:u w:val="dotted"/>
        </w:rPr>
        <w:t xml:space="preserve">                                          </w:t>
      </w:r>
    </w:p>
    <w:p>
      <w:pPr>
        <w:rPr>
          <w:rFonts w:ascii="宋体" w:hAnsi="宋体"/>
        </w:rPr>
      </w:pPr>
      <w:r>
        <w:rPr>
          <w:rFonts w:hint="eastAsia" w:ascii="宋体" w:hAnsi="宋体"/>
          <w:u w:val="dotted"/>
        </w:rPr>
        <w:t xml:space="preserve">                                                       </w:t>
      </w:r>
    </w:p>
    <w:p>
      <w:pPr>
        <w:rPr>
          <w:rFonts w:ascii="宋体" w:hAnsi="宋体"/>
          <w:u w:val="dotted"/>
        </w:rPr>
      </w:pPr>
      <w:r>
        <w:rPr>
          <w:rFonts w:hint="eastAsia" w:ascii="宋体" w:hAnsi="宋体"/>
        </w:rPr>
        <w:t>法律依据：</w:t>
      </w:r>
      <w:r>
        <w:rPr>
          <w:rFonts w:hint="eastAsia" w:ascii="宋体" w:hAnsi="宋体"/>
          <w:u w:val="dotted"/>
        </w:rPr>
        <w:t xml:space="preserve">                                          </w:t>
      </w:r>
    </w:p>
    <w:p>
      <w:pPr>
        <w:rPr>
          <w:rFonts w:ascii="宋体" w:hAnsi="宋体"/>
          <w:u w:val="dotted"/>
        </w:rPr>
      </w:pPr>
      <w:r>
        <w:rPr>
          <w:rFonts w:hint="eastAsia" w:ascii="宋体" w:hAnsi="宋体"/>
          <w:u w:val="dotted"/>
        </w:rPr>
        <w:t xml:space="preserve">                                                     </w:t>
      </w:r>
    </w:p>
    <w:p>
      <w:pPr>
        <w:rPr>
          <w:rFonts w:ascii="宋体" w:hAnsi="宋体"/>
          <w:u w:val="dotted"/>
        </w:rPr>
      </w:pPr>
      <w:r>
        <w:rPr>
          <w:rFonts w:hint="eastAsia" w:ascii="宋体" w:hAnsi="宋体"/>
        </w:rPr>
        <w:t>质疑事项2</w:t>
      </w:r>
    </w:p>
    <w:p>
      <w:pPr>
        <w:rPr>
          <w:rFonts w:ascii="宋体" w:hAnsi="宋体"/>
        </w:rPr>
      </w:pPr>
      <w:r>
        <w:rPr>
          <w:rFonts w:hint="eastAsia" w:ascii="宋体" w:hAnsi="宋体"/>
        </w:rPr>
        <w:t>……</w:t>
      </w:r>
    </w:p>
    <w:p>
      <w:pPr>
        <w:rPr>
          <w:rFonts w:ascii="宋体" w:hAnsi="宋体"/>
          <w:bCs/>
        </w:rPr>
      </w:pPr>
      <w:r>
        <w:rPr>
          <w:rFonts w:hint="eastAsia" w:ascii="宋体" w:hAnsi="宋体"/>
          <w:bCs/>
        </w:rPr>
        <w:t>四、与质疑事项相关的质疑请求</w:t>
      </w:r>
    </w:p>
    <w:p>
      <w:pPr>
        <w:rPr>
          <w:rFonts w:ascii="宋体" w:hAnsi="宋体"/>
          <w:u w:val="dotted"/>
        </w:rPr>
      </w:pPr>
      <w:r>
        <w:rPr>
          <w:rFonts w:hint="eastAsia" w:ascii="宋体" w:hAnsi="宋体"/>
        </w:rPr>
        <w:t>请求：</w:t>
      </w:r>
      <w:r>
        <w:rPr>
          <w:rFonts w:hint="eastAsia" w:ascii="宋体" w:hAnsi="宋体"/>
          <w:u w:val="dotted"/>
        </w:rPr>
        <w:t xml:space="preserve">                                               </w:t>
      </w:r>
    </w:p>
    <w:p>
      <w:pPr>
        <w:rPr>
          <w:rFonts w:ascii="宋体" w:hAnsi="宋体"/>
        </w:rPr>
      </w:pPr>
      <w:r>
        <w:rPr>
          <w:rFonts w:hint="eastAsia" w:ascii="宋体" w:hAnsi="宋体"/>
        </w:rPr>
        <w:t xml:space="preserve">签字(签章)：                   公章：                      </w:t>
      </w:r>
    </w:p>
    <w:p>
      <w:pPr>
        <w:rPr>
          <w:rFonts w:ascii="宋体" w:hAnsi="宋体"/>
        </w:rPr>
      </w:pPr>
      <w:r>
        <w:rPr>
          <w:rFonts w:hint="eastAsia" w:ascii="宋体" w:hAnsi="宋体"/>
        </w:rPr>
        <w:t xml:space="preserve">日期：    </w:t>
      </w:r>
    </w:p>
    <w:p>
      <w:pPr>
        <w:jc w:val="center"/>
        <w:rPr>
          <w:rFonts w:ascii="宋体" w:hAnsi="宋体"/>
          <w:b/>
          <w:bCs/>
        </w:rPr>
      </w:pPr>
    </w:p>
    <w:p>
      <w:pPr>
        <w:rPr>
          <w:rFonts w:ascii="宋体" w:hAnsi="宋体"/>
          <w:b/>
        </w:rPr>
      </w:pPr>
    </w:p>
    <w:p>
      <w:pPr>
        <w:rPr>
          <w:rFonts w:ascii="宋体" w:hAnsi="宋体"/>
          <w:b/>
        </w:rPr>
      </w:pPr>
    </w:p>
    <w:p>
      <w:pPr>
        <w:rPr>
          <w:rFonts w:ascii="宋体" w:hAnsi="宋体"/>
          <w:b/>
        </w:rPr>
      </w:pPr>
    </w:p>
    <w:p>
      <w:pPr>
        <w:rPr>
          <w:rFonts w:ascii="宋体" w:hAnsi="宋体"/>
          <w:b/>
        </w:rPr>
      </w:pPr>
      <w:r>
        <w:rPr>
          <w:rFonts w:hint="eastAsia" w:ascii="宋体" w:hAnsi="宋体"/>
          <w:b/>
        </w:rPr>
        <w:t>质疑函制作说明：</w:t>
      </w:r>
    </w:p>
    <w:p>
      <w:pPr>
        <w:widowControl/>
        <w:ind w:firstLine="480" w:firstLineChars="200"/>
        <w:jc w:val="left"/>
        <w:rPr>
          <w:rFonts w:ascii="宋体" w:hAnsi="宋体"/>
        </w:rPr>
      </w:pPr>
      <w:r>
        <w:rPr>
          <w:rFonts w:hint="eastAsia" w:ascii="宋体" w:hAnsi="宋体"/>
        </w:rPr>
        <w:t>1.供应商提出质疑时，应提交质疑函和必要的证明材料。</w:t>
      </w:r>
    </w:p>
    <w:p>
      <w:pPr>
        <w:widowControl/>
        <w:ind w:firstLine="480" w:firstLineChars="200"/>
        <w:jc w:val="left"/>
        <w:rPr>
          <w:rFonts w:ascii="宋体" w:hAnsi="宋体"/>
        </w:rPr>
      </w:pPr>
      <w:r>
        <w:rPr>
          <w:rFonts w:hint="eastAsia" w:ascii="宋体" w:hAnsi="宋体"/>
        </w:rPr>
        <w:t>2.质疑供应商若委托代理人进行质疑的，质疑函应按要求列明“授权代表”的有关内容，并在附件中提交由质疑</w:t>
      </w:r>
      <w:r>
        <w:rPr>
          <w:rFonts w:hint="eastAsia" w:ascii="宋体" w:hAnsi="宋体"/>
          <w:kern w:val="0"/>
        </w:rPr>
        <w:t>供应商签署的授权委托书。授权委托书应载明代理人的姓名或者名称、代理事项、具体权限、期限和相关事项。</w:t>
      </w:r>
    </w:p>
    <w:p>
      <w:pPr>
        <w:widowControl/>
        <w:ind w:firstLine="480" w:firstLineChars="200"/>
        <w:jc w:val="left"/>
        <w:rPr>
          <w:rFonts w:ascii="宋体" w:hAnsi="宋体"/>
        </w:rPr>
      </w:pPr>
      <w:r>
        <w:rPr>
          <w:rFonts w:hint="eastAsia" w:ascii="宋体" w:hAnsi="宋体"/>
        </w:rPr>
        <w:t>3.质疑供应商若对项目的某一分包进行质疑，质疑函中应列明具体分包号。</w:t>
      </w:r>
    </w:p>
    <w:p>
      <w:pPr>
        <w:widowControl/>
        <w:ind w:firstLine="480" w:firstLineChars="200"/>
        <w:jc w:val="left"/>
        <w:rPr>
          <w:rFonts w:ascii="宋体" w:hAnsi="宋体"/>
        </w:rPr>
      </w:pPr>
      <w:r>
        <w:rPr>
          <w:rFonts w:hint="eastAsia" w:ascii="宋体" w:hAnsi="宋体"/>
        </w:rPr>
        <w:t>4.质疑函的质疑事项应具体、明确，并有必要的事实依据和法律依据。</w:t>
      </w:r>
    </w:p>
    <w:p>
      <w:pPr>
        <w:widowControl/>
        <w:ind w:firstLine="480" w:firstLineChars="200"/>
        <w:jc w:val="left"/>
        <w:rPr>
          <w:rFonts w:ascii="宋体" w:hAnsi="宋体"/>
        </w:rPr>
      </w:pPr>
      <w:r>
        <w:rPr>
          <w:rFonts w:hint="eastAsia" w:ascii="宋体" w:hAnsi="宋体"/>
        </w:rPr>
        <w:t>5.质疑函的质疑请求应与质疑事项相关。</w:t>
      </w:r>
    </w:p>
    <w:p>
      <w:pPr>
        <w:widowControl/>
        <w:ind w:firstLine="480" w:firstLineChars="200"/>
        <w:jc w:val="left"/>
        <w:rPr>
          <w:rFonts w:ascii="宋体" w:hAnsi="宋体"/>
        </w:rPr>
      </w:pPr>
      <w:r>
        <w:rPr>
          <w:rFonts w:hint="eastAsia" w:ascii="宋体" w:hAnsi="宋体"/>
        </w:rPr>
        <w:t>6.质疑供应商为自然人的，质疑函应由本人签字；质疑供应商为法人或者其他组织的，质疑函应由法定代表人、主要负责人，或者其授权代表签字或者盖章，并加盖公章。</w:t>
      </w:r>
    </w:p>
    <w:p>
      <w:pPr>
        <w:widowControl/>
        <w:ind w:firstLine="480" w:firstLineChars="200"/>
        <w:jc w:val="left"/>
        <w:rPr>
          <w:rFonts w:ascii="宋体" w:hAnsi="宋体"/>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center"/>
        <w:rPr>
          <w:rFonts w:ascii="宋体" w:hAnsi="宋体"/>
          <w:b/>
          <w:spacing w:val="6"/>
        </w:rPr>
      </w:pPr>
    </w:p>
    <w:p>
      <w:pPr>
        <w:jc w:val="left"/>
        <w:rPr>
          <w:rFonts w:ascii="宋体" w:hAnsi="宋体"/>
          <w:b/>
          <w:spacing w:val="6"/>
        </w:rPr>
      </w:pPr>
    </w:p>
    <w:p>
      <w:pPr>
        <w:jc w:val="left"/>
        <w:rPr>
          <w:rFonts w:ascii="宋体" w:hAnsi="宋体"/>
          <w:b/>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pStyle w:val="2"/>
        <w:rPr>
          <w:rFonts w:ascii="宋体" w:hAnsi="宋体" w:eastAsia="宋体" w:cs="宋体"/>
          <w:b/>
          <w:color w:val="auto"/>
          <w:spacing w:val="6"/>
        </w:rPr>
      </w:pPr>
    </w:p>
    <w:p>
      <w:pPr>
        <w:jc w:val="left"/>
        <w:rPr>
          <w:rFonts w:ascii="宋体" w:hAnsi="宋体"/>
          <w:b/>
          <w:spacing w:val="6"/>
        </w:rPr>
      </w:pPr>
    </w:p>
    <w:p>
      <w:pPr>
        <w:pStyle w:val="6"/>
        <w:rPr>
          <w:rFonts w:ascii="宋体" w:hAnsi="宋体" w:cs="宋体"/>
        </w:rPr>
      </w:pPr>
      <w:r>
        <w:rPr>
          <w:rFonts w:hint="eastAsia" w:ascii="宋体" w:hAnsi="宋体" w:cs="宋体"/>
        </w:rPr>
        <w:t>附件5：投诉书范本及制作说明</w:t>
      </w:r>
    </w:p>
    <w:p>
      <w:pPr>
        <w:jc w:val="center"/>
        <w:rPr>
          <w:rFonts w:ascii="宋体" w:hAnsi="宋体"/>
          <w:b/>
        </w:rPr>
      </w:pPr>
    </w:p>
    <w:p>
      <w:pPr>
        <w:jc w:val="center"/>
        <w:rPr>
          <w:rFonts w:ascii="宋体" w:hAnsi="宋体"/>
          <w:b/>
          <w:spacing w:val="6"/>
        </w:rPr>
      </w:pPr>
      <w:r>
        <w:rPr>
          <w:rFonts w:hint="eastAsia" w:ascii="宋体" w:hAnsi="宋体"/>
          <w:b/>
          <w:spacing w:val="6"/>
        </w:rPr>
        <w:t>投诉书范本</w:t>
      </w:r>
    </w:p>
    <w:p>
      <w:pPr>
        <w:rPr>
          <w:rFonts w:ascii="宋体" w:hAnsi="宋体"/>
        </w:rPr>
      </w:pPr>
      <w:r>
        <w:rPr>
          <w:rFonts w:hint="eastAsia" w:ascii="宋体" w:hAnsi="宋体"/>
        </w:rPr>
        <w:t>一、投诉相关主体基本情况</w:t>
      </w:r>
    </w:p>
    <w:p>
      <w:pPr>
        <w:rPr>
          <w:rFonts w:ascii="宋体" w:hAnsi="宋体"/>
          <w:u w:val="dotted"/>
        </w:rPr>
      </w:pPr>
      <w:r>
        <w:rPr>
          <w:rFonts w:hint="eastAsia" w:ascii="宋体" w:hAnsi="宋体"/>
        </w:rPr>
        <w:t>投诉人：</w:t>
      </w:r>
      <w:r>
        <w:rPr>
          <w:rFonts w:hint="eastAsia" w:ascii="宋体" w:hAnsi="宋体"/>
          <w:u w:val="dotted"/>
        </w:rPr>
        <w:t xml:space="preserve">                                               </w:t>
      </w:r>
    </w:p>
    <w:p>
      <w:pPr>
        <w:rPr>
          <w:rFonts w:ascii="宋体" w:hAnsi="宋体"/>
          <w:u w:val="single"/>
        </w:rPr>
      </w:pPr>
      <w:r>
        <w:rPr>
          <w:rFonts w:hint="eastAsia" w:ascii="宋体" w:hAnsi="宋体"/>
        </w:rPr>
        <w:t>地     址：</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r>
        <w:rPr>
          <w:rFonts w:hint="eastAsia" w:ascii="宋体" w:hAnsi="宋体"/>
          <w:u w:val="single"/>
        </w:rPr>
        <w:t xml:space="preserve">   </w:t>
      </w:r>
    </w:p>
    <w:p>
      <w:pPr>
        <w:tabs>
          <w:tab w:val="left" w:pos="6510"/>
        </w:tabs>
        <w:jc w:val="left"/>
        <w:rPr>
          <w:rFonts w:ascii="宋体" w:hAnsi="宋体"/>
        </w:rPr>
      </w:pPr>
      <w:r>
        <w:rPr>
          <w:rFonts w:hint="eastAsia" w:ascii="宋体" w:hAnsi="宋体"/>
        </w:rPr>
        <w:t>法定代表人/主要负责人：</w:t>
      </w:r>
      <w:r>
        <w:rPr>
          <w:rFonts w:hint="eastAsia" w:ascii="宋体" w:hAnsi="宋体"/>
          <w:u w:val="dotted"/>
        </w:rPr>
        <w:t xml:space="preserve">                                   </w:t>
      </w:r>
      <w:r>
        <w:rPr>
          <w:rFonts w:hint="eastAsia" w:ascii="宋体" w:hAnsi="宋体"/>
        </w:rPr>
        <w:t xml:space="preserve">  </w:t>
      </w:r>
    </w:p>
    <w:p>
      <w:pPr>
        <w:tabs>
          <w:tab w:val="left" w:pos="6510"/>
        </w:tabs>
        <w:rPr>
          <w:rFonts w:ascii="宋体" w:hAnsi="宋体"/>
          <w:u w:val="dotted"/>
        </w:rPr>
      </w:pPr>
      <w:r>
        <w:rPr>
          <w:rFonts w:hint="eastAsia" w:ascii="宋体" w:hAnsi="宋体"/>
        </w:rPr>
        <w:t>联系电话：</w:t>
      </w:r>
      <w:r>
        <w:rPr>
          <w:rFonts w:hint="eastAsia" w:ascii="宋体" w:hAnsi="宋体"/>
          <w:u w:val="dotted"/>
        </w:rPr>
        <w:t xml:space="preserve">                                             </w:t>
      </w:r>
    </w:p>
    <w:p>
      <w:pPr>
        <w:rPr>
          <w:rFonts w:ascii="宋体" w:hAnsi="宋体"/>
          <w:u w:val="dotted"/>
        </w:rPr>
      </w:pPr>
      <w:r>
        <w:rPr>
          <w:rFonts w:hint="eastAsia" w:ascii="宋体" w:hAnsi="宋体"/>
        </w:rPr>
        <w:t>授权代表：</w:t>
      </w:r>
      <w:r>
        <w:rPr>
          <w:rFonts w:hint="eastAsia" w:ascii="宋体" w:hAnsi="宋体"/>
          <w:u w:val="dotted"/>
        </w:rPr>
        <w:t xml:space="preserve">             </w:t>
      </w:r>
      <w:r>
        <w:rPr>
          <w:rFonts w:hint="eastAsia" w:ascii="宋体" w:hAnsi="宋体"/>
        </w:rPr>
        <w:t>联系电话</w:t>
      </w:r>
      <w:r>
        <w:rPr>
          <w:rFonts w:hint="eastAsia" w:ascii="宋体" w:hAnsi="宋体"/>
          <w:u w:val="dotted"/>
        </w:rPr>
        <w:t xml:space="preserve">：                  </w:t>
      </w:r>
    </w:p>
    <w:p>
      <w:pPr>
        <w:rPr>
          <w:rFonts w:ascii="宋体" w:hAnsi="宋体"/>
          <w:u w:val="dotted"/>
        </w:rPr>
      </w:pPr>
      <w:r>
        <w:rPr>
          <w:rFonts w:hint="eastAsia" w:ascii="宋体" w:hAnsi="宋体"/>
        </w:rPr>
        <w:t>地     址：</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r>
        <w:rPr>
          <w:rFonts w:hint="eastAsia" w:ascii="宋体" w:hAnsi="宋体"/>
          <w:u w:val="single"/>
        </w:rPr>
        <w:t xml:space="preserve"> </w:t>
      </w:r>
      <w:r>
        <w:rPr>
          <w:rFonts w:hint="eastAsia" w:ascii="宋体" w:hAnsi="宋体"/>
          <w:u w:val="dotted"/>
        </w:rPr>
        <w:t xml:space="preserve">                   </w:t>
      </w:r>
    </w:p>
    <w:p>
      <w:pPr>
        <w:rPr>
          <w:rFonts w:ascii="宋体" w:hAnsi="宋体"/>
          <w:u w:val="single"/>
        </w:rPr>
      </w:pPr>
      <w:r>
        <w:rPr>
          <w:rFonts w:hint="eastAsia" w:ascii="宋体" w:hAnsi="宋体"/>
        </w:rPr>
        <w:t>被投诉人1：</w:t>
      </w:r>
      <w:r>
        <w:rPr>
          <w:rFonts w:hint="eastAsia" w:ascii="宋体" w:hAnsi="宋体"/>
          <w:u w:val="dotted"/>
        </w:rPr>
        <w:t xml:space="preserve">                                           </w:t>
      </w:r>
      <w:r>
        <w:rPr>
          <w:rFonts w:hint="eastAsia" w:ascii="宋体" w:hAnsi="宋体"/>
          <w:u w:val="single"/>
        </w:rPr>
        <w:t xml:space="preserve">  </w:t>
      </w:r>
    </w:p>
    <w:p>
      <w:pPr>
        <w:rPr>
          <w:rFonts w:ascii="宋体" w:hAnsi="宋体"/>
          <w:u w:val="single"/>
        </w:rPr>
      </w:pPr>
      <w:r>
        <w:rPr>
          <w:rFonts w:hint="eastAsia" w:ascii="宋体" w:hAnsi="宋体"/>
        </w:rPr>
        <w:t>地     址：</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r>
        <w:rPr>
          <w:rFonts w:hint="eastAsia" w:ascii="宋体" w:hAnsi="宋体"/>
          <w:u w:val="single"/>
        </w:rPr>
        <w:t xml:space="preserve"> </w:t>
      </w:r>
    </w:p>
    <w:p>
      <w:pPr>
        <w:rPr>
          <w:rFonts w:ascii="宋体" w:hAnsi="宋体"/>
          <w:u w:val="single"/>
        </w:rPr>
      </w:pPr>
      <w:r>
        <w:rPr>
          <w:rFonts w:hint="eastAsia" w:ascii="宋体" w:hAnsi="宋体"/>
        </w:rPr>
        <w:t>联系人：</w:t>
      </w:r>
      <w:r>
        <w:rPr>
          <w:rFonts w:hint="eastAsia" w:ascii="宋体" w:hAnsi="宋体"/>
          <w:u w:val="dotted"/>
        </w:rPr>
        <w:t xml:space="preserve">               </w:t>
      </w:r>
      <w:r>
        <w:rPr>
          <w:rFonts w:hint="eastAsia" w:ascii="宋体" w:hAnsi="宋体"/>
        </w:rPr>
        <w:t>联系电话：</w:t>
      </w:r>
      <w:r>
        <w:rPr>
          <w:rFonts w:hint="eastAsia" w:ascii="宋体" w:hAnsi="宋体"/>
          <w:u w:val="dotted"/>
        </w:rPr>
        <w:t xml:space="preserve">                      </w:t>
      </w:r>
      <w:r>
        <w:rPr>
          <w:rFonts w:hint="eastAsia" w:ascii="宋体" w:hAnsi="宋体"/>
          <w:u w:val="single"/>
        </w:rPr>
        <w:t xml:space="preserve"> </w:t>
      </w:r>
    </w:p>
    <w:p>
      <w:pPr>
        <w:rPr>
          <w:rFonts w:ascii="宋体" w:hAnsi="宋体"/>
        </w:rPr>
      </w:pPr>
      <w:r>
        <w:rPr>
          <w:rFonts w:hint="eastAsia" w:ascii="宋体" w:hAnsi="宋体"/>
        </w:rPr>
        <w:t>被投诉人2</w:t>
      </w:r>
    </w:p>
    <w:p>
      <w:pPr>
        <w:rPr>
          <w:rFonts w:ascii="宋体" w:hAnsi="宋体"/>
          <w:u w:val="dotted"/>
        </w:rPr>
      </w:pPr>
      <w:r>
        <w:rPr>
          <w:rFonts w:hint="eastAsia" w:ascii="宋体" w:hAnsi="宋体"/>
        </w:rPr>
        <w:t>……</w:t>
      </w:r>
    </w:p>
    <w:p>
      <w:pPr>
        <w:rPr>
          <w:rFonts w:ascii="宋体" w:hAnsi="宋体"/>
          <w:u w:val="single"/>
        </w:rPr>
      </w:pPr>
      <w:r>
        <w:rPr>
          <w:rFonts w:hint="eastAsia" w:ascii="宋体" w:hAnsi="宋体"/>
        </w:rPr>
        <w:t>相关供应商：</w:t>
      </w:r>
      <w:r>
        <w:rPr>
          <w:rFonts w:hint="eastAsia" w:ascii="宋体" w:hAnsi="宋体"/>
          <w:u w:val="dotted"/>
        </w:rPr>
        <w:t xml:space="preserve">                                           </w:t>
      </w:r>
      <w:r>
        <w:rPr>
          <w:rFonts w:hint="eastAsia" w:ascii="宋体" w:hAnsi="宋体"/>
          <w:u w:val="single"/>
        </w:rPr>
        <w:t xml:space="preserve">    </w:t>
      </w:r>
    </w:p>
    <w:p>
      <w:pPr>
        <w:rPr>
          <w:rFonts w:ascii="宋体" w:hAnsi="宋体"/>
          <w:u w:val="single"/>
        </w:rPr>
      </w:pPr>
      <w:r>
        <w:rPr>
          <w:rFonts w:hint="eastAsia" w:ascii="宋体" w:hAnsi="宋体"/>
        </w:rPr>
        <w:t>地     址：</w:t>
      </w:r>
      <w:r>
        <w:rPr>
          <w:rFonts w:hint="eastAsia" w:ascii="宋体" w:hAnsi="宋体"/>
          <w:u w:val="dotted"/>
        </w:rPr>
        <w:t xml:space="preserve">                             </w:t>
      </w:r>
      <w:r>
        <w:rPr>
          <w:rFonts w:hint="eastAsia" w:ascii="宋体" w:hAnsi="宋体"/>
        </w:rPr>
        <w:t>邮编：</w:t>
      </w:r>
      <w:r>
        <w:rPr>
          <w:rFonts w:hint="eastAsia" w:ascii="宋体" w:hAnsi="宋体"/>
          <w:u w:val="dotted"/>
        </w:rPr>
        <w:t xml:space="preserve">          </w:t>
      </w:r>
      <w:r>
        <w:rPr>
          <w:rFonts w:hint="eastAsia" w:ascii="宋体" w:hAnsi="宋体"/>
          <w:u w:val="single"/>
        </w:rPr>
        <w:t xml:space="preserve"> </w:t>
      </w:r>
    </w:p>
    <w:p>
      <w:pPr>
        <w:rPr>
          <w:rFonts w:ascii="宋体" w:hAnsi="宋体"/>
          <w:u w:val="single"/>
        </w:rPr>
      </w:pPr>
      <w:r>
        <w:rPr>
          <w:rFonts w:hint="eastAsia" w:ascii="宋体" w:hAnsi="宋体"/>
        </w:rPr>
        <w:t>联系人：</w:t>
      </w:r>
      <w:r>
        <w:rPr>
          <w:rFonts w:hint="eastAsia" w:ascii="宋体" w:hAnsi="宋体"/>
          <w:u w:val="dotted"/>
        </w:rPr>
        <w:t xml:space="preserve">               </w:t>
      </w:r>
      <w:r>
        <w:rPr>
          <w:rFonts w:hint="eastAsia" w:ascii="宋体" w:hAnsi="宋体"/>
        </w:rPr>
        <w:t>联系电话：</w:t>
      </w:r>
      <w:r>
        <w:rPr>
          <w:rFonts w:hint="eastAsia" w:ascii="宋体" w:hAnsi="宋体"/>
          <w:u w:val="dotted"/>
        </w:rPr>
        <w:t xml:space="preserve">                      </w:t>
      </w:r>
      <w:r>
        <w:rPr>
          <w:rFonts w:hint="eastAsia" w:ascii="宋体" w:hAnsi="宋体"/>
          <w:u w:val="single"/>
        </w:rPr>
        <w:t xml:space="preserve">      </w:t>
      </w:r>
    </w:p>
    <w:p>
      <w:pPr>
        <w:rPr>
          <w:rFonts w:ascii="宋体" w:hAnsi="宋体"/>
        </w:rPr>
      </w:pPr>
      <w:r>
        <w:rPr>
          <w:rFonts w:hint="eastAsia" w:ascii="宋体" w:hAnsi="宋体"/>
        </w:rPr>
        <w:t>二、投诉项目基本情况</w:t>
      </w:r>
    </w:p>
    <w:p>
      <w:pPr>
        <w:rPr>
          <w:rFonts w:ascii="宋体" w:hAnsi="宋体"/>
          <w:u w:val="dotted"/>
        </w:rPr>
      </w:pPr>
      <w:r>
        <w:rPr>
          <w:rFonts w:hint="eastAsia" w:ascii="宋体" w:hAnsi="宋体"/>
        </w:rPr>
        <w:t>采购项目名称：</w:t>
      </w:r>
      <w:r>
        <w:rPr>
          <w:rFonts w:hint="eastAsia" w:ascii="宋体" w:hAnsi="宋体"/>
          <w:u w:val="dotted"/>
        </w:rPr>
        <w:t xml:space="preserve">                                        </w:t>
      </w:r>
    </w:p>
    <w:p>
      <w:pPr>
        <w:rPr>
          <w:rFonts w:ascii="宋体" w:hAnsi="宋体"/>
          <w:u w:val="single"/>
        </w:rPr>
      </w:pPr>
      <w:r>
        <w:rPr>
          <w:rFonts w:hint="eastAsia" w:ascii="宋体" w:hAnsi="宋体"/>
        </w:rPr>
        <w:t>采购项目编号：</w:t>
      </w:r>
      <w:r>
        <w:rPr>
          <w:rFonts w:hint="eastAsia" w:ascii="宋体" w:hAnsi="宋体"/>
          <w:u w:val="dotted"/>
        </w:rPr>
        <w:t xml:space="preserve">                 </w:t>
      </w:r>
      <w:r>
        <w:rPr>
          <w:rFonts w:hint="eastAsia" w:ascii="宋体" w:hAnsi="宋体"/>
        </w:rPr>
        <w:t>包号：</w:t>
      </w:r>
      <w:r>
        <w:rPr>
          <w:rFonts w:hint="eastAsia" w:ascii="宋体" w:hAnsi="宋体"/>
          <w:u w:val="dotted"/>
        </w:rPr>
        <w:t xml:space="preserve">              </w:t>
      </w:r>
    </w:p>
    <w:p>
      <w:pPr>
        <w:rPr>
          <w:rFonts w:ascii="宋体" w:hAnsi="宋体"/>
        </w:rPr>
      </w:pPr>
      <w:r>
        <w:rPr>
          <w:rFonts w:hint="eastAsia" w:ascii="宋体" w:hAnsi="宋体"/>
        </w:rPr>
        <w:t>采购人名称：</w:t>
      </w:r>
      <w:r>
        <w:rPr>
          <w:rFonts w:hint="eastAsia" w:ascii="宋体" w:hAnsi="宋体"/>
          <w:u w:val="dotted"/>
        </w:rPr>
        <w:t xml:space="preserve">                                           </w:t>
      </w:r>
      <w:r>
        <w:rPr>
          <w:rFonts w:hint="eastAsia" w:ascii="宋体" w:hAnsi="宋体"/>
          <w:u w:val="single"/>
        </w:rPr>
        <w:t xml:space="preserve">  </w:t>
      </w:r>
    </w:p>
    <w:p>
      <w:pPr>
        <w:rPr>
          <w:rFonts w:ascii="宋体" w:hAnsi="宋体"/>
          <w:u w:val="single"/>
        </w:rPr>
      </w:pPr>
      <w:r>
        <w:rPr>
          <w:rFonts w:hint="eastAsia" w:ascii="宋体" w:hAnsi="宋体"/>
        </w:rPr>
        <w:t>代理机构名称：</w:t>
      </w:r>
      <w:r>
        <w:rPr>
          <w:rFonts w:hint="eastAsia" w:ascii="宋体" w:hAnsi="宋体"/>
          <w:u w:val="dotted"/>
        </w:rPr>
        <w:t xml:space="preserve">                                         </w:t>
      </w:r>
    </w:p>
    <w:p>
      <w:pPr>
        <w:rPr>
          <w:rFonts w:ascii="宋体" w:hAnsi="宋体"/>
          <w:u w:val="dotted"/>
        </w:rPr>
      </w:pPr>
      <w:r>
        <w:rPr>
          <w:rFonts w:hint="eastAsia" w:ascii="宋体" w:hAnsi="宋体"/>
        </w:rPr>
        <w:t>竞争性磋商文件公告:</w:t>
      </w:r>
      <w:r>
        <w:rPr>
          <w:rFonts w:hint="eastAsia" w:ascii="宋体" w:hAnsi="宋体"/>
          <w:u w:val="dotted"/>
        </w:rPr>
        <w:t xml:space="preserve">是/否 </w:t>
      </w:r>
      <w:r>
        <w:rPr>
          <w:rFonts w:hint="eastAsia" w:ascii="宋体" w:hAnsi="宋体"/>
        </w:rPr>
        <w:t>公告期限：</w:t>
      </w:r>
      <w:r>
        <w:rPr>
          <w:rFonts w:hint="eastAsia" w:ascii="宋体" w:hAnsi="宋体"/>
          <w:u w:val="dotted"/>
        </w:rPr>
        <w:t xml:space="preserve">                                 </w:t>
      </w:r>
    </w:p>
    <w:p>
      <w:pPr>
        <w:rPr>
          <w:rFonts w:ascii="宋体" w:hAnsi="宋体"/>
          <w:u w:val="single"/>
        </w:rPr>
      </w:pPr>
      <w:r>
        <w:rPr>
          <w:rFonts w:hint="eastAsia" w:ascii="宋体" w:hAnsi="宋体"/>
        </w:rPr>
        <w:t>采购结果公告:</w:t>
      </w:r>
      <w:r>
        <w:rPr>
          <w:rFonts w:hint="eastAsia" w:ascii="宋体" w:hAnsi="宋体"/>
          <w:u w:val="dotted"/>
        </w:rPr>
        <w:t xml:space="preserve">是/否 </w:t>
      </w:r>
      <w:r>
        <w:rPr>
          <w:rFonts w:hint="eastAsia" w:ascii="宋体" w:hAnsi="宋体"/>
        </w:rPr>
        <w:t>公告期限：</w:t>
      </w:r>
      <w:r>
        <w:rPr>
          <w:rFonts w:hint="eastAsia" w:ascii="宋体" w:hAnsi="宋体"/>
          <w:u w:val="dotted"/>
        </w:rPr>
        <w:t xml:space="preserve">                        </w:t>
      </w:r>
    </w:p>
    <w:p>
      <w:pPr>
        <w:rPr>
          <w:rFonts w:ascii="宋体" w:hAnsi="宋体"/>
        </w:rPr>
      </w:pPr>
      <w:r>
        <w:rPr>
          <w:rFonts w:hint="eastAsia" w:ascii="宋体" w:hAnsi="宋体"/>
        </w:rPr>
        <w:t>三、质疑基本情况</w:t>
      </w:r>
    </w:p>
    <w:p>
      <w:pPr>
        <w:ind w:firstLine="480" w:firstLineChars="200"/>
        <w:rPr>
          <w:rFonts w:ascii="宋体" w:hAnsi="宋体"/>
          <w:u w:val="dotted"/>
        </w:rPr>
      </w:pPr>
      <w:r>
        <w:rPr>
          <w:rFonts w:hint="eastAsia" w:ascii="宋体" w:hAnsi="宋体"/>
        </w:rPr>
        <w:t>投诉人于</w:t>
      </w:r>
      <w:r>
        <w:rPr>
          <w:rFonts w:hint="eastAsia" w:ascii="宋体" w:hAnsi="宋体"/>
          <w:u w:val="dotted"/>
        </w:rPr>
        <w:t xml:space="preserve">   </w:t>
      </w:r>
      <w:r>
        <w:rPr>
          <w:rFonts w:hint="eastAsia" w:ascii="宋体" w:hAnsi="宋体"/>
        </w:rPr>
        <w:t>年</w:t>
      </w:r>
      <w:r>
        <w:rPr>
          <w:rFonts w:hint="eastAsia" w:ascii="宋体" w:hAnsi="宋体"/>
          <w:u w:val="dotted"/>
        </w:rPr>
        <w:t xml:space="preserve">   </w:t>
      </w:r>
      <w:r>
        <w:rPr>
          <w:rFonts w:hint="eastAsia" w:ascii="宋体" w:hAnsi="宋体"/>
        </w:rPr>
        <w:t>月</w:t>
      </w:r>
      <w:r>
        <w:rPr>
          <w:rFonts w:hint="eastAsia" w:ascii="宋体" w:hAnsi="宋体"/>
          <w:u w:val="dotted"/>
        </w:rPr>
        <w:t xml:space="preserve">  </w:t>
      </w:r>
      <w:r>
        <w:rPr>
          <w:rFonts w:hint="eastAsia" w:ascii="宋体" w:hAnsi="宋体"/>
        </w:rPr>
        <w:t>日,向</w:t>
      </w:r>
      <w:r>
        <w:rPr>
          <w:rFonts w:hint="eastAsia" w:ascii="宋体" w:hAnsi="宋体"/>
          <w:u w:val="dotted"/>
        </w:rPr>
        <w:t xml:space="preserve">                   </w:t>
      </w:r>
      <w:r>
        <w:rPr>
          <w:rFonts w:hint="eastAsia" w:ascii="宋体" w:hAnsi="宋体"/>
        </w:rPr>
        <w:t>提出质疑，质疑事项为：</w:t>
      </w:r>
      <w:r>
        <w:rPr>
          <w:rFonts w:hint="eastAsia" w:ascii="宋体" w:hAnsi="宋体"/>
          <w:u w:val="dotted"/>
        </w:rPr>
        <w:t xml:space="preserve">                                </w:t>
      </w:r>
    </w:p>
    <w:p>
      <w:pPr>
        <w:rPr>
          <w:rFonts w:ascii="宋体" w:hAnsi="宋体"/>
          <w:u w:val="dotted"/>
        </w:rPr>
      </w:pPr>
      <w:r>
        <w:rPr>
          <w:rFonts w:hint="eastAsia" w:ascii="宋体" w:hAnsi="宋体"/>
          <w:u w:val="dotted"/>
        </w:rPr>
        <w:t xml:space="preserve">                                                     </w:t>
      </w:r>
      <w:r>
        <w:rPr>
          <w:rFonts w:hint="eastAsia" w:ascii="宋体" w:hAnsi="宋体"/>
        </w:rPr>
        <w:t xml:space="preserve">  </w:t>
      </w:r>
    </w:p>
    <w:p>
      <w:pPr>
        <w:ind w:firstLine="360" w:firstLineChars="150"/>
        <w:rPr>
          <w:rFonts w:ascii="宋体" w:hAnsi="宋体"/>
        </w:rPr>
      </w:pPr>
      <w:r>
        <w:rPr>
          <w:rFonts w:hint="eastAsia" w:ascii="宋体" w:hAnsi="宋体"/>
          <w:u w:val="dotted"/>
        </w:rPr>
        <w:t>采购人/代理机构</w:t>
      </w:r>
      <w:r>
        <w:rPr>
          <w:rFonts w:hint="eastAsia" w:ascii="宋体" w:hAnsi="宋体"/>
        </w:rPr>
        <w:t>于</w:t>
      </w:r>
      <w:r>
        <w:rPr>
          <w:rFonts w:hint="eastAsia" w:ascii="宋体" w:hAnsi="宋体"/>
          <w:u w:val="dotted"/>
        </w:rPr>
        <w:t xml:space="preserve">   </w:t>
      </w:r>
      <w:r>
        <w:rPr>
          <w:rFonts w:hint="eastAsia" w:ascii="宋体" w:hAnsi="宋体"/>
        </w:rPr>
        <w:t>年</w:t>
      </w:r>
      <w:r>
        <w:rPr>
          <w:rFonts w:hint="eastAsia" w:ascii="宋体" w:hAnsi="宋体"/>
          <w:u w:val="dotted"/>
        </w:rPr>
        <w:t xml:space="preserve">   </w:t>
      </w:r>
      <w:r>
        <w:rPr>
          <w:rFonts w:hint="eastAsia" w:ascii="宋体" w:hAnsi="宋体"/>
        </w:rPr>
        <w:t>月</w:t>
      </w:r>
      <w:r>
        <w:rPr>
          <w:rFonts w:hint="eastAsia" w:ascii="宋体" w:hAnsi="宋体"/>
          <w:u w:val="dotted"/>
        </w:rPr>
        <w:t xml:space="preserve">   </w:t>
      </w:r>
      <w:r>
        <w:rPr>
          <w:rFonts w:hint="eastAsia" w:ascii="宋体" w:hAnsi="宋体"/>
        </w:rPr>
        <w:t>日,就质疑事项作出了答复/没有在法定期限内作出答复。</w:t>
      </w:r>
    </w:p>
    <w:p>
      <w:pPr>
        <w:rPr>
          <w:rFonts w:ascii="宋体" w:hAnsi="宋体"/>
        </w:rPr>
      </w:pPr>
      <w:r>
        <w:rPr>
          <w:rFonts w:hint="eastAsia" w:ascii="宋体" w:hAnsi="宋体"/>
        </w:rPr>
        <w:t>四、投诉事项具体内容</w:t>
      </w:r>
    </w:p>
    <w:p>
      <w:pPr>
        <w:rPr>
          <w:rFonts w:ascii="宋体" w:hAnsi="宋体"/>
          <w:u w:val="single"/>
        </w:rPr>
      </w:pPr>
      <w:r>
        <w:rPr>
          <w:rFonts w:hint="eastAsia" w:ascii="宋体" w:hAnsi="宋体"/>
        </w:rPr>
        <w:t>投诉事项 1：</w:t>
      </w:r>
      <w:r>
        <w:rPr>
          <w:rFonts w:hint="eastAsia" w:ascii="宋体" w:hAnsi="宋体"/>
          <w:u w:val="dotted"/>
        </w:rPr>
        <w:t xml:space="preserve">                                       </w:t>
      </w:r>
    </w:p>
    <w:p>
      <w:pPr>
        <w:rPr>
          <w:rFonts w:ascii="宋体" w:hAnsi="宋体"/>
        </w:rPr>
      </w:pPr>
      <w:r>
        <w:rPr>
          <w:rFonts w:hint="eastAsia" w:ascii="宋体" w:hAnsi="宋体"/>
        </w:rPr>
        <w:t>事实依据：</w:t>
      </w:r>
      <w:r>
        <w:rPr>
          <w:rFonts w:hint="eastAsia" w:ascii="宋体" w:hAnsi="宋体"/>
          <w:u w:val="dotted"/>
        </w:rPr>
        <w:t xml:space="preserve">                                         </w:t>
      </w:r>
    </w:p>
    <w:p>
      <w:pPr>
        <w:rPr>
          <w:rFonts w:ascii="宋体" w:hAnsi="宋体"/>
          <w:u w:val="dotted"/>
        </w:rPr>
      </w:pPr>
      <w:r>
        <w:rPr>
          <w:rFonts w:hint="eastAsia" w:ascii="宋体" w:hAnsi="宋体"/>
          <w:u w:val="dotted"/>
        </w:rPr>
        <w:t xml:space="preserve">                                                      </w:t>
      </w:r>
    </w:p>
    <w:p>
      <w:pPr>
        <w:rPr>
          <w:rFonts w:ascii="宋体" w:hAnsi="宋体"/>
          <w:u w:val="single"/>
        </w:rPr>
      </w:pPr>
      <w:r>
        <w:rPr>
          <w:rFonts w:hint="eastAsia" w:ascii="宋体" w:hAnsi="宋体"/>
        </w:rPr>
        <w:t>法律依据：</w:t>
      </w:r>
      <w:r>
        <w:rPr>
          <w:rFonts w:hint="eastAsia" w:ascii="宋体" w:hAnsi="宋体"/>
          <w:u w:val="dotted"/>
        </w:rPr>
        <w:t xml:space="preserve">                                          </w:t>
      </w:r>
    </w:p>
    <w:p>
      <w:pPr>
        <w:rPr>
          <w:rFonts w:ascii="宋体" w:hAnsi="宋体"/>
          <w:u w:val="dotted"/>
        </w:rPr>
      </w:pPr>
      <w:r>
        <w:rPr>
          <w:rFonts w:hint="eastAsia" w:ascii="宋体" w:hAnsi="宋体"/>
          <w:u w:val="dotted"/>
        </w:rPr>
        <w:t xml:space="preserve">                                                      </w:t>
      </w:r>
    </w:p>
    <w:p>
      <w:pPr>
        <w:rPr>
          <w:rFonts w:ascii="宋体" w:hAnsi="宋体"/>
        </w:rPr>
      </w:pPr>
      <w:r>
        <w:rPr>
          <w:rFonts w:hint="eastAsia" w:ascii="宋体" w:hAnsi="宋体"/>
        </w:rPr>
        <w:t>投诉事项2</w:t>
      </w:r>
    </w:p>
    <w:p>
      <w:pPr>
        <w:rPr>
          <w:rFonts w:ascii="宋体" w:hAnsi="宋体"/>
          <w:u w:val="dotted"/>
        </w:rPr>
      </w:pPr>
      <w:r>
        <w:rPr>
          <w:rFonts w:hint="eastAsia" w:ascii="宋体" w:hAnsi="宋体"/>
        </w:rPr>
        <w:t>……</w:t>
      </w:r>
    </w:p>
    <w:p>
      <w:pPr>
        <w:rPr>
          <w:rFonts w:ascii="宋体" w:hAnsi="宋体"/>
        </w:rPr>
      </w:pPr>
      <w:r>
        <w:rPr>
          <w:rFonts w:hint="eastAsia" w:ascii="宋体" w:hAnsi="宋体"/>
        </w:rPr>
        <w:t>五、与投诉事项相关的投诉请求</w:t>
      </w:r>
    </w:p>
    <w:p>
      <w:pPr>
        <w:rPr>
          <w:rFonts w:ascii="宋体" w:hAnsi="宋体"/>
        </w:rPr>
      </w:pPr>
      <w:r>
        <w:rPr>
          <w:rFonts w:hint="eastAsia" w:ascii="宋体" w:hAnsi="宋体"/>
        </w:rPr>
        <w:t>请求：</w:t>
      </w:r>
      <w:r>
        <w:rPr>
          <w:rFonts w:hint="eastAsia" w:ascii="宋体" w:hAnsi="宋体"/>
          <w:u w:val="dotted"/>
        </w:rPr>
        <w:t xml:space="preserve">                                              </w:t>
      </w:r>
      <w:r>
        <w:rPr>
          <w:rFonts w:hint="eastAsia" w:ascii="宋体" w:hAnsi="宋体"/>
        </w:rPr>
        <w:t xml:space="preserve"> </w:t>
      </w:r>
    </w:p>
    <w:p>
      <w:pPr>
        <w:rPr>
          <w:rFonts w:ascii="宋体" w:hAnsi="宋体"/>
          <w:u w:val="single"/>
        </w:rPr>
      </w:pPr>
      <w:r>
        <w:rPr>
          <w:rFonts w:hint="eastAsia" w:ascii="宋体" w:hAnsi="宋体"/>
        </w:rPr>
        <w:t xml:space="preserve">                                                                                                    </w:t>
      </w:r>
    </w:p>
    <w:p>
      <w:pPr>
        <w:rPr>
          <w:rFonts w:ascii="宋体" w:hAnsi="宋体"/>
        </w:rPr>
      </w:pPr>
      <w:r>
        <w:rPr>
          <w:rFonts w:hint="eastAsia" w:ascii="宋体" w:hAnsi="宋体"/>
        </w:rPr>
        <w:t xml:space="preserve">签字(签章)：                   公章：                      </w:t>
      </w:r>
    </w:p>
    <w:p>
      <w:pPr>
        <w:rPr>
          <w:rFonts w:ascii="宋体" w:hAnsi="宋体"/>
        </w:rPr>
      </w:pPr>
      <w:r>
        <w:rPr>
          <w:rFonts w:hint="eastAsia" w:ascii="宋体" w:hAnsi="宋体"/>
        </w:rPr>
        <w:t xml:space="preserve">日期：    </w:t>
      </w:r>
    </w:p>
    <w:p>
      <w:pPr>
        <w:rPr>
          <w:rFonts w:ascii="宋体" w:hAnsi="宋体"/>
          <w:b/>
        </w:rPr>
      </w:pPr>
    </w:p>
    <w:p>
      <w:pPr>
        <w:rPr>
          <w:rFonts w:ascii="宋体" w:hAnsi="宋体"/>
          <w:b/>
        </w:rPr>
      </w:pPr>
    </w:p>
    <w:p>
      <w:pPr>
        <w:rPr>
          <w:rFonts w:ascii="宋体" w:hAnsi="宋体"/>
          <w:b/>
        </w:rPr>
      </w:pPr>
      <w:r>
        <w:rPr>
          <w:rFonts w:hint="eastAsia" w:ascii="宋体" w:hAnsi="宋体"/>
          <w:b/>
        </w:rPr>
        <w:t>投诉书制作说明：</w:t>
      </w:r>
    </w:p>
    <w:p>
      <w:pPr>
        <w:widowControl/>
        <w:ind w:firstLine="480" w:firstLineChars="200"/>
        <w:rPr>
          <w:rFonts w:ascii="宋体" w:hAnsi="宋体"/>
          <w:kern w:val="0"/>
        </w:rPr>
      </w:pPr>
      <w:r>
        <w:rPr>
          <w:rFonts w:hint="eastAsia" w:ascii="宋体" w:hAnsi="宋体"/>
        </w:rPr>
        <w:t>1.投诉人提起投诉时，应当提交投诉书和必要的证明材料，并按照被投诉人和与投诉事项有关的供应商数量提供投诉书副本。</w:t>
      </w:r>
    </w:p>
    <w:p>
      <w:pPr>
        <w:widowControl/>
        <w:ind w:firstLine="480" w:firstLineChars="200"/>
        <w:jc w:val="left"/>
        <w:rPr>
          <w:rFonts w:ascii="宋体" w:hAnsi="宋体"/>
          <w:kern w:val="0"/>
        </w:rPr>
      </w:pPr>
      <w:r>
        <w:rPr>
          <w:rFonts w:hint="eastAsia" w:ascii="宋体" w:hAnsi="宋体"/>
        </w:rPr>
        <w:t>2.投诉人若委托代理人进行投诉的，投诉书应按照要求列明“授权代表”的有关内容，并在附件中提交由</w:t>
      </w:r>
      <w:r>
        <w:rPr>
          <w:rFonts w:hint="eastAsia" w:ascii="宋体" w:hAnsi="宋体"/>
          <w:kern w:val="0"/>
        </w:rPr>
        <w:t>投诉人签署的授权委托书。授权委托书应当载明代理人的姓名或者名称、代理事项、具体权限、期限和相关事项。</w:t>
      </w:r>
    </w:p>
    <w:p>
      <w:pPr>
        <w:widowControl/>
        <w:ind w:firstLine="480" w:firstLineChars="200"/>
        <w:jc w:val="left"/>
        <w:rPr>
          <w:rFonts w:ascii="宋体" w:hAnsi="宋体"/>
        </w:rPr>
      </w:pPr>
      <w:r>
        <w:rPr>
          <w:rFonts w:hint="eastAsia" w:ascii="宋体" w:hAnsi="宋体"/>
        </w:rPr>
        <w:t>3.投诉人若对项目的某一分包进行投诉，投诉书应列明具体分包号。</w:t>
      </w:r>
    </w:p>
    <w:p>
      <w:pPr>
        <w:widowControl/>
        <w:ind w:firstLine="480" w:firstLineChars="200"/>
        <w:jc w:val="left"/>
        <w:rPr>
          <w:rFonts w:ascii="宋体" w:hAnsi="宋体"/>
        </w:rPr>
      </w:pPr>
      <w:r>
        <w:rPr>
          <w:rFonts w:hint="eastAsia" w:ascii="宋体" w:hAnsi="宋体"/>
        </w:rPr>
        <w:t>4.投诉书应简要列明质疑事项，质疑函、质疑答复等作为附件材料提供。</w:t>
      </w:r>
    </w:p>
    <w:p>
      <w:pPr>
        <w:widowControl/>
        <w:ind w:firstLine="480" w:firstLineChars="200"/>
        <w:jc w:val="left"/>
        <w:rPr>
          <w:rFonts w:ascii="宋体" w:hAnsi="宋体"/>
        </w:rPr>
      </w:pPr>
      <w:r>
        <w:rPr>
          <w:rFonts w:hint="eastAsia" w:ascii="宋体" w:hAnsi="宋体"/>
        </w:rPr>
        <w:t>5.投诉书的投诉事项应具体、明确，并有必要的事实依据和法律依据。</w:t>
      </w:r>
    </w:p>
    <w:p>
      <w:pPr>
        <w:widowControl/>
        <w:ind w:firstLine="480" w:firstLineChars="200"/>
        <w:jc w:val="left"/>
        <w:rPr>
          <w:rFonts w:ascii="宋体" w:hAnsi="宋体"/>
        </w:rPr>
      </w:pPr>
      <w:r>
        <w:rPr>
          <w:rFonts w:hint="eastAsia" w:ascii="宋体" w:hAnsi="宋体"/>
        </w:rPr>
        <w:t>6.投诉书的投诉请求应与投诉事项相关。</w:t>
      </w:r>
    </w:p>
    <w:p>
      <w:pPr>
        <w:widowControl/>
        <w:ind w:firstLine="480" w:firstLineChars="200"/>
        <w:jc w:val="left"/>
        <w:rPr>
          <w:rFonts w:ascii="宋体" w:hAnsi="宋体"/>
        </w:rPr>
        <w:sectPr>
          <w:pgSz w:w="11906" w:h="16838"/>
          <w:pgMar w:top="1247" w:right="1247" w:bottom="1247" w:left="1247" w:header="170" w:footer="567" w:gutter="0"/>
          <w:cols w:space="720" w:num="1"/>
          <w:docGrid w:linePitch="381" w:charSpace="0"/>
        </w:sectPr>
      </w:pPr>
      <w:r>
        <w:rPr>
          <w:rFonts w:hint="eastAsia" w:ascii="宋体" w:hAnsi="宋体"/>
        </w:rPr>
        <w:t>7.投诉人为自然人的，投诉书应当由本人签字；投诉人为法人或者其他组织的，投诉书应当由法定代表人、主要负责人，或者其授权代表签字或者盖章，并加盖公章。</w:t>
      </w:r>
    </w:p>
    <w:p>
      <w:pPr>
        <w:pStyle w:val="6"/>
        <w:rPr>
          <w:rFonts w:ascii="宋体" w:hAnsi="宋体" w:cs="宋体"/>
        </w:rPr>
      </w:pPr>
      <w:r>
        <w:rPr>
          <w:rFonts w:hint="eastAsia" w:ascii="宋体" w:hAnsi="宋体" w:cs="宋体"/>
        </w:rPr>
        <w:t>质量保证金退款申请</w:t>
      </w:r>
    </w:p>
    <w:p>
      <w:pPr>
        <w:jc w:val="center"/>
        <w:rPr>
          <w:rFonts w:ascii="宋体" w:hAnsi="宋体"/>
        </w:rPr>
      </w:pPr>
      <w:r>
        <w:rPr>
          <w:rFonts w:hint="eastAsia" w:ascii="宋体" w:hAnsi="宋体"/>
          <w:b/>
        </w:rPr>
        <w:t>质量保证金退款申请</w:t>
      </w:r>
    </w:p>
    <w:p>
      <w:pPr>
        <w:autoSpaceDE w:val="0"/>
        <w:autoSpaceDN w:val="0"/>
        <w:ind w:firstLine="560"/>
        <w:jc w:val="left"/>
        <w:rPr>
          <w:rFonts w:ascii="宋体" w:hAnsi="宋体"/>
          <w:kern w:val="0"/>
          <w:sz w:val="28"/>
          <w:szCs w:val="28"/>
        </w:rPr>
      </w:pPr>
    </w:p>
    <w:p>
      <w:pPr>
        <w:autoSpaceDE w:val="0"/>
        <w:autoSpaceDN w:val="0"/>
        <w:ind w:firstLine="480"/>
        <w:jc w:val="left"/>
        <w:rPr>
          <w:rFonts w:ascii="宋体" w:hAnsi="宋体"/>
          <w:kern w:val="0"/>
        </w:rPr>
      </w:pPr>
      <w:r>
        <w:rPr>
          <w:rFonts w:hint="eastAsia" w:ascii="宋体" w:hAnsi="宋体"/>
          <w:kern w:val="0"/>
        </w:rPr>
        <w:t>浙江大学采购中心：</w:t>
      </w:r>
    </w:p>
    <w:p>
      <w:pPr>
        <w:autoSpaceDE w:val="0"/>
        <w:autoSpaceDN w:val="0"/>
        <w:ind w:firstLine="480"/>
        <w:jc w:val="left"/>
        <w:rPr>
          <w:rFonts w:ascii="宋体" w:hAnsi="宋体"/>
          <w:kern w:val="0"/>
        </w:rPr>
      </w:pPr>
      <w:r>
        <w:rPr>
          <w:rFonts w:hint="eastAsia" w:ascii="宋体" w:hAnsi="宋体"/>
          <w:kern w:val="0"/>
        </w:rPr>
        <w:t>我公司完成了以下项目，缴纳了项目总金额</w:t>
      </w:r>
      <w:r>
        <w:rPr>
          <w:rFonts w:hint="eastAsia" w:ascii="宋体" w:hAnsi="宋体"/>
          <w:kern w:val="0"/>
        </w:rPr>
        <w:sym w:font="Wingdings 2" w:char="00A3"/>
      </w:r>
      <w:r>
        <w:rPr>
          <w:rFonts w:hint="eastAsia" w:ascii="宋体" w:hAnsi="宋体"/>
          <w:kern w:val="0"/>
        </w:rPr>
        <w:t>5%</w:t>
      </w:r>
      <w:r>
        <w:rPr>
          <w:rFonts w:hint="eastAsia" w:ascii="宋体" w:hAnsi="宋体"/>
          <w:kern w:val="0"/>
        </w:rPr>
        <w:sym w:font="Wingdings 2" w:char="00A3"/>
      </w:r>
      <w:r>
        <w:rPr>
          <w:rFonts w:hint="eastAsia" w:ascii="宋体" w:hAnsi="宋体"/>
          <w:kern w:val="0"/>
        </w:rPr>
        <w:t>10%的质量保证金（或是履约保证金在项目验收后转为质量保证金，转帐单见附件1)，相关情况如下：</w:t>
      </w:r>
    </w:p>
    <w:p>
      <w:pPr>
        <w:autoSpaceDE w:val="0"/>
        <w:autoSpaceDN w:val="0"/>
        <w:ind w:firstLine="480"/>
        <w:jc w:val="left"/>
        <w:rPr>
          <w:rFonts w:ascii="宋体" w:hAnsi="宋体"/>
          <w:kern w:val="0"/>
        </w:rPr>
      </w:pPr>
      <w:r>
        <w:rPr>
          <w:rFonts w:hint="eastAsia" w:ascii="宋体" w:hAnsi="宋体"/>
          <w:kern w:val="0"/>
        </w:rPr>
        <w:t>采购编号：</w:t>
      </w:r>
    </w:p>
    <w:p>
      <w:pPr>
        <w:autoSpaceDE w:val="0"/>
        <w:autoSpaceDN w:val="0"/>
        <w:ind w:firstLine="480"/>
        <w:jc w:val="left"/>
        <w:rPr>
          <w:rFonts w:ascii="宋体" w:hAnsi="宋体"/>
          <w:kern w:val="0"/>
        </w:rPr>
      </w:pPr>
      <w:r>
        <w:rPr>
          <w:rFonts w:hint="eastAsia" w:ascii="宋体" w:hAnsi="宋体"/>
          <w:kern w:val="0"/>
        </w:rPr>
        <w:t>项目名称：</w:t>
      </w:r>
    </w:p>
    <w:p>
      <w:pPr>
        <w:autoSpaceDE w:val="0"/>
        <w:autoSpaceDN w:val="0"/>
        <w:ind w:firstLine="480"/>
        <w:jc w:val="left"/>
        <w:rPr>
          <w:rFonts w:ascii="宋体" w:hAnsi="宋体"/>
          <w:kern w:val="0"/>
        </w:rPr>
      </w:pPr>
      <w:r>
        <w:rPr>
          <w:rFonts w:hint="eastAsia" w:ascii="宋体" w:hAnsi="宋体"/>
          <w:kern w:val="0"/>
        </w:rPr>
        <w:t>投标日期：</w:t>
      </w:r>
    </w:p>
    <w:p>
      <w:pPr>
        <w:autoSpaceDE w:val="0"/>
        <w:autoSpaceDN w:val="0"/>
        <w:ind w:firstLine="480"/>
        <w:jc w:val="left"/>
        <w:rPr>
          <w:rFonts w:ascii="宋体" w:hAnsi="宋体"/>
          <w:kern w:val="0"/>
        </w:rPr>
      </w:pPr>
      <w:r>
        <w:rPr>
          <w:rFonts w:hint="eastAsia" w:ascii="宋体" w:hAnsi="宋体"/>
          <w:kern w:val="0"/>
        </w:rPr>
        <w:t>缴纳金额：</w:t>
      </w:r>
    </w:p>
    <w:p>
      <w:pPr>
        <w:autoSpaceDE w:val="0"/>
        <w:autoSpaceDN w:val="0"/>
        <w:ind w:firstLine="480"/>
        <w:jc w:val="left"/>
        <w:rPr>
          <w:rFonts w:ascii="宋体" w:hAnsi="宋体"/>
          <w:kern w:val="0"/>
        </w:rPr>
      </w:pPr>
      <w:r>
        <w:rPr>
          <w:rFonts w:hint="eastAsia" w:ascii="宋体" w:hAnsi="宋体"/>
          <w:kern w:val="0"/>
        </w:rPr>
        <w:t>此保证金现已符合合同规定的退款条件。转帐单、收据、用户出具的质保金同意退款说明(原件)、验收报告(复印件)附后，现申请退还以上保证金到我公司原打款帐户：</w:t>
      </w:r>
    </w:p>
    <w:p>
      <w:pPr>
        <w:autoSpaceDE w:val="0"/>
        <w:autoSpaceDN w:val="0"/>
        <w:ind w:firstLine="480"/>
        <w:jc w:val="left"/>
        <w:rPr>
          <w:rFonts w:ascii="宋体" w:hAnsi="宋体"/>
          <w:kern w:val="0"/>
        </w:rPr>
      </w:pPr>
      <w:r>
        <w:rPr>
          <w:rFonts w:hint="eastAsia" w:ascii="宋体" w:hAnsi="宋体"/>
          <w:kern w:val="0"/>
        </w:rPr>
        <w:t>单位名称：</w:t>
      </w:r>
    </w:p>
    <w:p>
      <w:pPr>
        <w:autoSpaceDE w:val="0"/>
        <w:autoSpaceDN w:val="0"/>
        <w:ind w:firstLine="480"/>
        <w:jc w:val="left"/>
        <w:rPr>
          <w:rFonts w:ascii="宋体" w:hAnsi="宋体"/>
          <w:kern w:val="0"/>
        </w:rPr>
      </w:pPr>
      <w:r>
        <w:rPr>
          <w:rFonts w:hint="eastAsia" w:ascii="宋体" w:hAnsi="宋体"/>
          <w:kern w:val="0"/>
        </w:rPr>
        <w:t>开户行：</w:t>
      </w:r>
    </w:p>
    <w:p>
      <w:pPr>
        <w:autoSpaceDE w:val="0"/>
        <w:autoSpaceDN w:val="0"/>
        <w:ind w:firstLine="480"/>
        <w:jc w:val="left"/>
        <w:rPr>
          <w:rFonts w:ascii="宋体" w:hAnsi="宋体"/>
          <w:kern w:val="0"/>
        </w:rPr>
      </w:pPr>
      <w:r>
        <w:rPr>
          <w:rFonts w:hint="eastAsia" w:ascii="宋体" w:hAnsi="宋体"/>
          <w:kern w:val="0"/>
        </w:rPr>
        <w:t>账号：</w:t>
      </w:r>
    </w:p>
    <w:p>
      <w:pPr>
        <w:autoSpaceDE w:val="0"/>
        <w:autoSpaceDN w:val="0"/>
        <w:ind w:firstLine="480"/>
        <w:jc w:val="left"/>
        <w:rPr>
          <w:rFonts w:ascii="宋体" w:hAnsi="宋体"/>
          <w:kern w:val="0"/>
        </w:rPr>
      </w:pPr>
      <w:r>
        <w:rPr>
          <w:rFonts w:hint="eastAsia" w:ascii="宋体" w:hAnsi="宋体"/>
          <w:kern w:val="0"/>
        </w:rPr>
        <w:t>退款事宜授权联系人：                手机：</w:t>
      </w:r>
    </w:p>
    <w:p>
      <w:pPr>
        <w:autoSpaceDE w:val="0"/>
        <w:autoSpaceDN w:val="0"/>
        <w:ind w:firstLine="480"/>
        <w:jc w:val="left"/>
        <w:rPr>
          <w:rFonts w:ascii="宋体" w:hAnsi="宋体"/>
          <w:kern w:val="0"/>
        </w:rPr>
      </w:pPr>
      <w:r>
        <w:rPr>
          <w:rFonts w:hint="eastAsia" w:ascii="宋体" w:hAnsi="宋体"/>
          <w:kern w:val="0"/>
        </w:rPr>
        <w:t xml:space="preserve">                                      公司公章</w:t>
      </w:r>
    </w:p>
    <w:p>
      <w:pPr>
        <w:autoSpaceDE w:val="0"/>
        <w:autoSpaceDN w:val="0"/>
        <w:ind w:firstLine="480"/>
        <w:jc w:val="left"/>
        <w:rPr>
          <w:rFonts w:ascii="宋体" w:hAnsi="宋体"/>
          <w:kern w:val="0"/>
        </w:rPr>
      </w:pPr>
      <w:r>
        <w:rPr>
          <w:rFonts w:hint="eastAsia" w:ascii="宋体" w:hAnsi="宋体"/>
          <w:kern w:val="0"/>
        </w:rPr>
        <w:t xml:space="preserve">                                      日期：</w:t>
      </w:r>
    </w:p>
    <w:p>
      <w:pPr>
        <w:autoSpaceDE w:val="0"/>
        <w:autoSpaceDN w:val="0"/>
        <w:ind w:firstLine="480"/>
        <w:jc w:val="left"/>
        <w:rPr>
          <w:rFonts w:ascii="宋体" w:hAnsi="宋体"/>
          <w:kern w:val="0"/>
        </w:rPr>
      </w:pPr>
      <w:r>
        <w:rPr>
          <w:rFonts w:hint="eastAsia" w:ascii="宋体" w:hAnsi="宋体"/>
          <w:kern w:val="0"/>
        </w:rPr>
        <w:t>注意：</w:t>
      </w:r>
    </w:p>
    <w:p>
      <w:pPr>
        <w:numPr>
          <w:ilvl w:val="0"/>
          <w:numId w:val="12"/>
        </w:numPr>
        <w:autoSpaceDE w:val="0"/>
        <w:autoSpaceDN w:val="0"/>
        <w:ind w:firstLine="480"/>
        <w:jc w:val="left"/>
        <w:rPr>
          <w:rFonts w:ascii="宋体" w:hAnsi="宋体"/>
          <w:kern w:val="0"/>
        </w:rPr>
      </w:pPr>
      <w:r>
        <w:rPr>
          <w:rFonts w:hint="eastAsia" w:ascii="宋体" w:hAnsi="宋体"/>
          <w:kern w:val="0"/>
        </w:rPr>
        <w:t>退款帐户应与原打款帐户(户名、开户行、帐号)一致</w:t>
      </w:r>
    </w:p>
    <w:p>
      <w:pPr>
        <w:numPr>
          <w:ilvl w:val="0"/>
          <w:numId w:val="12"/>
        </w:numPr>
        <w:autoSpaceDE w:val="0"/>
        <w:autoSpaceDN w:val="0"/>
        <w:ind w:firstLine="480"/>
        <w:jc w:val="left"/>
        <w:rPr>
          <w:rFonts w:ascii="宋体" w:hAnsi="宋体"/>
          <w:kern w:val="0"/>
        </w:rPr>
      </w:pPr>
      <w:r>
        <w:rPr>
          <w:rFonts w:hint="eastAsia" w:ascii="宋体" w:hAnsi="宋体"/>
          <w:kern w:val="0"/>
        </w:rPr>
        <w:t>应按合同填写，每个合同一份申请</w:t>
      </w:r>
    </w:p>
    <w:p>
      <w:pPr>
        <w:numPr>
          <w:ilvl w:val="0"/>
          <w:numId w:val="12"/>
        </w:numPr>
        <w:autoSpaceDE w:val="0"/>
        <w:autoSpaceDN w:val="0"/>
        <w:ind w:firstLine="480"/>
        <w:jc w:val="left"/>
        <w:rPr>
          <w:rFonts w:ascii="宋体" w:hAnsi="宋体"/>
          <w:kern w:val="0"/>
        </w:rPr>
      </w:pPr>
      <w:r>
        <w:rPr>
          <w:rFonts w:hint="eastAsia" w:ascii="宋体" w:hAnsi="宋体"/>
          <w:kern w:val="0"/>
        </w:rPr>
        <w:t>将此退款申请、同意退款说明、验收报告、收据（如有）等材料签字、盖章后，邮寄或送到310058浙江大学紫金港校区东四161室采购中心许敏（0571-88206325）收。如邮寄，请采用EMS或顺丰。</w:t>
      </w:r>
    </w:p>
    <w:p>
      <w:pPr>
        <w:autoSpaceDE w:val="0"/>
        <w:autoSpaceDN w:val="0"/>
        <w:ind w:firstLine="480"/>
        <w:jc w:val="left"/>
        <w:rPr>
          <w:rFonts w:ascii="宋体" w:hAnsi="宋体"/>
          <w:kern w:val="0"/>
        </w:rPr>
      </w:pPr>
    </w:p>
    <w:p>
      <w:pPr>
        <w:ind w:firstLine="480"/>
        <w:jc w:val="left"/>
        <w:rPr>
          <w:rFonts w:ascii="宋体" w:hAnsi="宋体"/>
          <w:kern w:val="0"/>
        </w:rPr>
      </w:pPr>
      <w:r>
        <w:rPr>
          <w:rFonts w:hint="eastAsia" w:ascii="宋体" w:hAnsi="宋体"/>
          <w:kern w:val="0"/>
        </w:rPr>
        <w:t>附件1 质保金或履约金转帐底单</w:t>
      </w:r>
    </w:p>
    <w:p>
      <w:pPr>
        <w:ind w:firstLine="480"/>
        <w:jc w:val="center"/>
        <w:rPr>
          <w:rFonts w:ascii="宋体" w:hAnsi="宋体"/>
          <w:kern w:val="0"/>
        </w:rPr>
      </w:pPr>
    </w:p>
    <w:p>
      <w:pPr>
        <w:ind w:firstLine="480"/>
        <w:jc w:val="left"/>
        <w:rPr>
          <w:rFonts w:ascii="宋体" w:hAnsi="宋体"/>
          <w:kern w:val="0"/>
        </w:rPr>
      </w:pPr>
      <w:r>
        <w:rPr>
          <w:rFonts w:hint="eastAsia" w:ascii="宋体" w:hAnsi="宋体"/>
          <w:kern w:val="0"/>
        </w:rPr>
        <w:t>附件2 收据</w:t>
      </w:r>
    </w:p>
    <w:p>
      <w:pPr>
        <w:ind w:firstLine="480"/>
        <w:jc w:val="left"/>
        <w:rPr>
          <w:rFonts w:ascii="宋体" w:hAnsi="宋体"/>
          <w:kern w:val="0"/>
        </w:rPr>
        <w:sectPr>
          <w:pgSz w:w="11906" w:h="16838"/>
          <w:pgMar w:top="1440" w:right="1304" w:bottom="1020" w:left="1304" w:header="851" w:footer="992" w:gutter="0"/>
          <w:cols w:space="720" w:num="1"/>
          <w:docGrid w:type="lines" w:linePitch="312" w:charSpace="0"/>
        </w:sectPr>
      </w:pPr>
      <w:r>
        <w:rPr>
          <w:rFonts w:hint="eastAsia" w:ascii="宋体" w:hAnsi="宋体"/>
          <w:kern w:val="0"/>
        </w:rPr>
        <w:t>领取过收据的，请附原收据。无收据的，请开公司往来收据。</w:t>
      </w:r>
    </w:p>
    <w:p>
      <w:pPr>
        <w:jc w:val="center"/>
        <w:rPr>
          <w:rFonts w:ascii="宋体" w:hAnsi="宋体"/>
          <w:b/>
          <w:bCs/>
        </w:rPr>
      </w:pPr>
      <w:r>
        <w:rPr>
          <w:rFonts w:hint="eastAsia" w:ascii="宋体" w:hAnsi="宋体"/>
          <w:b/>
          <w:bCs/>
        </w:rPr>
        <w:t>质保金同意退款说明</w:t>
      </w:r>
    </w:p>
    <w:p>
      <w:pPr>
        <w:ind w:firstLine="480"/>
        <w:rPr>
          <w:rFonts w:ascii="宋体" w:hAnsi="宋体"/>
        </w:rPr>
      </w:pPr>
      <w:r>
        <w:rPr>
          <w:rFonts w:hint="eastAsia" w:ascii="宋体" w:hAnsi="宋体"/>
        </w:rPr>
        <w:t xml:space="preserve">                                         </w:t>
      </w:r>
    </w:p>
    <w:p>
      <w:pPr>
        <w:ind w:firstLine="480"/>
        <w:rPr>
          <w:rFonts w:ascii="宋体" w:hAnsi="宋体"/>
        </w:rPr>
      </w:pPr>
      <w:r>
        <w:rPr>
          <w:rFonts w:hint="eastAsia" w:ascii="宋体" w:hAnsi="宋体"/>
        </w:rPr>
        <w:t xml:space="preserve">采购中心： </w:t>
      </w:r>
    </w:p>
    <w:p>
      <w:pPr>
        <w:ind w:firstLine="480"/>
        <w:rPr>
          <w:rFonts w:ascii="宋体" w:hAnsi="宋体"/>
        </w:rPr>
      </w:pPr>
      <w:r>
        <w:rPr>
          <w:rFonts w:hint="eastAsia" w:ascii="宋体" w:hAnsi="宋体"/>
        </w:rPr>
        <w:t>我单位委托学校集中采购的以下设备，已于</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日验收合格</w:t>
      </w:r>
      <w:r>
        <w:rPr>
          <w:rFonts w:hint="eastAsia" w:ascii="宋体" w:hAnsi="宋体"/>
          <w:kern w:val="0"/>
        </w:rPr>
        <w:t>(验收报告附后，</w:t>
      </w:r>
      <w:r>
        <w:rPr>
          <w:rFonts w:hint="eastAsia" w:ascii="宋体" w:hAnsi="宋体"/>
        </w:rPr>
        <w:t>可在复印件好加盖院级公章</w:t>
      </w:r>
      <w:r>
        <w:rPr>
          <w:rFonts w:hint="eastAsia" w:ascii="宋体" w:hAnsi="宋体"/>
          <w:kern w:val="0"/>
        </w:rPr>
        <w:t>)</w:t>
      </w:r>
      <w:r>
        <w:rPr>
          <w:rFonts w:hint="eastAsia" w:ascii="宋体" w:hAnsi="宋体"/>
        </w:rPr>
        <w:t>，至今已使用</w:t>
      </w:r>
      <w:r>
        <w:rPr>
          <w:rFonts w:hint="eastAsia" w:ascii="宋体" w:hAnsi="宋体"/>
          <w:u w:val="single"/>
        </w:rPr>
        <w:t xml:space="preserve">   </w:t>
      </w:r>
      <w:r>
        <w:rPr>
          <w:rFonts w:hint="eastAsia" w:ascii="宋体" w:hAnsi="宋体"/>
        </w:rPr>
        <w:t>月，使用过程中无质量及服务问题，现同意退还质量保证金。</w:t>
      </w:r>
    </w:p>
    <w:p>
      <w:pPr>
        <w:ind w:firstLine="480"/>
        <w:rPr>
          <w:rFonts w:ascii="宋体" w:hAnsi="宋体"/>
          <w:u w:val="single"/>
        </w:rPr>
      </w:pPr>
      <w:r>
        <w:rPr>
          <w:rFonts w:hint="eastAsia" w:ascii="宋体" w:hAnsi="宋体"/>
        </w:rPr>
        <w:t>特此说明。</w:t>
      </w:r>
    </w:p>
    <w:p>
      <w:pPr>
        <w:ind w:firstLine="480"/>
        <w:rPr>
          <w:rFonts w:ascii="宋体" w:hAnsi="宋体"/>
          <w:u w:val="single"/>
        </w:rPr>
      </w:pPr>
    </w:p>
    <w:p>
      <w:pPr>
        <w:autoSpaceDE w:val="0"/>
        <w:autoSpaceDN w:val="0"/>
        <w:ind w:firstLine="480"/>
        <w:jc w:val="left"/>
        <w:rPr>
          <w:rFonts w:ascii="宋体" w:hAnsi="宋体"/>
        </w:rPr>
      </w:pPr>
      <w:r>
        <w:rPr>
          <w:rFonts w:hint="eastAsia" w:ascii="宋体" w:hAnsi="宋体"/>
        </w:rPr>
        <w:t>院级单位名称：</w:t>
      </w:r>
    </w:p>
    <w:p>
      <w:pPr>
        <w:autoSpaceDE w:val="0"/>
        <w:autoSpaceDN w:val="0"/>
        <w:ind w:firstLine="480"/>
        <w:jc w:val="left"/>
        <w:rPr>
          <w:rFonts w:ascii="宋体" w:hAnsi="宋体"/>
        </w:rPr>
      </w:pPr>
      <w:r>
        <w:rPr>
          <w:rFonts w:hint="eastAsia" w:ascii="宋体" w:hAnsi="宋体"/>
        </w:rPr>
        <w:t>用户代表：</w:t>
      </w:r>
    </w:p>
    <w:p>
      <w:pPr>
        <w:autoSpaceDE w:val="0"/>
        <w:autoSpaceDN w:val="0"/>
        <w:ind w:firstLine="480"/>
        <w:jc w:val="left"/>
        <w:rPr>
          <w:rFonts w:ascii="宋体" w:hAnsi="宋体"/>
        </w:rPr>
      </w:pPr>
      <w:r>
        <w:rPr>
          <w:rFonts w:hint="eastAsia" w:ascii="宋体" w:hAnsi="宋体"/>
        </w:rPr>
        <w:t>用户代表校内邮箱：             @zju.edu.cn</w:t>
      </w:r>
    </w:p>
    <w:p>
      <w:pPr>
        <w:autoSpaceDE w:val="0"/>
        <w:autoSpaceDN w:val="0"/>
        <w:ind w:firstLine="480"/>
        <w:jc w:val="left"/>
        <w:rPr>
          <w:rFonts w:ascii="宋体" w:hAnsi="宋体"/>
          <w:kern w:val="0"/>
        </w:rPr>
      </w:pPr>
      <w:r>
        <w:rPr>
          <w:rFonts w:hint="eastAsia" w:ascii="宋体" w:hAnsi="宋体"/>
          <w:kern w:val="0"/>
        </w:rPr>
        <w:t>采购编号（</w:t>
      </w:r>
      <w:r>
        <w:rPr>
          <w:rFonts w:hint="eastAsia" w:ascii="宋体" w:hAnsi="宋体"/>
        </w:rPr>
        <w:t>或合同号码</w:t>
      </w:r>
      <w:r>
        <w:rPr>
          <w:rFonts w:hint="eastAsia" w:ascii="宋体" w:hAnsi="宋体"/>
          <w:kern w:val="0"/>
        </w:rPr>
        <w:t>）：</w:t>
      </w:r>
    </w:p>
    <w:p>
      <w:pPr>
        <w:autoSpaceDE w:val="0"/>
        <w:autoSpaceDN w:val="0"/>
        <w:ind w:firstLine="480"/>
        <w:jc w:val="left"/>
        <w:rPr>
          <w:rFonts w:ascii="宋体" w:hAnsi="宋体"/>
          <w:kern w:val="0"/>
        </w:rPr>
      </w:pPr>
      <w:r>
        <w:rPr>
          <w:rFonts w:hint="eastAsia" w:ascii="宋体" w:hAnsi="宋体"/>
          <w:kern w:val="0"/>
        </w:rPr>
        <w:t>项目名称（</w:t>
      </w:r>
      <w:r>
        <w:rPr>
          <w:rFonts w:hint="eastAsia" w:ascii="宋体" w:hAnsi="宋体"/>
        </w:rPr>
        <w:t>或设备名称</w:t>
      </w:r>
      <w:r>
        <w:rPr>
          <w:rFonts w:hint="eastAsia" w:ascii="宋体" w:hAnsi="宋体"/>
          <w:kern w:val="0"/>
        </w:rPr>
        <w:t>）：</w:t>
      </w:r>
    </w:p>
    <w:p>
      <w:pPr>
        <w:autoSpaceDE w:val="0"/>
        <w:autoSpaceDN w:val="0"/>
        <w:ind w:firstLine="480"/>
        <w:jc w:val="left"/>
        <w:rPr>
          <w:rFonts w:ascii="宋体" w:hAnsi="宋体"/>
          <w:kern w:val="0"/>
        </w:rPr>
      </w:pPr>
      <w:r>
        <w:rPr>
          <w:rFonts w:hint="eastAsia" w:ascii="宋体" w:hAnsi="宋体"/>
          <w:kern w:val="0"/>
        </w:rPr>
        <w:t>公司名称：</w:t>
      </w:r>
    </w:p>
    <w:p>
      <w:pPr>
        <w:autoSpaceDE w:val="0"/>
        <w:autoSpaceDN w:val="0"/>
        <w:ind w:firstLine="480"/>
        <w:jc w:val="left"/>
        <w:rPr>
          <w:rFonts w:ascii="宋体" w:hAnsi="宋体"/>
          <w:kern w:val="0"/>
        </w:rPr>
      </w:pPr>
      <w:r>
        <w:rPr>
          <w:rFonts w:hint="eastAsia" w:ascii="宋体" w:hAnsi="宋体"/>
          <w:kern w:val="0"/>
        </w:rPr>
        <w:t>保证金金额：</w:t>
      </w:r>
    </w:p>
    <w:p>
      <w:pPr>
        <w:ind w:firstLine="480"/>
        <w:rPr>
          <w:rFonts w:ascii="宋体" w:hAnsi="宋体"/>
        </w:rPr>
      </w:pPr>
    </w:p>
    <w:p>
      <w:pPr>
        <w:ind w:firstLine="480"/>
        <w:rPr>
          <w:rFonts w:ascii="宋体" w:hAnsi="宋体"/>
        </w:rPr>
      </w:pPr>
    </w:p>
    <w:p>
      <w:pPr>
        <w:ind w:right="2201" w:rightChars="917" w:firstLine="480"/>
        <w:jc w:val="right"/>
        <w:rPr>
          <w:rFonts w:ascii="宋体" w:hAnsi="宋体"/>
        </w:rPr>
      </w:pPr>
      <w:r>
        <w:rPr>
          <w:rFonts w:hint="eastAsia" w:ascii="宋体" w:hAnsi="宋体"/>
        </w:rPr>
        <w:t>用户代表签字：</w:t>
      </w:r>
    </w:p>
    <w:p>
      <w:pPr>
        <w:ind w:right="2201" w:rightChars="917" w:firstLine="480"/>
        <w:jc w:val="right"/>
        <w:rPr>
          <w:rFonts w:ascii="宋体" w:hAnsi="宋体"/>
        </w:rPr>
      </w:pPr>
      <w:r>
        <w:rPr>
          <w:rFonts w:hint="eastAsia" w:ascii="宋体" w:hAnsi="宋体"/>
        </w:rPr>
        <w:t>院级公章：</w:t>
      </w:r>
    </w:p>
    <w:p>
      <w:pPr>
        <w:ind w:right="2201" w:rightChars="917" w:firstLine="480"/>
        <w:jc w:val="right"/>
        <w:rPr>
          <w:rFonts w:ascii="宋体" w:hAnsi="宋体"/>
        </w:rPr>
      </w:pPr>
      <w:r>
        <w:rPr>
          <w:rFonts w:hint="eastAsia" w:ascii="宋体" w:hAnsi="宋体"/>
        </w:rPr>
        <w:t>日期：</w:t>
      </w:r>
    </w:p>
    <w:p>
      <w:pPr>
        <w:pStyle w:val="2"/>
        <w:spacing w:line="360" w:lineRule="auto"/>
        <w:rPr>
          <w:rFonts w:ascii="宋体" w:hAnsi="宋体" w:eastAsia="宋体" w:cs="宋体"/>
          <w:color w:val="auto"/>
        </w:rPr>
      </w:pPr>
    </w:p>
    <w:p>
      <w:pPr>
        <w:pStyle w:val="11"/>
        <w:rPr>
          <w:rFonts w:ascii="宋体" w:hAnsi="宋体" w:eastAsia="宋体"/>
        </w:rPr>
      </w:pPr>
    </w:p>
    <w:p>
      <w:pPr>
        <w:pStyle w:val="2"/>
        <w:rPr>
          <w:rFonts w:ascii="宋体" w:hAnsi="宋体" w:eastAsia="宋体" w:cs="宋体"/>
          <w:color w:val="auto"/>
        </w:rPr>
      </w:pPr>
    </w:p>
    <w:sectPr>
      <w:pgSz w:w="11906" w:h="16838"/>
      <w:pgMar w:top="1247" w:right="1247" w:bottom="1247" w:left="1247" w:header="170" w:footer="567" w:gutter="0"/>
      <w:cols w:space="720" w:num="1"/>
      <w:docGrid w:linePitch="381"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20-09-11T13:34:53Z" w:initials="A">
    <w:p w14:paraId="051E2A8D">
      <w:pPr>
        <w:pStyle w:val="9"/>
      </w:pPr>
      <w:r>
        <w:rPr>
          <w:rFonts w:hint="eastAsia"/>
          <w:lang w:eastAsia="zh-CN"/>
        </w:rPr>
        <w:t>是否进口？清单中有三个纯水，系统上看到应该只有</w:t>
      </w:r>
      <w:r>
        <w:rPr>
          <w:rFonts w:hint="eastAsia"/>
          <w:lang w:val="en-US" w:eastAsia="zh-CN"/>
        </w:rPr>
        <w:t>2个允许进口</w:t>
      </w:r>
    </w:p>
  </w:comment>
  <w:comment w:id="1" w:author="Administrator" w:date="2020-09-11T13:34:46Z" w:initials="A">
    <w:p w14:paraId="3FEE18D2">
      <w:pPr>
        <w:pStyle w:val="9"/>
      </w:pPr>
      <w:r>
        <w:rPr>
          <w:rFonts w:hint="eastAsia"/>
          <w:lang w:eastAsia="zh-CN"/>
        </w:rPr>
        <w:t>请明确数量！是否需要进口？（清单中有三个纯水，系统上看到应该只有</w:t>
      </w:r>
      <w:r>
        <w:rPr>
          <w:rFonts w:hint="eastAsia"/>
          <w:lang w:val="en-US" w:eastAsia="zh-CN"/>
        </w:rPr>
        <w:t>2个允许进口</w:t>
      </w:r>
      <w:r>
        <w:rPr>
          <w:rFonts w:hint="eastAsia"/>
          <w:lang w:eastAsia="zh-CN"/>
        </w:rPr>
        <w:t>）</w:t>
      </w:r>
    </w:p>
  </w:comment>
  <w:comment w:id="2" w:author="Administrator" w:date="2020-09-11T13:33:58Z" w:initials="A">
    <w:p w14:paraId="56527EA3">
      <w:pPr>
        <w:pStyle w:val="9"/>
        <w:rPr>
          <w:rFonts w:hint="eastAsia" w:eastAsia="宋体"/>
          <w:lang w:eastAsia="zh-CN"/>
        </w:rPr>
      </w:pPr>
      <w:r>
        <w:rPr>
          <w:rFonts w:hint="eastAsia"/>
          <w:lang w:eastAsia="zh-CN"/>
        </w:rPr>
        <w:t>请明确数量！是否需要进口？（清单中有三个纯水，系统上看到应该只有</w:t>
      </w:r>
      <w:r>
        <w:rPr>
          <w:rFonts w:hint="eastAsia"/>
          <w:lang w:val="en-US" w:eastAsia="zh-CN"/>
        </w:rPr>
        <w:t>2个允许进口</w:t>
      </w:r>
      <w:r>
        <w:rPr>
          <w:rFonts w:hint="eastAsia"/>
          <w:lang w:eastAsia="zh-CN"/>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51E2A8D" w15:done="0"/>
  <w15:commentEx w15:paraId="3FEE18D2" w15:done="0"/>
  <w15:commentEx w15:paraId="56527EA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6" w:usb3="00000000" w:csb0="00040001" w:csb1="00000000"/>
  </w:font>
  <w:font w:name="金山简黑体">
    <w:altName w:val="宋体"/>
    <w:panose1 w:val="00000000000000000000"/>
    <w:charset w:val="00"/>
    <w:family w:val="auto"/>
    <w:pitch w:val="default"/>
    <w:sig w:usb0="00000000" w:usb1="00000000" w:usb2="00000000" w:usb3="00000000" w:csb0="00040001" w:csb1="00000000"/>
  </w:font>
  <w:font w:name="time new roman">
    <w:altName w:val="微软雅黑"/>
    <w:panose1 w:val="00000000000000000000"/>
    <w:charset w:val="00"/>
    <w:family w:val="roman"/>
    <w:pitch w:val="default"/>
    <w:sig w:usb0="00000000" w:usb1="00000000" w:usb2="00000000" w:usb3="00000000" w:csb0="00040001" w:csb1="00000000"/>
  </w:font>
  <w:font w:name="长城粗隶书">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等线">
    <w:altName w:val="Arial Unicode MS"/>
    <w:panose1 w:val="00000000000000000000"/>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rPr>
      <w:t>浙江五石工程咨询有限公司</w: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560"/>
      <w:jc w:val="center"/>
    </w:pPr>
    <w:r>
      <w:pict>
        <v:rect id="文本框 21" o:spid="_x0000_s2121" o:spt="1" style="position:absolute;left:0pt;margin-top:0pt;height:144pt;width:144pt;mso-position-horizontal:outside;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Nfi1QEAAIsDAAAOAAAAZHJzL2Uyb0RvYy54bWysU8Fu2zAMvQ/YPwi6L3Zy2AIjTlG0aDGg&#10;2Ap0+wBFlmNjliiQauzsA7Y/2GmX3fdd+Y5Rsp2u223YRSAl8vE9ktpcDLYTB4PUgivlcpFLYZyG&#10;qnX7Un78cPNqLQUF5SrVgTOlPBqSF9uXLza9L8wKGugqg4JBHBW9L2UTgi+yjHRjrKIFeOP4sQa0&#10;KrCL+6xC1TO67bJVnr/OesDKI2hDxLfX46PcJvy6Njq8r2syQXSlZG4hnZjOXTyz7UYVe1S+afVE&#10;Q/0DC6tax0XPUNcqKPGI7V9QttUIBHVYaLAZ1HWrTdLAapb5H2oeGuVN0sLNIX9uE/0/WP3ucI+i&#10;rUr5RgqnLI/o9O3r6fvP048vYrWM/ek9FRz24O8xKiR/B/oTCQdXjXJ7c4kIfWNUxaxSfPYsITo0&#10;pQ412gjBssWQZnA8z8AMQWi+XK5X63XOo9L8NjvMIlPFnO6Rwq0BK6JRSuQhp96rwx2FMXQOidUc&#10;3LRdlwbduWcXjDnemLQpU/YT42iFYTdMTdhBdeRm8bZz1QbwsxQ9b04pHa+2FN1bxy2ISzYbOBu7&#10;2VBOc2IpR8LkLx8Ds0ukY7GxAouNDk88yZ62M67U736KevpD218AAAD//wMAUEsDBBQABgAIAAAA&#10;IQCbE/jk2QAAAAoBAAAPAAAAZHJzL2Rvd25yZXYueG1sTE/LasMwELwX+g9iA701cnwoxrEcSkug&#10;Lb3EyQco1vpBpZWRlNj9+25Lob0MOwwzO1PtFmfFFUMcPSnYrDMQSK03I/UKTsf9fQEiJk1GW0+o&#10;4BMj7Orbm0qXxs90wGuTesEhFEutYEhpKqWM7YBOx7WfkFjrfHA6MQ29NEHPHO6szLPsQTo9En8Y&#10;9IRPA7YfzcUpkMdmPxeNDZl/y7t3+/py6NArdbdanrcMj1sQCZf054DvDdwfai529hcyUVgFvCb9&#10;IGt5UTA9/x6yruT/CfUXAAAA//8DAFBLAQItABQABgAIAAAAIQC2gziS/gAAAOEBAAATAAAAAAAA&#10;AAAAAAAAAAAAAABbQ29udGVudF9UeXBlc10ueG1sUEsBAi0AFAAGAAgAAAAhADj9If/WAAAAlAEA&#10;AAsAAAAAAAAAAAAAAAAALwEAAF9yZWxzLy5yZWxzUEsBAi0AFAAGAAgAAAAhAFdE1+LVAQAAiwMA&#10;AA4AAAAAAAAAAAAAAAAALgIAAGRycy9lMm9Eb2MueG1sUEsBAi0AFAAGAAgAAAAhAJsT+OTZAAAA&#10;CgEAAA8AAAAAAAAAAAAAAAAALwQAAGRycy9kb3ducmV2LnhtbFBLBQYAAAAABAAEAPMAAAA1BQAA&#10;AAA=&#10;">
          <v:path/>
          <v:fill on="f" focussize="0,0"/>
          <v:stroke on="f"/>
          <v:imagedata o:title=""/>
          <o:lock v:ext="edit"/>
          <v:textbox inset="0mm,0mm,0mm,0mm" style="mso-fit-shape-to-text:t;">
            <w:txbxContent>
              <w:p>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w:t>
                </w:r>
              </w:p>
            </w:txbxContent>
          </v:textbox>
        </v:rect>
      </w:pict>
    </w:r>
    <w:r>
      <w:drawing>
        <wp:anchor distT="0" distB="0" distL="0" distR="0" simplePos="0" relativeHeight="251651072"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7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9"/>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2096"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7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0"/>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3120"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7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1"/>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4144"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6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2"/>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5168"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6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3"/>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6192"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6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4"/>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7216"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6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5"/>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p>
  <w:p>
    <w:pPr>
      <w:pStyle w:val="18"/>
      <w:ind w:right="560"/>
      <w:jc w:val="center"/>
    </w:pPr>
    <w:r>
      <w:drawing>
        <wp:anchor distT="0" distB="0" distL="0" distR="0" simplePos="0" relativeHeight="251658240" behindDoc="1" locked="0" layoutInCell="1" allowOverlap="1">
          <wp:simplePos x="0" y="0"/>
          <wp:positionH relativeFrom="column">
            <wp:posOffset>5067300</wp:posOffset>
          </wp:positionH>
          <wp:positionV relativeFrom="paragraph">
            <wp:posOffset>10036810</wp:posOffset>
          </wp:positionV>
          <wp:extent cx="1481455" cy="360045"/>
          <wp:effectExtent l="19050" t="0" r="4445" b="0"/>
          <wp:wrapNone/>
          <wp:docPr id="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r>
      <w:drawing>
        <wp:anchor distT="0" distB="0" distL="0" distR="0" simplePos="0" relativeHeight="251659264" behindDoc="1" locked="0" layoutInCell="1" allowOverlap="1">
          <wp:simplePos x="0" y="0"/>
          <wp:positionH relativeFrom="column">
            <wp:posOffset>5219700</wp:posOffset>
          </wp:positionH>
          <wp:positionV relativeFrom="paragraph">
            <wp:posOffset>10006965</wp:posOffset>
          </wp:positionV>
          <wp:extent cx="1481455" cy="360045"/>
          <wp:effectExtent l="19050" t="0" r="4445" b="0"/>
          <wp:wrapNone/>
          <wp:docPr id="6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7"/>
                  <pic:cNvPicPr>
                    <a:picLocks noChangeAspect="1" noChangeArrowheads="1"/>
                  </pic:cNvPicPr>
                </pic:nvPicPr>
                <pic:blipFill>
                  <a:blip r:embed="rId1"/>
                  <a:srcRect/>
                  <a:stretch>
                    <a:fillRect/>
                  </a:stretch>
                </pic:blipFill>
                <pic:spPr>
                  <a:xfrm>
                    <a:off x="0" y="0"/>
                    <a:ext cx="1481455" cy="360045"/>
                  </a:xfrm>
                  <a:prstGeom prst="rect">
                    <a:avLst/>
                  </a:prstGeom>
                  <a:noFill/>
                  <a:ln w="9525" cmpd="sng">
                    <a:noFill/>
                    <a:miter lim="800000"/>
                    <a:headEnd/>
                    <a:tailEnd/>
                  </a:ln>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27" o:spid="_x0000_s2111" o:spt="202" type="#_x0000_t202" style="position:absolute;left:0pt;margin-top:0pt;height:17.5pt;width:31.55pt;mso-position-horizontal:outside;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文本框 45" o:spid="_x0000_s2110" o:spt="202" type="#_x0000_t202" style="position:absolute;left:0pt;margin-top:0pt;height:17.5pt;width:31.55pt;mso-position-horizontal:outside;mso-position-horizontal-relative:margin;mso-wrap-style:none;z-index:251664384;mso-width-relative:page;mso-height-relative:page;" filled="f" stroked="f" coordsize="21600,21600">
          <v:path/>
          <v:fill on="f" focussize="0,0"/>
          <v:stroke on="f" joinstyle="miter"/>
          <v:imagedata o:title=""/>
          <o:lock v:ext="edit"/>
          <v:textbox inset="0mm,0mm,0mm,0mm" style="mso-fit-shape-to-text:t;">
            <w:txbxContent>
              <w:p>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r>
                  <w:rPr>
                    <w:rFonts w:hint="eastAsia"/>
                  </w:rPr>
                  <w:t xml:space="preserve"> 页</w:t>
                </w:r>
              </w:p>
            </w:txbxContent>
          </v:textbox>
        </v:shape>
      </w:pict>
    </w:r>
    <w:r>
      <w:pict>
        <v:shape id="文本框 42" o:spid="_x0000_s2109" o:spt="202" type="#_x0000_t202" style="position:absolute;left:0pt;margin-top:0pt;height:36.2pt;width:12.05pt;mso-position-horizontal:outside;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pPr>
                  <w:pStyle w:val="18"/>
                </w:pPr>
              </w:p>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8" o:spid="_x0000_s2108" o:spt="202" type="#_x0000_t202" style="position:absolute;left:0pt;margin-top:0pt;height:144pt;width:144pt;mso-position-horizontal:outside;mso-position-horizontal-relative:margin;mso-wrap-style:none;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V8r1wEAAI4DAAAOAAAAZHJzL2Uyb0RvYy54bWysU82O0zAQviPxDpbvNGmFUBQ1XS2sFiGt&#10;AGnhAVzHaSJijzXjbVIeAN6AExfuPFefg7HTtAvcEBdnfr/55ifrq9H2Ym+QOnCVXC5yKYzTUHdu&#10;V8mPH26fFVJQUK5WPThTyYMhebV5+mQ9+NKsoIW+NigYxFE5+Eq2Ifgyy0i3xipagDeOnQ2gVYFV&#10;3GU1qoHRbZ+t8vxFNgDWHkEbIrbeTE65SfhNY3R41zRkgugrydxCejG92/hmm7Uqd6h82+kTDfUP&#10;LKzqHBc9Q92ooMQDdn9B2U4jEDRhocFm0DSdNqkH7maZ/9HNfau8Sb3wcMifx0T/D1a/3b9H0dWV&#10;fC6FU5ZXdPz29fj95/HHF7Es4nwGTyWH3XsODONLGHnPqVfyd6A/kXDwqlVuZ64RYWiNqpnfMmZm&#10;j1InHGKQOKaxQRu/PADBeLyZw3kbZgxCxyLFqihydmn2zUpEvaR7pPDagBVRqCTyuhMztb+jMIXO&#10;IbGag9uu79muyt79ZmDMaEmEJ46Rehi342k2nBQtW6gPPAY+eC7XAn6WYuDjqaTj65aif+O493hn&#10;s4CzsJ0F5TQnVnJiSv76ITCtxPZS4USFl576PR1ovKrHeoq6/EabXwAAAP//AwBQSwMEFAAGAAgA&#10;AAAhAAKVre/YAAAACgEAAA8AAABkcnMvZG93bnJldi54bWxMT0FqwzAQvBf6B7GF3Bq5OaTGsRxK&#10;Qi69NS2F3hRrY5lKKyMpjv37bkuhvQw7DDM7U28n78SIMfWBFDwsCxBIbTA9dQreXg/3JYiUNRnt&#10;AqGCGRNsm9ubWlcmXOkFx2PuBIdQqrQCm/NQSZlai16nZRiQWDuH6HVmGjtpor5yuHdyVRRr6XVP&#10;/MHqAXcW28/jxSt4nN4DDgl3+HEe22j7uXTPs1KLu2m/YXjagMg45T8HfG/g/tBwsVO4kEnCKeA1&#10;+QdZW5Ul09PvIZta/p/QfAEAAP//AwBQSwECLQAUAAYACAAAACEAtoM4kv4AAADhAQAAEwAAAAAA&#10;AAAAAAAAAAAAAAAAW0NvbnRlbnRfVHlwZXNdLnhtbFBLAQItABQABgAIAAAAIQA4/SH/1gAAAJQB&#10;AAALAAAAAAAAAAAAAAAAAC8BAABfcmVscy8ucmVsc1BLAQItABQABgAIAAAAIQCrLV8r1wEAAI4D&#10;AAAOAAAAAAAAAAAAAAAAAC4CAABkcnMvZTJvRG9jLnhtbFBLAQItABQABgAIAAAAIQACla3v2AAA&#10;AAoBAAAPAAAAAAAAAAAAAAAAADEEAABkcnMvZG93bnJldi54bWxQSwUGAAAAAAQABADzAAAANgUA&#10;AAAA&#10;">
          <v:path/>
          <v:fill on="f" focussize="0,0"/>
          <v:stroke on="f" joinstyle="miter"/>
          <v:imagedata o:title=""/>
          <o:lock v:ext="edit"/>
          <v:textbox inset="0mm,0mm,0mm,0mm" style="mso-fit-shape-to-text:t;">
            <w:txbxContent>
              <w:p>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r>
                  <w:rPr>
                    <w:rFonts w:hint="eastAsia"/>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pPr>
    <w:r>
      <w:rPr>
        <w:rFonts w:hint="eastAsia"/>
      </w:rPr>
      <w:t>浙江大学国际联合学院（海宁国际校区）</w:t>
    </w:r>
    <w:r>
      <w:rPr>
        <w:rFonts w:hint="eastAsia"/>
      </w:rPr>
      <w:tab/>
    </w:r>
    <w:r>
      <w:rPr>
        <w:rFonts w:hint="eastAsia"/>
      </w:rPr>
      <w:t>文创中心脑电采集分析系统项目</w:t>
    </w:r>
    <w:r>
      <w:rPr>
        <w:rFonts w:hint="eastAsia"/>
      </w:rPr>
      <w:tab/>
    </w:r>
    <w:r>
      <w:rPr>
        <w:rFonts w:hint="eastAsia"/>
      </w:rPr>
      <w:t>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rPr>
        <w:sz w:val="24"/>
      </w:rPr>
    </w:pPr>
  </w:p>
  <w:p>
    <w:pPr>
      <w:pStyle w:val="19"/>
      <w:jc w:val="both"/>
      <w:rPr>
        <w:sz w:val="24"/>
      </w:rPr>
    </w:pPr>
  </w:p>
  <w:p>
    <w:pPr>
      <w:pStyle w:val="19"/>
      <w:jc w:val="both"/>
    </w:pPr>
    <w:r>
      <w:rPr>
        <w:rFonts w:hint="eastAsia"/>
        <w:sz w:val="24"/>
      </w:rPr>
      <w:t>浙江五石工程咨询有限公司                                     精细  专业   高效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33E5DA"/>
    <w:multiLevelType w:val="singleLevel"/>
    <w:tmpl w:val="8033E5DA"/>
    <w:lvl w:ilvl="0" w:tentative="0">
      <w:start w:val="4"/>
      <w:numFmt w:val="decimal"/>
      <w:lvlText w:val="%1."/>
      <w:lvlJc w:val="left"/>
      <w:pPr>
        <w:tabs>
          <w:tab w:val="left" w:pos="312"/>
        </w:tabs>
      </w:pPr>
    </w:lvl>
  </w:abstractNum>
  <w:abstractNum w:abstractNumId="1">
    <w:nsid w:val="9B89128C"/>
    <w:multiLevelType w:val="singleLevel"/>
    <w:tmpl w:val="9B89128C"/>
    <w:lvl w:ilvl="0" w:tentative="0">
      <w:start w:val="1"/>
      <w:numFmt w:val="decimal"/>
      <w:suff w:val="nothing"/>
      <w:lvlText w:val="（%1）"/>
      <w:lvlJc w:val="left"/>
    </w:lvl>
  </w:abstractNum>
  <w:abstractNum w:abstractNumId="2">
    <w:nsid w:val="A523208E"/>
    <w:multiLevelType w:val="singleLevel"/>
    <w:tmpl w:val="A523208E"/>
    <w:lvl w:ilvl="0" w:tentative="0">
      <w:start w:val="1"/>
      <w:numFmt w:val="decimal"/>
      <w:suff w:val="nothing"/>
      <w:lvlText w:val="（%1）"/>
      <w:lvlJc w:val="left"/>
    </w:lvl>
  </w:abstractNum>
  <w:abstractNum w:abstractNumId="3">
    <w:nsid w:val="C9753911"/>
    <w:multiLevelType w:val="singleLevel"/>
    <w:tmpl w:val="C9753911"/>
    <w:lvl w:ilvl="0" w:tentative="0">
      <w:start w:val="1"/>
      <w:numFmt w:val="decimal"/>
      <w:suff w:val="nothing"/>
      <w:lvlText w:val="（%1）"/>
      <w:lvlJc w:val="left"/>
    </w:lvl>
  </w:abstractNum>
  <w:abstractNum w:abstractNumId="4">
    <w:nsid w:val="DD603157"/>
    <w:multiLevelType w:val="multilevel"/>
    <w:tmpl w:val="DD60315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6B73B88"/>
    <w:multiLevelType w:val="singleLevel"/>
    <w:tmpl w:val="E6B73B88"/>
    <w:lvl w:ilvl="0" w:tentative="0">
      <w:start w:val="5"/>
      <w:numFmt w:val="chineseCounting"/>
      <w:suff w:val="space"/>
      <w:lvlText w:val="第%1章"/>
      <w:lvlJc w:val="left"/>
      <w:rPr>
        <w:rFonts w:hint="eastAsia"/>
      </w:rPr>
    </w:lvl>
  </w:abstractNum>
  <w:abstractNum w:abstractNumId="6">
    <w:nsid w:val="F0440A25"/>
    <w:multiLevelType w:val="singleLevel"/>
    <w:tmpl w:val="F0440A25"/>
    <w:lvl w:ilvl="0" w:tentative="0">
      <w:start w:val="1"/>
      <w:numFmt w:val="decimal"/>
      <w:lvlText w:val="%1."/>
      <w:lvlJc w:val="left"/>
      <w:pPr>
        <w:ind w:left="425" w:hanging="425"/>
      </w:pPr>
      <w:rPr>
        <w:rFonts w:hint="default"/>
      </w:rPr>
    </w:lvl>
  </w:abstractNum>
  <w:abstractNum w:abstractNumId="7">
    <w:nsid w:val="F56FB2D7"/>
    <w:multiLevelType w:val="singleLevel"/>
    <w:tmpl w:val="F56FB2D7"/>
    <w:lvl w:ilvl="0" w:tentative="0">
      <w:start w:val="4"/>
      <w:numFmt w:val="decimal"/>
      <w:suff w:val="nothing"/>
      <w:lvlText w:val="（%1）"/>
      <w:lvlJc w:val="left"/>
    </w:lvl>
  </w:abstractNum>
  <w:abstractNum w:abstractNumId="8">
    <w:nsid w:val="F81965CD"/>
    <w:multiLevelType w:val="singleLevel"/>
    <w:tmpl w:val="F81965CD"/>
    <w:lvl w:ilvl="0" w:tentative="0">
      <w:start w:val="1"/>
      <w:numFmt w:val="decimal"/>
      <w:suff w:val="nothing"/>
      <w:lvlText w:val="（%1）"/>
      <w:lvlJc w:val="left"/>
    </w:lvl>
  </w:abstractNum>
  <w:abstractNum w:abstractNumId="9">
    <w:nsid w:val="00000001"/>
    <w:multiLevelType w:val="multilevel"/>
    <w:tmpl w:val="00000001"/>
    <w:lvl w:ilvl="0" w:tentative="0">
      <w:start w:val="1"/>
      <w:numFmt w:val="decimal"/>
      <w:pStyle w:val="8"/>
      <w:lvlText w:val="%1."/>
      <w:lvlJc w:val="left"/>
      <w:pPr>
        <w:tabs>
          <w:tab w:val="left" w:pos="360"/>
        </w:tabs>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E6A4557"/>
    <w:multiLevelType w:val="multilevel"/>
    <w:tmpl w:val="2E6A4557"/>
    <w:lvl w:ilvl="0" w:tentative="0">
      <w:start w:val="1"/>
      <w:numFmt w:val="decimal"/>
      <w:lvlText w:val="%1、"/>
      <w:lvlJc w:val="left"/>
      <w:pPr>
        <w:ind w:left="1230" w:hanging="360"/>
      </w:pPr>
      <w:rPr>
        <w:rFonts w:hint="default" w:ascii="Calibri" w:hAnsi="Calibri" w:eastAsia="宋体" w:cs="Times New Roman"/>
      </w:rPr>
    </w:lvl>
    <w:lvl w:ilvl="1" w:tentative="0">
      <w:start w:val="1"/>
      <w:numFmt w:val="lowerLetter"/>
      <w:lvlText w:val="%2)"/>
      <w:lvlJc w:val="left"/>
      <w:pPr>
        <w:ind w:left="1710" w:hanging="420"/>
      </w:pPr>
    </w:lvl>
    <w:lvl w:ilvl="2" w:tentative="0">
      <w:start w:val="1"/>
      <w:numFmt w:val="lowerRoman"/>
      <w:lvlText w:val="%3."/>
      <w:lvlJc w:val="right"/>
      <w:pPr>
        <w:ind w:left="2130" w:hanging="420"/>
      </w:pPr>
    </w:lvl>
    <w:lvl w:ilvl="3" w:tentative="0">
      <w:start w:val="1"/>
      <w:numFmt w:val="decimal"/>
      <w:lvlText w:val="%4."/>
      <w:lvlJc w:val="left"/>
      <w:pPr>
        <w:ind w:left="2550" w:hanging="420"/>
      </w:pPr>
    </w:lvl>
    <w:lvl w:ilvl="4" w:tentative="0">
      <w:start w:val="1"/>
      <w:numFmt w:val="lowerLetter"/>
      <w:lvlText w:val="%5)"/>
      <w:lvlJc w:val="left"/>
      <w:pPr>
        <w:ind w:left="2970" w:hanging="420"/>
      </w:pPr>
    </w:lvl>
    <w:lvl w:ilvl="5" w:tentative="0">
      <w:start w:val="1"/>
      <w:numFmt w:val="lowerRoman"/>
      <w:lvlText w:val="%6."/>
      <w:lvlJc w:val="right"/>
      <w:pPr>
        <w:ind w:left="3390" w:hanging="420"/>
      </w:pPr>
    </w:lvl>
    <w:lvl w:ilvl="6" w:tentative="0">
      <w:start w:val="1"/>
      <w:numFmt w:val="decimal"/>
      <w:lvlText w:val="%7."/>
      <w:lvlJc w:val="left"/>
      <w:pPr>
        <w:ind w:left="3810" w:hanging="420"/>
      </w:pPr>
    </w:lvl>
    <w:lvl w:ilvl="7" w:tentative="0">
      <w:start w:val="1"/>
      <w:numFmt w:val="lowerLetter"/>
      <w:lvlText w:val="%8)"/>
      <w:lvlJc w:val="left"/>
      <w:pPr>
        <w:ind w:left="4230" w:hanging="420"/>
      </w:pPr>
    </w:lvl>
    <w:lvl w:ilvl="8" w:tentative="0">
      <w:start w:val="1"/>
      <w:numFmt w:val="lowerRoman"/>
      <w:lvlText w:val="%9."/>
      <w:lvlJc w:val="right"/>
      <w:pPr>
        <w:ind w:left="4650" w:hanging="420"/>
      </w:pPr>
    </w:lvl>
  </w:abstractNum>
  <w:abstractNum w:abstractNumId="11">
    <w:nsid w:val="71309CEC"/>
    <w:multiLevelType w:val="singleLevel"/>
    <w:tmpl w:val="71309CEC"/>
    <w:lvl w:ilvl="0" w:tentative="0">
      <w:start w:val="3"/>
      <w:numFmt w:val="chineseCounting"/>
      <w:suff w:val="nothing"/>
      <w:lvlText w:val="%1、"/>
      <w:lvlJc w:val="left"/>
      <w:rPr>
        <w:rFonts w:hint="eastAsia"/>
      </w:rPr>
    </w:lvl>
  </w:abstractNum>
  <w:num w:numId="1">
    <w:abstractNumId w:val="9"/>
  </w:num>
  <w:num w:numId="2">
    <w:abstractNumId w:val="10"/>
  </w:num>
  <w:num w:numId="3">
    <w:abstractNumId w:val="0"/>
  </w:num>
  <w:num w:numId="4">
    <w:abstractNumId w:val="7"/>
  </w:num>
  <w:num w:numId="5">
    <w:abstractNumId w:val="2"/>
  </w:num>
  <w:num w:numId="6">
    <w:abstractNumId w:val="6"/>
  </w:num>
  <w:num w:numId="7">
    <w:abstractNumId w:val="11"/>
  </w:num>
  <w:num w:numId="8">
    <w:abstractNumId w:val="5"/>
  </w:num>
  <w:num w:numId="9">
    <w:abstractNumId w:val="8"/>
  </w:num>
  <w:num w:numId="10">
    <w:abstractNumId w:val="1"/>
  </w:num>
  <w:num w:numId="11">
    <w:abstractNumId w:val="3"/>
  </w:num>
  <w:num w:numId="12">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BB3251"/>
    <w:rsid w:val="00000E67"/>
    <w:rsid w:val="00004BED"/>
    <w:rsid w:val="000057E4"/>
    <w:rsid w:val="00005914"/>
    <w:rsid w:val="000200F7"/>
    <w:rsid w:val="00020ED1"/>
    <w:rsid w:val="000345F3"/>
    <w:rsid w:val="00041B21"/>
    <w:rsid w:val="00043210"/>
    <w:rsid w:val="00064FB7"/>
    <w:rsid w:val="00065700"/>
    <w:rsid w:val="000667C2"/>
    <w:rsid w:val="00071B1F"/>
    <w:rsid w:val="00072312"/>
    <w:rsid w:val="000875D8"/>
    <w:rsid w:val="00090393"/>
    <w:rsid w:val="000951D2"/>
    <w:rsid w:val="00095EBF"/>
    <w:rsid w:val="000976C0"/>
    <w:rsid w:val="000A73FC"/>
    <w:rsid w:val="000B0A76"/>
    <w:rsid w:val="000B457F"/>
    <w:rsid w:val="000D5B70"/>
    <w:rsid w:val="000E0EAB"/>
    <w:rsid w:val="000F1BE9"/>
    <w:rsid w:val="000F1EBA"/>
    <w:rsid w:val="001005F9"/>
    <w:rsid w:val="00105169"/>
    <w:rsid w:val="00114E58"/>
    <w:rsid w:val="00132988"/>
    <w:rsid w:val="00150B8C"/>
    <w:rsid w:val="00153696"/>
    <w:rsid w:val="00155153"/>
    <w:rsid w:val="00157EF5"/>
    <w:rsid w:val="00165485"/>
    <w:rsid w:val="00192886"/>
    <w:rsid w:val="0019567F"/>
    <w:rsid w:val="001A381A"/>
    <w:rsid w:val="001A39E8"/>
    <w:rsid w:val="001A55EF"/>
    <w:rsid w:val="001B423C"/>
    <w:rsid w:val="001B66A1"/>
    <w:rsid w:val="001C2561"/>
    <w:rsid w:val="001C72FE"/>
    <w:rsid w:val="001E1F18"/>
    <w:rsid w:val="001E253D"/>
    <w:rsid w:val="001E648D"/>
    <w:rsid w:val="001F11A9"/>
    <w:rsid w:val="001F7BA1"/>
    <w:rsid w:val="00200828"/>
    <w:rsid w:val="00203B87"/>
    <w:rsid w:val="0021227C"/>
    <w:rsid w:val="00212CAB"/>
    <w:rsid w:val="002132B0"/>
    <w:rsid w:val="002235DB"/>
    <w:rsid w:val="0023665B"/>
    <w:rsid w:val="00243000"/>
    <w:rsid w:val="0024349C"/>
    <w:rsid w:val="002478A1"/>
    <w:rsid w:val="002514DD"/>
    <w:rsid w:val="00253CF6"/>
    <w:rsid w:val="0027095B"/>
    <w:rsid w:val="0028188A"/>
    <w:rsid w:val="002872C2"/>
    <w:rsid w:val="002901DC"/>
    <w:rsid w:val="0029625C"/>
    <w:rsid w:val="002B2B68"/>
    <w:rsid w:val="002B3191"/>
    <w:rsid w:val="002B3F05"/>
    <w:rsid w:val="002B6963"/>
    <w:rsid w:val="002C0487"/>
    <w:rsid w:val="002C1573"/>
    <w:rsid w:val="002C393D"/>
    <w:rsid w:val="002D3707"/>
    <w:rsid w:val="002E68CB"/>
    <w:rsid w:val="002E7910"/>
    <w:rsid w:val="002F53EF"/>
    <w:rsid w:val="002F6F6F"/>
    <w:rsid w:val="00305A95"/>
    <w:rsid w:val="00316797"/>
    <w:rsid w:val="00320D91"/>
    <w:rsid w:val="003255A4"/>
    <w:rsid w:val="00325F21"/>
    <w:rsid w:val="003304BC"/>
    <w:rsid w:val="003324A1"/>
    <w:rsid w:val="00333BB8"/>
    <w:rsid w:val="00340F9E"/>
    <w:rsid w:val="003413E5"/>
    <w:rsid w:val="0034238B"/>
    <w:rsid w:val="003446F7"/>
    <w:rsid w:val="00345636"/>
    <w:rsid w:val="00353F27"/>
    <w:rsid w:val="003606D0"/>
    <w:rsid w:val="003627F0"/>
    <w:rsid w:val="0036716A"/>
    <w:rsid w:val="00372AEF"/>
    <w:rsid w:val="0037684E"/>
    <w:rsid w:val="00381475"/>
    <w:rsid w:val="003A25A3"/>
    <w:rsid w:val="003A4297"/>
    <w:rsid w:val="003A6256"/>
    <w:rsid w:val="003C395B"/>
    <w:rsid w:val="003E0CBA"/>
    <w:rsid w:val="003E14C6"/>
    <w:rsid w:val="003E77DF"/>
    <w:rsid w:val="003F0F59"/>
    <w:rsid w:val="00431C79"/>
    <w:rsid w:val="00435B00"/>
    <w:rsid w:val="00436A57"/>
    <w:rsid w:val="0043729C"/>
    <w:rsid w:val="0043780A"/>
    <w:rsid w:val="004645FD"/>
    <w:rsid w:val="00466B4D"/>
    <w:rsid w:val="00466D0A"/>
    <w:rsid w:val="00474534"/>
    <w:rsid w:val="00494B95"/>
    <w:rsid w:val="004B0465"/>
    <w:rsid w:val="004C1045"/>
    <w:rsid w:val="004E5E0F"/>
    <w:rsid w:val="004F5400"/>
    <w:rsid w:val="0050521C"/>
    <w:rsid w:val="0051026E"/>
    <w:rsid w:val="00512C3C"/>
    <w:rsid w:val="0051380A"/>
    <w:rsid w:val="00514193"/>
    <w:rsid w:val="00522EB2"/>
    <w:rsid w:val="00530669"/>
    <w:rsid w:val="00536E97"/>
    <w:rsid w:val="00544D93"/>
    <w:rsid w:val="005468CA"/>
    <w:rsid w:val="00546FDA"/>
    <w:rsid w:val="00552863"/>
    <w:rsid w:val="005559C1"/>
    <w:rsid w:val="00560A85"/>
    <w:rsid w:val="00563FE5"/>
    <w:rsid w:val="00574CED"/>
    <w:rsid w:val="005937A3"/>
    <w:rsid w:val="005A15C5"/>
    <w:rsid w:val="005A2BE0"/>
    <w:rsid w:val="005B043F"/>
    <w:rsid w:val="005B6891"/>
    <w:rsid w:val="005D0D54"/>
    <w:rsid w:val="005D4DA8"/>
    <w:rsid w:val="005F2937"/>
    <w:rsid w:val="005F44A6"/>
    <w:rsid w:val="005F5927"/>
    <w:rsid w:val="005F7241"/>
    <w:rsid w:val="006236DD"/>
    <w:rsid w:val="00630C3A"/>
    <w:rsid w:val="00636796"/>
    <w:rsid w:val="00646CF8"/>
    <w:rsid w:val="006517DD"/>
    <w:rsid w:val="00657B69"/>
    <w:rsid w:val="006654A8"/>
    <w:rsid w:val="00671351"/>
    <w:rsid w:val="006768F2"/>
    <w:rsid w:val="00681F81"/>
    <w:rsid w:val="00682ECE"/>
    <w:rsid w:val="00694542"/>
    <w:rsid w:val="00696966"/>
    <w:rsid w:val="006A2A0E"/>
    <w:rsid w:val="006A54CC"/>
    <w:rsid w:val="006A701D"/>
    <w:rsid w:val="006B3660"/>
    <w:rsid w:val="006B4D2A"/>
    <w:rsid w:val="006B5913"/>
    <w:rsid w:val="006C033E"/>
    <w:rsid w:val="006D0E68"/>
    <w:rsid w:val="006D131C"/>
    <w:rsid w:val="006E07D7"/>
    <w:rsid w:val="006E498C"/>
    <w:rsid w:val="006E55BB"/>
    <w:rsid w:val="006F106F"/>
    <w:rsid w:val="006F3F4A"/>
    <w:rsid w:val="006F4C92"/>
    <w:rsid w:val="00701F14"/>
    <w:rsid w:val="00705F53"/>
    <w:rsid w:val="00724BDB"/>
    <w:rsid w:val="00724EF0"/>
    <w:rsid w:val="00734FFF"/>
    <w:rsid w:val="007410E9"/>
    <w:rsid w:val="00747206"/>
    <w:rsid w:val="00751314"/>
    <w:rsid w:val="0075270C"/>
    <w:rsid w:val="007668B3"/>
    <w:rsid w:val="00771F3D"/>
    <w:rsid w:val="007738BE"/>
    <w:rsid w:val="0078038E"/>
    <w:rsid w:val="0078195B"/>
    <w:rsid w:val="00794E5D"/>
    <w:rsid w:val="007A1DFB"/>
    <w:rsid w:val="007A43D2"/>
    <w:rsid w:val="007C0E10"/>
    <w:rsid w:val="007C3AFB"/>
    <w:rsid w:val="007C3F70"/>
    <w:rsid w:val="007E071B"/>
    <w:rsid w:val="007F26DC"/>
    <w:rsid w:val="007F5800"/>
    <w:rsid w:val="00805E14"/>
    <w:rsid w:val="0081109B"/>
    <w:rsid w:val="00812455"/>
    <w:rsid w:val="00817831"/>
    <w:rsid w:val="0083132E"/>
    <w:rsid w:val="00842757"/>
    <w:rsid w:val="00843594"/>
    <w:rsid w:val="008454D7"/>
    <w:rsid w:val="00850EDF"/>
    <w:rsid w:val="00861FAC"/>
    <w:rsid w:val="00864112"/>
    <w:rsid w:val="00877016"/>
    <w:rsid w:val="008869F6"/>
    <w:rsid w:val="00890118"/>
    <w:rsid w:val="0089544F"/>
    <w:rsid w:val="008A7436"/>
    <w:rsid w:val="008B3E80"/>
    <w:rsid w:val="008B3F02"/>
    <w:rsid w:val="008C6DDE"/>
    <w:rsid w:val="008D0858"/>
    <w:rsid w:val="008D3432"/>
    <w:rsid w:val="008E1B8B"/>
    <w:rsid w:val="008F02CA"/>
    <w:rsid w:val="008F78B6"/>
    <w:rsid w:val="00905E95"/>
    <w:rsid w:val="009060D3"/>
    <w:rsid w:val="00906EE6"/>
    <w:rsid w:val="00910AFA"/>
    <w:rsid w:val="0091751D"/>
    <w:rsid w:val="00925A2E"/>
    <w:rsid w:val="00937747"/>
    <w:rsid w:val="00947024"/>
    <w:rsid w:val="0095545A"/>
    <w:rsid w:val="009624CA"/>
    <w:rsid w:val="009632A4"/>
    <w:rsid w:val="0096633E"/>
    <w:rsid w:val="00972B44"/>
    <w:rsid w:val="009867BE"/>
    <w:rsid w:val="009A3428"/>
    <w:rsid w:val="009A5D6E"/>
    <w:rsid w:val="009B2E3F"/>
    <w:rsid w:val="009C47AE"/>
    <w:rsid w:val="009C52C1"/>
    <w:rsid w:val="009C5E6A"/>
    <w:rsid w:val="009D041B"/>
    <w:rsid w:val="009D7634"/>
    <w:rsid w:val="009E45E2"/>
    <w:rsid w:val="009E7567"/>
    <w:rsid w:val="009F0271"/>
    <w:rsid w:val="009F570A"/>
    <w:rsid w:val="00A0068A"/>
    <w:rsid w:val="00A02FC3"/>
    <w:rsid w:val="00A03462"/>
    <w:rsid w:val="00A06A56"/>
    <w:rsid w:val="00A10EB4"/>
    <w:rsid w:val="00A273BB"/>
    <w:rsid w:val="00A27AA9"/>
    <w:rsid w:val="00A31A07"/>
    <w:rsid w:val="00A3704F"/>
    <w:rsid w:val="00A443D6"/>
    <w:rsid w:val="00A5285A"/>
    <w:rsid w:val="00A978A9"/>
    <w:rsid w:val="00A97969"/>
    <w:rsid w:val="00AA23B3"/>
    <w:rsid w:val="00AA3C60"/>
    <w:rsid w:val="00AB7498"/>
    <w:rsid w:val="00AC25C3"/>
    <w:rsid w:val="00AD14D5"/>
    <w:rsid w:val="00AD4B54"/>
    <w:rsid w:val="00AE630E"/>
    <w:rsid w:val="00AF6647"/>
    <w:rsid w:val="00B045E0"/>
    <w:rsid w:val="00B04855"/>
    <w:rsid w:val="00B04E4A"/>
    <w:rsid w:val="00B07526"/>
    <w:rsid w:val="00B108F6"/>
    <w:rsid w:val="00B1463A"/>
    <w:rsid w:val="00B16277"/>
    <w:rsid w:val="00B20F2B"/>
    <w:rsid w:val="00B23948"/>
    <w:rsid w:val="00B33243"/>
    <w:rsid w:val="00B409C1"/>
    <w:rsid w:val="00B46CD7"/>
    <w:rsid w:val="00B47B68"/>
    <w:rsid w:val="00B52FA6"/>
    <w:rsid w:val="00B532D6"/>
    <w:rsid w:val="00B62EAD"/>
    <w:rsid w:val="00B65A89"/>
    <w:rsid w:val="00B71373"/>
    <w:rsid w:val="00B74FD1"/>
    <w:rsid w:val="00B876DF"/>
    <w:rsid w:val="00B928B4"/>
    <w:rsid w:val="00BA4495"/>
    <w:rsid w:val="00BA62BF"/>
    <w:rsid w:val="00BB3104"/>
    <w:rsid w:val="00BB3251"/>
    <w:rsid w:val="00BC10EE"/>
    <w:rsid w:val="00BC7900"/>
    <w:rsid w:val="00BD488E"/>
    <w:rsid w:val="00BD6805"/>
    <w:rsid w:val="00BE2C9E"/>
    <w:rsid w:val="00C00C8D"/>
    <w:rsid w:val="00C06A45"/>
    <w:rsid w:val="00C12A8F"/>
    <w:rsid w:val="00C1654A"/>
    <w:rsid w:val="00C2032A"/>
    <w:rsid w:val="00C3032B"/>
    <w:rsid w:val="00C4052D"/>
    <w:rsid w:val="00C41870"/>
    <w:rsid w:val="00C609DF"/>
    <w:rsid w:val="00C61A03"/>
    <w:rsid w:val="00C66EEA"/>
    <w:rsid w:val="00C716DC"/>
    <w:rsid w:val="00C7656E"/>
    <w:rsid w:val="00C771CF"/>
    <w:rsid w:val="00C8186B"/>
    <w:rsid w:val="00C850AE"/>
    <w:rsid w:val="00C8680D"/>
    <w:rsid w:val="00C86B0F"/>
    <w:rsid w:val="00CB724A"/>
    <w:rsid w:val="00CC4E55"/>
    <w:rsid w:val="00CD2A54"/>
    <w:rsid w:val="00CD40D8"/>
    <w:rsid w:val="00CD52F1"/>
    <w:rsid w:val="00CE0738"/>
    <w:rsid w:val="00CE7D19"/>
    <w:rsid w:val="00CF22BB"/>
    <w:rsid w:val="00CF2D43"/>
    <w:rsid w:val="00D05C13"/>
    <w:rsid w:val="00D144CA"/>
    <w:rsid w:val="00D17E7E"/>
    <w:rsid w:val="00D2193F"/>
    <w:rsid w:val="00D27273"/>
    <w:rsid w:val="00D31164"/>
    <w:rsid w:val="00D4344C"/>
    <w:rsid w:val="00D679C4"/>
    <w:rsid w:val="00D7744F"/>
    <w:rsid w:val="00D851BD"/>
    <w:rsid w:val="00D86783"/>
    <w:rsid w:val="00D87DF2"/>
    <w:rsid w:val="00D90C99"/>
    <w:rsid w:val="00D9261C"/>
    <w:rsid w:val="00DA2AED"/>
    <w:rsid w:val="00DA6289"/>
    <w:rsid w:val="00DB6614"/>
    <w:rsid w:val="00DC0F45"/>
    <w:rsid w:val="00DC1565"/>
    <w:rsid w:val="00DD6B8A"/>
    <w:rsid w:val="00E01862"/>
    <w:rsid w:val="00E03AD8"/>
    <w:rsid w:val="00E03B51"/>
    <w:rsid w:val="00E05150"/>
    <w:rsid w:val="00E075C6"/>
    <w:rsid w:val="00E10BB0"/>
    <w:rsid w:val="00E13151"/>
    <w:rsid w:val="00E133A8"/>
    <w:rsid w:val="00E1376C"/>
    <w:rsid w:val="00E14B2E"/>
    <w:rsid w:val="00E156EF"/>
    <w:rsid w:val="00E2128F"/>
    <w:rsid w:val="00E2529A"/>
    <w:rsid w:val="00E356D0"/>
    <w:rsid w:val="00E42614"/>
    <w:rsid w:val="00E42BAC"/>
    <w:rsid w:val="00E4588C"/>
    <w:rsid w:val="00E52DFA"/>
    <w:rsid w:val="00E60BE7"/>
    <w:rsid w:val="00E6143A"/>
    <w:rsid w:val="00E61F07"/>
    <w:rsid w:val="00E94D36"/>
    <w:rsid w:val="00EA187A"/>
    <w:rsid w:val="00EA23A2"/>
    <w:rsid w:val="00EA32F3"/>
    <w:rsid w:val="00EB23C5"/>
    <w:rsid w:val="00EB438A"/>
    <w:rsid w:val="00ED6A4A"/>
    <w:rsid w:val="00EE37C7"/>
    <w:rsid w:val="00EE7749"/>
    <w:rsid w:val="00EF3CB8"/>
    <w:rsid w:val="00EF5A2D"/>
    <w:rsid w:val="00F01EA2"/>
    <w:rsid w:val="00F22312"/>
    <w:rsid w:val="00F2659C"/>
    <w:rsid w:val="00F270DC"/>
    <w:rsid w:val="00F37BE1"/>
    <w:rsid w:val="00F40A1A"/>
    <w:rsid w:val="00F40BA4"/>
    <w:rsid w:val="00F43923"/>
    <w:rsid w:val="00F57C53"/>
    <w:rsid w:val="00F57D3E"/>
    <w:rsid w:val="00F7546F"/>
    <w:rsid w:val="00F848C3"/>
    <w:rsid w:val="00F90DC2"/>
    <w:rsid w:val="00F943C6"/>
    <w:rsid w:val="00F94BF5"/>
    <w:rsid w:val="00F95629"/>
    <w:rsid w:val="00F972CE"/>
    <w:rsid w:val="00FA1416"/>
    <w:rsid w:val="00FC06E9"/>
    <w:rsid w:val="00FC5B58"/>
    <w:rsid w:val="00FF10F0"/>
    <w:rsid w:val="01022CBF"/>
    <w:rsid w:val="010334E9"/>
    <w:rsid w:val="012E43E9"/>
    <w:rsid w:val="01535DF0"/>
    <w:rsid w:val="01542E14"/>
    <w:rsid w:val="016267F1"/>
    <w:rsid w:val="017243AA"/>
    <w:rsid w:val="017831C0"/>
    <w:rsid w:val="01896040"/>
    <w:rsid w:val="01A66579"/>
    <w:rsid w:val="01B9054A"/>
    <w:rsid w:val="01BA45CE"/>
    <w:rsid w:val="01BE6236"/>
    <w:rsid w:val="01DE27A4"/>
    <w:rsid w:val="0218519C"/>
    <w:rsid w:val="0279001F"/>
    <w:rsid w:val="027927F9"/>
    <w:rsid w:val="029B283E"/>
    <w:rsid w:val="02CB006D"/>
    <w:rsid w:val="02CB78FC"/>
    <w:rsid w:val="02D71235"/>
    <w:rsid w:val="02F53F54"/>
    <w:rsid w:val="03017880"/>
    <w:rsid w:val="034A4268"/>
    <w:rsid w:val="03514B3A"/>
    <w:rsid w:val="037D1784"/>
    <w:rsid w:val="0380054B"/>
    <w:rsid w:val="038F3D02"/>
    <w:rsid w:val="03A5183B"/>
    <w:rsid w:val="03B75ADA"/>
    <w:rsid w:val="03E119C8"/>
    <w:rsid w:val="04066B08"/>
    <w:rsid w:val="041517B8"/>
    <w:rsid w:val="04160FA4"/>
    <w:rsid w:val="0423183C"/>
    <w:rsid w:val="04312E8A"/>
    <w:rsid w:val="044104BA"/>
    <w:rsid w:val="045C1786"/>
    <w:rsid w:val="04755A29"/>
    <w:rsid w:val="048C5F06"/>
    <w:rsid w:val="04A369E9"/>
    <w:rsid w:val="04A90CC7"/>
    <w:rsid w:val="04AA5B55"/>
    <w:rsid w:val="04FD2C5E"/>
    <w:rsid w:val="050E2443"/>
    <w:rsid w:val="051C44EC"/>
    <w:rsid w:val="052164C5"/>
    <w:rsid w:val="054B129C"/>
    <w:rsid w:val="055D06CB"/>
    <w:rsid w:val="05833D36"/>
    <w:rsid w:val="05E80B46"/>
    <w:rsid w:val="05F402A7"/>
    <w:rsid w:val="05F947DB"/>
    <w:rsid w:val="06180855"/>
    <w:rsid w:val="061D56A7"/>
    <w:rsid w:val="06515BD4"/>
    <w:rsid w:val="06600936"/>
    <w:rsid w:val="068257C4"/>
    <w:rsid w:val="06A80B13"/>
    <w:rsid w:val="06CD4BF5"/>
    <w:rsid w:val="070E6F0A"/>
    <w:rsid w:val="071260F6"/>
    <w:rsid w:val="07315951"/>
    <w:rsid w:val="073809EE"/>
    <w:rsid w:val="07D01F1D"/>
    <w:rsid w:val="07F279ED"/>
    <w:rsid w:val="07F51B1A"/>
    <w:rsid w:val="08086FE2"/>
    <w:rsid w:val="080D0E0E"/>
    <w:rsid w:val="0811776A"/>
    <w:rsid w:val="08161F82"/>
    <w:rsid w:val="08410DC3"/>
    <w:rsid w:val="0843008C"/>
    <w:rsid w:val="086E68B0"/>
    <w:rsid w:val="087018BA"/>
    <w:rsid w:val="08780927"/>
    <w:rsid w:val="087E5374"/>
    <w:rsid w:val="089C6193"/>
    <w:rsid w:val="089C65B7"/>
    <w:rsid w:val="08B254FE"/>
    <w:rsid w:val="08BB22B3"/>
    <w:rsid w:val="08C50E35"/>
    <w:rsid w:val="08EA0C47"/>
    <w:rsid w:val="08EC2688"/>
    <w:rsid w:val="090A0160"/>
    <w:rsid w:val="094B47C3"/>
    <w:rsid w:val="0950315E"/>
    <w:rsid w:val="09811534"/>
    <w:rsid w:val="098267D7"/>
    <w:rsid w:val="09886C8C"/>
    <w:rsid w:val="099D7751"/>
    <w:rsid w:val="09A21B48"/>
    <w:rsid w:val="09A5054A"/>
    <w:rsid w:val="09A95DFE"/>
    <w:rsid w:val="09B609D3"/>
    <w:rsid w:val="09C564B7"/>
    <w:rsid w:val="09D32092"/>
    <w:rsid w:val="09D936CF"/>
    <w:rsid w:val="0A294675"/>
    <w:rsid w:val="0A4572A9"/>
    <w:rsid w:val="0A5F5E86"/>
    <w:rsid w:val="0A655F70"/>
    <w:rsid w:val="0A6A7756"/>
    <w:rsid w:val="0A6C4DA2"/>
    <w:rsid w:val="0A757892"/>
    <w:rsid w:val="0A784E61"/>
    <w:rsid w:val="0AB61038"/>
    <w:rsid w:val="0AB76103"/>
    <w:rsid w:val="0ABC0A37"/>
    <w:rsid w:val="0AC11D50"/>
    <w:rsid w:val="0AE63B51"/>
    <w:rsid w:val="0AE927F8"/>
    <w:rsid w:val="0AFE2903"/>
    <w:rsid w:val="0B48442B"/>
    <w:rsid w:val="0B5003C3"/>
    <w:rsid w:val="0B6667CE"/>
    <w:rsid w:val="0B743AD7"/>
    <w:rsid w:val="0B91696A"/>
    <w:rsid w:val="0B965717"/>
    <w:rsid w:val="0BA61D97"/>
    <w:rsid w:val="0BA8237A"/>
    <w:rsid w:val="0BB017D9"/>
    <w:rsid w:val="0BCD5595"/>
    <w:rsid w:val="0BCE4923"/>
    <w:rsid w:val="0BD113BA"/>
    <w:rsid w:val="0BE14F46"/>
    <w:rsid w:val="0BF521DF"/>
    <w:rsid w:val="0C140D31"/>
    <w:rsid w:val="0C1F67B0"/>
    <w:rsid w:val="0C2C1A97"/>
    <w:rsid w:val="0C301423"/>
    <w:rsid w:val="0C3B4533"/>
    <w:rsid w:val="0C6E5A3E"/>
    <w:rsid w:val="0C706E55"/>
    <w:rsid w:val="0C880FEC"/>
    <w:rsid w:val="0C8F12C2"/>
    <w:rsid w:val="0CD12A16"/>
    <w:rsid w:val="0CD225D9"/>
    <w:rsid w:val="0CDE644A"/>
    <w:rsid w:val="0CFC3D22"/>
    <w:rsid w:val="0D1352A3"/>
    <w:rsid w:val="0D367AED"/>
    <w:rsid w:val="0D39576D"/>
    <w:rsid w:val="0D3F593B"/>
    <w:rsid w:val="0D422131"/>
    <w:rsid w:val="0D44328D"/>
    <w:rsid w:val="0D52344D"/>
    <w:rsid w:val="0D672436"/>
    <w:rsid w:val="0D690931"/>
    <w:rsid w:val="0D7B362A"/>
    <w:rsid w:val="0D8821A8"/>
    <w:rsid w:val="0D8B4EF9"/>
    <w:rsid w:val="0DAC5F66"/>
    <w:rsid w:val="0DB468E8"/>
    <w:rsid w:val="0DB76A89"/>
    <w:rsid w:val="0DD02F59"/>
    <w:rsid w:val="0DD35B8F"/>
    <w:rsid w:val="0DD86F6C"/>
    <w:rsid w:val="0DF17B4E"/>
    <w:rsid w:val="0E0928C3"/>
    <w:rsid w:val="0E8257D1"/>
    <w:rsid w:val="0EA60079"/>
    <w:rsid w:val="0EB340F3"/>
    <w:rsid w:val="0EC1141D"/>
    <w:rsid w:val="0ECE6DA2"/>
    <w:rsid w:val="0EE52CAC"/>
    <w:rsid w:val="0EEE5BD2"/>
    <w:rsid w:val="0F033269"/>
    <w:rsid w:val="0F1F1AB4"/>
    <w:rsid w:val="0F64366C"/>
    <w:rsid w:val="0F7F5D5D"/>
    <w:rsid w:val="0F834989"/>
    <w:rsid w:val="0F8570D6"/>
    <w:rsid w:val="0F8D5927"/>
    <w:rsid w:val="0FB92E54"/>
    <w:rsid w:val="0FBD40BC"/>
    <w:rsid w:val="0FCC0A65"/>
    <w:rsid w:val="0FFE3257"/>
    <w:rsid w:val="10112552"/>
    <w:rsid w:val="10344B31"/>
    <w:rsid w:val="10637D9C"/>
    <w:rsid w:val="107C7819"/>
    <w:rsid w:val="1087536A"/>
    <w:rsid w:val="1091477E"/>
    <w:rsid w:val="10A5669E"/>
    <w:rsid w:val="10B94FF8"/>
    <w:rsid w:val="10D920A1"/>
    <w:rsid w:val="11005487"/>
    <w:rsid w:val="11063FC6"/>
    <w:rsid w:val="11435DFD"/>
    <w:rsid w:val="11487A54"/>
    <w:rsid w:val="116E7296"/>
    <w:rsid w:val="11A03164"/>
    <w:rsid w:val="11B55719"/>
    <w:rsid w:val="11F04F3B"/>
    <w:rsid w:val="11FA7425"/>
    <w:rsid w:val="12093A40"/>
    <w:rsid w:val="120F2EA0"/>
    <w:rsid w:val="12175C71"/>
    <w:rsid w:val="121A02E4"/>
    <w:rsid w:val="121A1481"/>
    <w:rsid w:val="125A7678"/>
    <w:rsid w:val="125B01AE"/>
    <w:rsid w:val="126A560C"/>
    <w:rsid w:val="127B73F9"/>
    <w:rsid w:val="1281608E"/>
    <w:rsid w:val="128343BB"/>
    <w:rsid w:val="12844D7A"/>
    <w:rsid w:val="1292662B"/>
    <w:rsid w:val="12D27EE0"/>
    <w:rsid w:val="12E646A6"/>
    <w:rsid w:val="130276B5"/>
    <w:rsid w:val="131721C0"/>
    <w:rsid w:val="13181508"/>
    <w:rsid w:val="132A751D"/>
    <w:rsid w:val="134C115B"/>
    <w:rsid w:val="135914FF"/>
    <w:rsid w:val="13696D34"/>
    <w:rsid w:val="13997B3F"/>
    <w:rsid w:val="13AB1450"/>
    <w:rsid w:val="13C64F1C"/>
    <w:rsid w:val="13D05CAF"/>
    <w:rsid w:val="13F17881"/>
    <w:rsid w:val="13FE5F34"/>
    <w:rsid w:val="1406023E"/>
    <w:rsid w:val="141E6E63"/>
    <w:rsid w:val="144E61EC"/>
    <w:rsid w:val="146D1634"/>
    <w:rsid w:val="14796A64"/>
    <w:rsid w:val="14801CA8"/>
    <w:rsid w:val="14A323F7"/>
    <w:rsid w:val="14AA7C8D"/>
    <w:rsid w:val="14B82779"/>
    <w:rsid w:val="14BE1310"/>
    <w:rsid w:val="14ED1421"/>
    <w:rsid w:val="15001F3C"/>
    <w:rsid w:val="150A212E"/>
    <w:rsid w:val="154537E5"/>
    <w:rsid w:val="155133DE"/>
    <w:rsid w:val="15A2786E"/>
    <w:rsid w:val="15D554D4"/>
    <w:rsid w:val="15E03DCC"/>
    <w:rsid w:val="162265A1"/>
    <w:rsid w:val="16241B0E"/>
    <w:rsid w:val="163F09A6"/>
    <w:rsid w:val="1652230F"/>
    <w:rsid w:val="166A7DDC"/>
    <w:rsid w:val="16821A8B"/>
    <w:rsid w:val="16857FC7"/>
    <w:rsid w:val="16911AD1"/>
    <w:rsid w:val="16AD2F24"/>
    <w:rsid w:val="16C117CA"/>
    <w:rsid w:val="16E40594"/>
    <w:rsid w:val="170572C0"/>
    <w:rsid w:val="17071CC3"/>
    <w:rsid w:val="17460BD2"/>
    <w:rsid w:val="175D4618"/>
    <w:rsid w:val="17765FE9"/>
    <w:rsid w:val="178B4975"/>
    <w:rsid w:val="178C01FE"/>
    <w:rsid w:val="17947B62"/>
    <w:rsid w:val="179D0B91"/>
    <w:rsid w:val="17C57164"/>
    <w:rsid w:val="17E1613A"/>
    <w:rsid w:val="17E83060"/>
    <w:rsid w:val="17FD0973"/>
    <w:rsid w:val="17FE3F20"/>
    <w:rsid w:val="18004A72"/>
    <w:rsid w:val="182B08ED"/>
    <w:rsid w:val="183B497F"/>
    <w:rsid w:val="18583C04"/>
    <w:rsid w:val="189841A5"/>
    <w:rsid w:val="18D7197F"/>
    <w:rsid w:val="1952141F"/>
    <w:rsid w:val="197B17EE"/>
    <w:rsid w:val="197E776E"/>
    <w:rsid w:val="19A914BB"/>
    <w:rsid w:val="19C84226"/>
    <w:rsid w:val="19DD0116"/>
    <w:rsid w:val="19DF509A"/>
    <w:rsid w:val="19EC05B9"/>
    <w:rsid w:val="19FF6C3B"/>
    <w:rsid w:val="1A092261"/>
    <w:rsid w:val="1A1B147A"/>
    <w:rsid w:val="1A220D3A"/>
    <w:rsid w:val="1A295F20"/>
    <w:rsid w:val="1A3A126F"/>
    <w:rsid w:val="1A493D16"/>
    <w:rsid w:val="1A4C4EDC"/>
    <w:rsid w:val="1A863AC2"/>
    <w:rsid w:val="1AFC138A"/>
    <w:rsid w:val="1B1514BA"/>
    <w:rsid w:val="1B1E752F"/>
    <w:rsid w:val="1B5600B0"/>
    <w:rsid w:val="1B7446B6"/>
    <w:rsid w:val="1B7F0868"/>
    <w:rsid w:val="1B872A58"/>
    <w:rsid w:val="1BB4220D"/>
    <w:rsid w:val="1BBC1B18"/>
    <w:rsid w:val="1BC17E31"/>
    <w:rsid w:val="1BCB55B2"/>
    <w:rsid w:val="1C0A385C"/>
    <w:rsid w:val="1C1634AB"/>
    <w:rsid w:val="1C250DCC"/>
    <w:rsid w:val="1C57682D"/>
    <w:rsid w:val="1C6B47B6"/>
    <w:rsid w:val="1CA13A4C"/>
    <w:rsid w:val="1CA15B10"/>
    <w:rsid w:val="1CCE4D3A"/>
    <w:rsid w:val="1D156950"/>
    <w:rsid w:val="1D1A257A"/>
    <w:rsid w:val="1D282DA8"/>
    <w:rsid w:val="1D2C7158"/>
    <w:rsid w:val="1D2E0387"/>
    <w:rsid w:val="1D6F2035"/>
    <w:rsid w:val="1D7540DB"/>
    <w:rsid w:val="1DE55BFF"/>
    <w:rsid w:val="1E34203F"/>
    <w:rsid w:val="1E3D3C31"/>
    <w:rsid w:val="1E6C11E0"/>
    <w:rsid w:val="1E6F38AE"/>
    <w:rsid w:val="1E916869"/>
    <w:rsid w:val="1EBD7C8E"/>
    <w:rsid w:val="1EC51FD5"/>
    <w:rsid w:val="1EDB3B13"/>
    <w:rsid w:val="1EE151B0"/>
    <w:rsid w:val="1EF37996"/>
    <w:rsid w:val="1F0E12B7"/>
    <w:rsid w:val="1F137111"/>
    <w:rsid w:val="1F173629"/>
    <w:rsid w:val="1F625E09"/>
    <w:rsid w:val="1F655682"/>
    <w:rsid w:val="1F705FDF"/>
    <w:rsid w:val="1F726C45"/>
    <w:rsid w:val="1F727F4C"/>
    <w:rsid w:val="1F932044"/>
    <w:rsid w:val="1F9F59A2"/>
    <w:rsid w:val="1FF7562B"/>
    <w:rsid w:val="20084783"/>
    <w:rsid w:val="20111502"/>
    <w:rsid w:val="20115314"/>
    <w:rsid w:val="201D4A2F"/>
    <w:rsid w:val="203C083F"/>
    <w:rsid w:val="2041044D"/>
    <w:rsid w:val="20456022"/>
    <w:rsid w:val="204578DD"/>
    <w:rsid w:val="20670636"/>
    <w:rsid w:val="20697526"/>
    <w:rsid w:val="20750F83"/>
    <w:rsid w:val="20780060"/>
    <w:rsid w:val="20916003"/>
    <w:rsid w:val="20D10334"/>
    <w:rsid w:val="20E14D16"/>
    <w:rsid w:val="20FE2F2F"/>
    <w:rsid w:val="212854EA"/>
    <w:rsid w:val="212D0AA5"/>
    <w:rsid w:val="2181503C"/>
    <w:rsid w:val="218F09F8"/>
    <w:rsid w:val="21987C72"/>
    <w:rsid w:val="21AB7802"/>
    <w:rsid w:val="21F42C57"/>
    <w:rsid w:val="22040F55"/>
    <w:rsid w:val="223533B7"/>
    <w:rsid w:val="22596671"/>
    <w:rsid w:val="227146B4"/>
    <w:rsid w:val="22864044"/>
    <w:rsid w:val="228C4CCB"/>
    <w:rsid w:val="22BE66C5"/>
    <w:rsid w:val="22BF46D8"/>
    <w:rsid w:val="22C03C35"/>
    <w:rsid w:val="22D14FD2"/>
    <w:rsid w:val="22DA7620"/>
    <w:rsid w:val="23081D89"/>
    <w:rsid w:val="230B4FD1"/>
    <w:rsid w:val="23184094"/>
    <w:rsid w:val="231F3C48"/>
    <w:rsid w:val="23326AB0"/>
    <w:rsid w:val="23505E8A"/>
    <w:rsid w:val="2377794B"/>
    <w:rsid w:val="23BD6D20"/>
    <w:rsid w:val="23C23D54"/>
    <w:rsid w:val="23F40BBE"/>
    <w:rsid w:val="23F70262"/>
    <w:rsid w:val="244A661F"/>
    <w:rsid w:val="24585514"/>
    <w:rsid w:val="245F0A02"/>
    <w:rsid w:val="24731FB4"/>
    <w:rsid w:val="24782007"/>
    <w:rsid w:val="247F24C6"/>
    <w:rsid w:val="249425B2"/>
    <w:rsid w:val="24956450"/>
    <w:rsid w:val="24B21913"/>
    <w:rsid w:val="24DB29B1"/>
    <w:rsid w:val="250343CF"/>
    <w:rsid w:val="251C76AB"/>
    <w:rsid w:val="251F130C"/>
    <w:rsid w:val="252226F2"/>
    <w:rsid w:val="255561FA"/>
    <w:rsid w:val="255F77FD"/>
    <w:rsid w:val="256603E4"/>
    <w:rsid w:val="259A4BBC"/>
    <w:rsid w:val="25CF166A"/>
    <w:rsid w:val="25ED50F4"/>
    <w:rsid w:val="25F47BFA"/>
    <w:rsid w:val="260176D4"/>
    <w:rsid w:val="262513DE"/>
    <w:rsid w:val="26287DC8"/>
    <w:rsid w:val="263951DF"/>
    <w:rsid w:val="264A23FC"/>
    <w:rsid w:val="265421FF"/>
    <w:rsid w:val="26573844"/>
    <w:rsid w:val="2671199A"/>
    <w:rsid w:val="267E76AD"/>
    <w:rsid w:val="26FC2992"/>
    <w:rsid w:val="272D3591"/>
    <w:rsid w:val="27353579"/>
    <w:rsid w:val="27552DBD"/>
    <w:rsid w:val="277238E5"/>
    <w:rsid w:val="277269FF"/>
    <w:rsid w:val="278777BB"/>
    <w:rsid w:val="279357F5"/>
    <w:rsid w:val="27974458"/>
    <w:rsid w:val="27A56752"/>
    <w:rsid w:val="27B40CDF"/>
    <w:rsid w:val="27B86DBB"/>
    <w:rsid w:val="27BB1F08"/>
    <w:rsid w:val="27C13B65"/>
    <w:rsid w:val="27C57456"/>
    <w:rsid w:val="27C74753"/>
    <w:rsid w:val="27D25066"/>
    <w:rsid w:val="28023212"/>
    <w:rsid w:val="28047083"/>
    <w:rsid w:val="280F7DA0"/>
    <w:rsid w:val="28253E12"/>
    <w:rsid w:val="2826552D"/>
    <w:rsid w:val="282A64E9"/>
    <w:rsid w:val="284409AF"/>
    <w:rsid w:val="28473F84"/>
    <w:rsid w:val="284F1EDB"/>
    <w:rsid w:val="28673018"/>
    <w:rsid w:val="2870060C"/>
    <w:rsid w:val="288F0ADC"/>
    <w:rsid w:val="289C00F3"/>
    <w:rsid w:val="28F71E00"/>
    <w:rsid w:val="28F7577B"/>
    <w:rsid w:val="29012F7C"/>
    <w:rsid w:val="291B4380"/>
    <w:rsid w:val="29337FF6"/>
    <w:rsid w:val="29432833"/>
    <w:rsid w:val="294E439B"/>
    <w:rsid w:val="29685152"/>
    <w:rsid w:val="29AB07FD"/>
    <w:rsid w:val="29AB6700"/>
    <w:rsid w:val="29DE764F"/>
    <w:rsid w:val="29FA0BCD"/>
    <w:rsid w:val="2A1C676B"/>
    <w:rsid w:val="2A634EC1"/>
    <w:rsid w:val="2A70209C"/>
    <w:rsid w:val="2A990F3F"/>
    <w:rsid w:val="2A9A3867"/>
    <w:rsid w:val="2AA07D91"/>
    <w:rsid w:val="2AA61F7D"/>
    <w:rsid w:val="2AB37C68"/>
    <w:rsid w:val="2AD339BB"/>
    <w:rsid w:val="2AF54E60"/>
    <w:rsid w:val="2B113EB0"/>
    <w:rsid w:val="2B182187"/>
    <w:rsid w:val="2B276430"/>
    <w:rsid w:val="2B3B4228"/>
    <w:rsid w:val="2B733244"/>
    <w:rsid w:val="2B8141D3"/>
    <w:rsid w:val="2B8B09DA"/>
    <w:rsid w:val="2B8C3C42"/>
    <w:rsid w:val="2B946907"/>
    <w:rsid w:val="2B947BE2"/>
    <w:rsid w:val="2B9E0B4E"/>
    <w:rsid w:val="2B9E3219"/>
    <w:rsid w:val="2BC629B9"/>
    <w:rsid w:val="2BD31B1A"/>
    <w:rsid w:val="2BDB08CD"/>
    <w:rsid w:val="2C110B22"/>
    <w:rsid w:val="2C2804F2"/>
    <w:rsid w:val="2C381F2F"/>
    <w:rsid w:val="2C874323"/>
    <w:rsid w:val="2C982D19"/>
    <w:rsid w:val="2C9A63F2"/>
    <w:rsid w:val="2CA04499"/>
    <w:rsid w:val="2CB01FA8"/>
    <w:rsid w:val="2CC344AD"/>
    <w:rsid w:val="2CE81840"/>
    <w:rsid w:val="2CEE0979"/>
    <w:rsid w:val="2D1A563B"/>
    <w:rsid w:val="2D2A4828"/>
    <w:rsid w:val="2D6D4226"/>
    <w:rsid w:val="2D795F82"/>
    <w:rsid w:val="2DB041A7"/>
    <w:rsid w:val="2E5F7C27"/>
    <w:rsid w:val="2E850CD2"/>
    <w:rsid w:val="2E8A47CE"/>
    <w:rsid w:val="2E97625C"/>
    <w:rsid w:val="2EC25084"/>
    <w:rsid w:val="2ECB5458"/>
    <w:rsid w:val="2EE75399"/>
    <w:rsid w:val="2EFD2D1F"/>
    <w:rsid w:val="2F054E77"/>
    <w:rsid w:val="2F0D3AAC"/>
    <w:rsid w:val="2F2F0A33"/>
    <w:rsid w:val="2F367652"/>
    <w:rsid w:val="2F78740F"/>
    <w:rsid w:val="2FB03B17"/>
    <w:rsid w:val="2FBF59DB"/>
    <w:rsid w:val="2FF3689D"/>
    <w:rsid w:val="301E3E4C"/>
    <w:rsid w:val="301E7DC6"/>
    <w:rsid w:val="30395CD2"/>
    <w:rsid w:val="306C1EF2"/>
    <w:rsid w:val="30872D90"/>
    <w:rsid w:val="309D2509"/>
    <w:rsid w:val="30A72F81"/>
    <w:rsid w:val="30CB387B"/>
    <w:rsid w:val="30E36CD9"/>
    <w:rsid w:val="30FE3EC0"/>
    <w:rsid w:val="310045DD"/>
    <w:rsid w:val="31043437"/>
    <w:rsid w:val="31311D0D"/>
    <w:rsid w:val="313413CD"/>
    <w:rsid w:val="317C4768"/>
    <w:rsid w:val="318142C2"/>
    <w:rsid w:val="319101AF"/>
    <w:rsid w:val="31954BF4"/>
    <w:rsid w:val="319E1A34"/>
    <w:rsid w:val="31A41925"/>
    <w:rsid w:val="31AF5DFD"/>
    <w:rsid w:val="3205276A"/>
    <w:rsid w:val="322F69FC"/>
    <w:rsid w:val="324171ED"/>
    <w:rsid w:val="324B3DDF"/>
    <w:rsid w:val="32566FF2"/>
    <w:rsid w:val="32583CED"/>
    <w:rsid w:val="3281238D"/>
    <w:rsid w:val="32972E5E"/>
    <w:rsid w:val="329C30DC"/>
    <w:rsid w:val="32BB296D"/>
    <w:rsid w:val="32EE1A0E"/>
    <w:rsid w:val="33027AF9"/>
    <w:rsid w:val="3309089B"/>
    <w:rsid w:val="33112F3B"/>
    <w:rsid w:val="332167B0"/>
    <w:rsid w:val="33500CB2"/>
    <w:rsid w:val="335D79E3"/>
    <w:rsid w:val="336711B0"/>
    <w:rsid w:val="33863927"/>
    <w:rsid w:val="339403E2"/>
    <w:rsid w:val="33DA1462"/>
    <w:rsid w:val="33F43809"/>
    <w:rsid w:val="33F54BF5"/>
    <w:rsid w:val="34107CE8"/>
    <w:rsid w:val="3429200D"/>
    <w:rsid w:val="342A7A5B"/>
    <w:rsid w:val="34321A2B"/>
    <w:rsid w:val="344B6878"/>
    <w:rsid w:val="3466591F"/>
    <w:rsid w:val="34665BC1"/>
    <w:rsid w:val="34BE7108"/>
    <w:rsid w:val="34D64548"/>
    <w:rsid w:val="34EA3DFD"/>
    <w:rsid w:val="34F7339C"/>
    <w:rsid w:val="3509103B"/>
    <w:rsid w:val="350A47D4"/>
    <w:rsid w:val="35261788"/>
    <w:rsid w:val="352A07B8"/>
    <w:rsid w:val="357E4ED6"/>
    <w:rsid w:val="3590166E"/>
    <w:rsid w:val="35A55F4B"/>
    <w:rsid w:val="35A765AC"/>
    <w:rsid w:val="35CB101D"/>
    <w:rsid w:val="35D713A6"/>
    <w:rsid w:val="35FF2E79"/>
    <w:rsid w:val="360A6F60"/>
    <w:rsid w:val="365D07B3"/>
    <w:rsid w:val="36942A46"/>
    <w:rsid w:val="369B5495"/>
    <w:rsid w:val="36A1763A"/>
    <w:rsid w:val="36A434C3"/>
    <w:rsid w:val="36AD64FB"/>
    <w:rsid w:val="36F90490"/>
    <w:rsid w:val="37445D21"/>
    <w:rsid w:val="37531414"/>
    <w:rsid w:val="377E78AF"/>
    <w:rsid w:val="37983D2C"/>
    <w:rsid w:val="37A0116D"/>
    <w:rsid w:val="37A53193"/>
    <w:rsid w:val="37CA08CF"/>
    <w:rsid w:val="37E00C13"/>
    <w:rsid w:val="37F965B9"/>
    <w:rsid w:val="382C2D82"/>
    <w:rsid w:val="38385716"/>
    <w:rsid w:val="385E5019"/>
    <w:rsid w:val="38750299"/>
    <w:rsid w:val="38AA7B38"/>
    <w:rsid w:val="38B405DA"/>
    <w:rsid w:val="38B561CC"/>
    <w:rsid w:val="38DC6FD3"/>
    <w:rsid w:val="38EE0E6E"/>
    <w:rsid w:val="38F06306"/>
    <w:rsid w:val="38F3785B"/>
    <w:rsid w:val="39084813"/>
    <w:rsid w:val="3922445D"/>
    <w:rsid w:val="3923705B"/>
    <w:rsid w:val="396A056F"/>
    <w:rsid w:val="398D534B"/>
    <w:rsid w:val="39A5097D"/>
    <w:rsid w:val="39BB23BD"/>
    <w:rsid w:val="39D74F19"/>
    <w:rsid w:val="39E31569"/>
    <w:rsid w:val="39E87FD9"/>
    <w:rsid w:val="39F53776"/>
    <w:rsid w:val="3A023259"/>
    <w:rsid w:val="3A4C48A5"/>
    <w:rsid w:val="3AD048F4"/>
    <w:rsid w:val="3AFD0284"/>
    <w:rsid w:val="3B0C4CFB"/>
    <w:rsid w:val="3B215BE3"/>
    <w:rsid w:val="3B2C0C10"/>
    <w:rsid w:val="3B522324"/>
    <w:rsid w:val="3B626E38"/>
    <w:rsid w:val="3B7F75DE"/>
    <w:rsid w:val="3B9E6181"/>
    <w:rsid w:val="3BA900A3"/>
    <w:rsid w:val="3BB4231C"/>
    <w:rsid w:val="3BC4548E"/>
    <w:rsid w:val="3BE70629"/>
    <w:rsid w:val="3BF92EAF"/>
    <w:rsid w:val="3C695E2C"/>
    <w:rsid w:val="3C9B7C3E"/>
    <w:rsid w:val="3CB6495E"/>
    <w:rsid w:val="3CBE6FC3"/>
    <w:rsid w:val="3CDB1116"/>
    <w:rsid w:val="3D021814"/>
    <w:rsid w:val="3D044875"/>
    <w:rsid w:val="3D0B051D"/>
    <w:rsid w:val="3D3C2C6D"/>
    <w:rsid w:val="3D432A0E"/>
    <w:rsid w:val="3D4F22BB"/>
    <w:rsid w:val="3D4F2906"/>
    <w:rsid w:val="3D672308"/>
    <w:rsid w:val="3D8B6157"/>
    <w:rsid w:val="3DA46844"/>
    <w:rsid w:val="3DA77731"/>
    <w:rsid w:val="3DB30BE8"/>
    <w:rsid w:val="3DFC7B86"/>
    <w:rsid w:val="3E1625B2"/>
    <w:rsid w:val="3E1B7BBE"/>
    <w:rsid w:val="3E1D1F8B"/>
    <w:rsid w:val="3E301952"/>
    <w:rsid w:val="3E380DA9"/>
    <w:rsid w:val="3E92488D"/>
    <w:rsid w:val="3E960038"/>
    <w:rsid w:val="3E9F462A"/>
    <w:rsid w:val="3ECD4FBB"/>
    <w:rsid w:val="3EDB1B67"/>
    <w:rsid w:val="3EEA102D"/>
    <w:rsid w:val="3EF37451"/>
    <w:rsid w:val="3EF51EC7"/>
    <w:rsid w:val="3F106ED4"/>
    <w:rsid w:val="3F2B5D62"/>
    <w:rsid w:val="3F6F4D8E"/>
    <w:rsid w:val="3F942B4F"/>
    <w:rsid w:val="3FA729FF"/>
    <w:rsid w:val="3FAF5CCC"/>
    <w:rsid w:val="3FD741D3"/>
    <w:rsid w:val="3FE1344D"/>
    <w:rsid w:val="3FEB1ADF"/>
    <w:rsid w:val="3FF44324"/>
    <w:rsid w:val="40152EC5"/>
    <w:rsid w:val="40262375"/>
    <w:rsid w:val="403431FB"/>
    <w:rsid w:val="403B5760"/>
    <w:rsid w:val="4068122B"/>
    <w:rsid w:val="40C45434"/>
    <w:rsid w:val="40C829D9"/>
    <w:rsid w:val="40EF6DFF"/>
    <w:rsid w:val="40FD35ED"/>
    <w:rsid w:val="41037996"/>
    <w:rsid w:val="410D5A81"/>
    <w:rsid w:val="411F6119"/>
    <w:rsid w:val="412172A6"/>
    <w:rsid w:val="413B57A4"/>
    <w:rsid w:val="415503F0"/>
    <w:rsid w:val="41652C04"/>
    <w:rsid w:val="419074F7"/>
    <w:rsid w:val="41A36C48"/>
    <w:rsid w:val="41CC7623"/>
    <w:rsid w:val="41D1655F"/>
    <w:rsid w:val="41D478BC"/>
    <w:rsid w:val="41E278EA"/>
    <w:rsid w:val="41EB6D9D"/>
    <w:rsid w:val="41EB747E"/>
    <w:rsid w:val="42040340"/>
    <w:rsid w:val="425556E1"/>
    <w:rsid w:val="42961B3F"/>
    <w:rsid w:val="42AF1418"/>
    <w:rsid w:val="42B006B0"/>
    <w:rsid w:val="42B8647C"/>
    <w:rsid w:val="42F45E96"/>
    <w:rsid w:val="430F3EC5"/>
    <w:rsid w:val="43397B51"/>
    <w:rsid w:val="434B7040"/>
    <w:rsid w:val="4352188A"/>
    <w:rsid w:val="436B0AF7"/>
    <w:rsid w:val="436F2A25"/>
    <w:rsid w:val="437068C4"/>
    <w:rsid w:val="439033AB"/>
    <w:rsid w:val="43985BBB"/>
    <w:rsid w:val="439C7E20"/>
    <w:rsid w:val="439D6E90"/>
    <w:rsid w:val="43A422C4"/>
    <w:rsid w:val="43B93B5A"/>
    <w:rsid w:val="43BB518C"/>
    <w:rsid w:val="43BC727F"/>
    <w:rsid w:val="43BE7C2C"/>
    <w:rsid w:val="43F5184D"/>
    <w:rsid w:val="4401231A"/>
    <w:rsid w:val="4416676B"/>
    <w:rsid w:val="441E593E"/>
    <w:rsid w:val="444C3D46"/>
    <w:rsid w:val="44A83C09"/>
    <w:rsid w:val="44A845B6"/>
    <w:rsid w:val="44B63108"/>
    <w:rsid w:val="44B921D3"/>
    <w:rsid w:val="45342A59"/>
    <w:rsid w:val="453D0FE2"/>
    <w:rsid w:val="45493FD6"/>
    <w:rsid w:val="45562A4C"/>
    <w:rsid w:val="459D4B08"/>
    <w:rsid w:val="45AF57C3"/>
    <w:rsid w:val="45CA0FB7"/>
    <w:rsid w:val="45CA7A05"/>
    <w:rsid w:val="461E7D81"/>
    <w:rsid w:val="464119EA"/>
    <w:rsid w:val="4653658C"/>
    <w:rsid w:val="46650D96"/>
    <w:rsid w:val="469415B6"/>
    <w:rsid w:val="469B0105"/>
    <w:rsid w:val="46A41E27"/>
    <w:rsid w:val="46AE2828"/>
    <w:rsid w:val="46BD6D63"/>
    <w:rsid w:val="46D67DDD"/>
    <w:rsid w:val="46DB0CCE"/>
    <w:rsid w:val="46FF60B5"/>
    <w:rsid w:val="471A06BC"/>
    <w:rsid w:val="472104FD"/>
    <w:rsid w:val="473F43B5"/>
    <w:rsid w:val="47480C3F"/>
    <w:rsid w:val="475D4E05"/>
    <w:rsid w:val="476335C2"/>
    <w:rsid w:val="47692E6B"/>
    <w:rsid w:val="4785766A"/>
    <w:rsid w:val="478873D0"/>
    <w:rsid w:val="479227D3"/>
    <w:rsid w:val="47D12312"/>
    <w:rsid w:val="47E82435"/>
    <w:rsid w:val="47FB30F6"/>
    <w:rsid w:val="48292BE3"/>
    <w:rsid w:val="483614B5"/>
    <w:rsid w:val="483D70ED"/>
    <w:rsid w:val="483E46C6"/>
    <w:rsid w:val="484A7E10"/>
    <w:rsid w:val="485438F2"/>
    <w:rsid w:val="485E2B39"/>
    <w:rsid w:val="486C35C9"/>
    <w:rsid w:val="486E622B"/>
    <w:rsid w:val="48897C9D"/>
    <w:rsid w:val="48A0139A"/>
    <w:rsid w:val="48AD13A6"/>
    <w:rsid w:val="48CD7220"/>
    <w:rsid w:val="48E245C0"/>
    <w:rsid w:val="48E84C60"/>
    <w:rsid w:val="48EC1D23"/>
    <w:rsid w:val="48F45945"/>
    <w:rsid w:val="490F4D52"/>
    <w:rsid w:val="49170191"/>
    <w:rsid w:val="49184D17"/>
    <w:rsid w:val="491A79B9"/>
    <w:rsid w:val="49645D52"/>
    <w:rsid w:val="49CB0D34"/>
    <w:rsid w:val="49ED6B77"/>
    <w:rsid w:val="49F47E74"/>
    <w:rsid w:val="4A0D3BB9"/>
    <w:rsid w:val="4A101555"/>
    <w:rsid w:val="4A2A5DDC"/>
    <w:rsid w:val="4A374BCB"/>
    <w:rsid w:val="4A5C7894"/>
    <w:rsid w:val="4A7241F8"/>
    <w:rsid w:val="4A841A0F"/>
    <w:rsid w:val="4ABD7909"/>
    <w:rsid w:val="4AD344CE"/>
    <w:rsid w:val="4B133AA2"/>
    <w:rsid w:val="4B4F5884"/>
    <w:rsid w:val="4B4F75B0"/>
    <w:rsid w:val="4B776950"/>
    <w:rsid w:val="4BA05E0E"/>
    <w:rsid w:val="4BAF0DA1"/>
    <w:rsid w:val="4BD34520"/>
    <w:rsid w:val="4C260D98"/>
    <w:rsid w:val="4C3D5BA8"/>
    <w:rsid w:val="4C4C305A"/>
    <w:rsid w:val="4C5A28FE"/>
    <w:rsid w:val="4C726CDC"/>
    <w:rsid w:val="4C7C1CA5"/>
    <w:rsid w:val="4CB86B29"/>
    <w:rsid w:val="4CFC3E9A"/>
    <w:rsid w:val="4CFF6CA4"/>
    <w:rsid w:val="4D023D6F"/>
    <w:rsid w:val="4D0D1212"/>
    <w:rsid w:val="4D2D2416"/>
    <w:rsid w:val="4D5B3B12"/>
    <w:rsid w:val="4D7325E9"/>
    <w:rsid w:val="4D7430EC"/>
    <w:rsid w:val="4D792215"/>
    <w:rsid w:val="4D7B35AC"/>
    <w:rsid w:val="4DA4552D"/>
    <w:rsid w:val="4DB94BDA"/>
    <w:rsid w:val="4DD25419"/>
    <w:rsid w:val="4DF94B91"/>
    <w:rsid w:val="4E03496E"/>
    <w:rsid w:val="4E130684"/>
    <w:rsid w:val="4E274BE2"/>
    <w:rsid w:val="4E280A06"/>
    <w:rsid w:val="4E2D3BB0"/>
    <w:rsid w:val="4E2F454C"/>
    <w:rsid w:val="4E3D5621"/>
    <w:rsid w:val="4E5001AF"/>
    <w:rsid w:val="4E6340DC"/>
    <w:rsid w:val="4E747CC4"/>
    <w:rsid w:val="4E7C5FE1"/>
    <w:rsid w:val="4E851468"/>
    <w:rsid w:val="4E897D82"/>
    <w:rsid w:val="4E92468E"/>
    <w:rsid w:val="4EA00B0F"/>
    <w:rsid w:val="4ECE5AFE"/>
    <w:rsid w:val="4EDD28F7"/>
    <w:rsid w:val="4EF436D4"/>
    <w:rsid w:val="4F2B0C9A"/>
    <w:rsid w:val="4F4A6B34"/>
    <w:rsid w:val="4F551567"/>
    <w:rsid w:val="4F5F6CB3"/>
    <w:rsid w:val="4F732B52"/>
    <w:rsid w:val="4F7A48CF"/>
    <w:rsid w:val="4F7A68E5"/>
    <w:rsid w:val="4F7D2B22"/>
    <w:rsid w:val="4FAD1AF6"/>
    <w:rsid w:val="4FAE5396"/>
    <w:rsid w:val="4FB505FB"/>
    <w:rsid w:val="4FB54953"/>
    <w:rsid w:val="4FC6725F"/>
    <w:rsid w:val="4FC9775C"/>
    <w:rsid w:val="4FF21CE1"/>
    <w:rsid w:val="4FF659D9"/>
    <w:rsid w:val="500D09B9"/>
    <w:rsid w:val="50301E29"/>
    <w:rsid w:val="503C627E"/>
    <w:rsid w:val="504A6529"/>
    <w:rsid w:val="50A71A15"/>
    <w:rsid w:val="50C7711B"/>
    <w:rsid w:val="50D2586B"/>
    <w:rsid w:val="51063842"/>
    <w:rsid w:val="511D3860"/>
    <w:rsid w:val="51301BC1"/>
    <w:rsid w:val="517814F1"/>
    <w:rsid w:val="51991FA9"/>
    <w:rsid w:val="51BA2C37"/>
    <w:rsid w:val="51BD6C55"/>
    <w:rsid w:val="51D71DEA"/>
    <w:rsid w:val="5214386D"/>
    <w:rsid w:val="521C7A32"/>
    <w:rsid w:val="526E48A0"/>
    <w:rsid w:val="52781098"/>
    <w:rsid w:val="5283449A"/>
    <w:rsid w:val="52BD0D94"/>
    <w:rsid w:val="52D423AF"/>
    <w:rsid w:val="53191CC7"/>
    <w:rsid w:val="534B418B"/>
    <w:rsid w:val="53614910"/>
    <w:rsid w:val="536E4396"/>
    <w:rsid w:val="53757FC5"/>
    <w:rsid w:val="537B6CA5"/>
    <w:rsid w:val="5387665E"/>
    <w:rsid w:val="53A04BA6"/>
    <w:rsid w:val="53D46B5A"/>
    <w:rsid w:val="53E840CB"/>
    <w:rsid w:val="53ED38A9"/>
    <w:rsid w:val="541D7208"/>
    <w:rsid w:val="543D106C"/>
    <w:rsid w:val="547C51E1"/>
    <w:rsid w:val="547F1052"/>
    <w:rsid w:val="549C1486"/>
    <w:rsid w:val="54AD67FF"/>
    <w:rsid w:val="54DC613A"/>
    <w:rsid w:val="54DE6C2C"/>
    <w:rsid w:val="54E14E0F"/>
    <w:rsid w:val="557504A0"/>
    <w:rsid w:val="557A55E8"/>
    <w:rsid w:val="557E030C"/>
    <w:rsid w:val="55900782"/>
    <w:rsid w:val="55D809C1"/>
    <w:rsid w:val="56163A71"/>
    <w:rsid w:val="562C6296"/>
    <w:rsid w:val="56364FCD"/>
    <w:rsid w:val="563D2C9B"/>
    <w:rsid w:val="56591DCC"/>
    <w:rsid w:val="568B09F0"/>
    <w:rsid w:val="56912878"/>
    <w:rsid w:val="56A610BA"/>
    <w:rsid w:val="56D43457"/>
    <w:rsid w:val="56DE5CA6"/>
    <w:rsid w:val="56FB6872"/>
    <w:rsid w:val="571032B5"/>
    <w:rsid w:val="57120F74"/>
    <w:rsid w:val="572C51AF"/>
    <w:rsid w:val="57340DF9"/>
    <w:rsid w:val="573D0DFC"/>
    <w:rsid w:val="57533635"/>
    <w:rsid w:val="576A64B4"/>
    <w:rsid w:val="577E7E85"/>
    <w:rsid w:val="579D4D2A"/>
    <w:rsid w:val="57D15E6D"/>
    <w:rsid w:val="58167AB8"/>
    <w:rsid w:val="58255E64"/>
    <w:rsid w:val="58694995"/>
    <w:rsid w:val="58726040"/>
    <w:rsid w:val="58815C32"/>
    <w:rsid w:val="58863E28"/>
    <w:rsid w:val="58940D10"/>
    <w:rsid w:val="58A14804"/>
    <w:rsid w:val="58A87C7C"/>
    <w:rsid w:val="58C24F0D"/>
    <w:rsid w:val="58C97C4F"/>
    <w:rsid w:val="59203B70"/>
    <w:rsid w:val="593D24A5"/>
    <w:rsid w:val="599534D7"/>
    <w:rsid w:val="599A182B"/>
    <w:rsid w:val="59B344FE"/>
    <w:rsid w:val="59C243A7"/>
    <w:rsid w:val="59D01DE7"/>
    <w:rsid w:val="59DA3E95"/>
    <w:rsid w:val="59DF0440"/>
    <w:rsid w:val="59F80D68"/>
    <w:rsid w:val="5A19229B"/>
    <w:rsid w:val="5A291706"/>
    <w:rsid w:val="5A342CBA"/>
    <w:rsid w:val="5A391CFF"/>
    <w:rsid w:val="5A724E96"/>
    <w:rsid w:val="5A72537C"/>
    <w:rsid w:val="5A7A57C2"/>
    <w:rsid w:val="5A802A9B"/>
    <w:rsid w:val="5AC5563C"/>
    <w:rsid w:val="5ACD24F9"/>
    <w:rsid w:val="5ADD2616"/>
    <w:rsid w:val="5AF9773C"/>
    <w:rsid w:val="5B112A08"/>
    <w:rsid w:val="5B130BD7"/>
    <w:rsid w:val="5B604906"/>
    <w:rsid w:val="5B6F2A02"/>
    <w:rsid w:val="5B9B5097"/>
    <w:rsid w:val="5BE604C4"/>
    <w:rsid w:val="5BE627FD"/>
    <w:rsid w:val="5BE93CFF"/>
    <w:rsid w:val="5C1F1E63"/>
    <w:rsid w:val="5C32565E"/>
    <w:rsid w:val="5C6F2882"/>
    <w:rsid w:val="5C9F533B"/>
    <w:rsid w:val="5CA01CD2"/>
    <w:rsid w:val="5CBB215F"/>
    <w:rsid w:val="5CC93AAB"/>
    <w:rsid w:val="5CD7651E"/>
    <w:rsid w:val="5CDB065A"/>
    <w:rsid w:val="5CEF512E"/>
    <w:rsid w:val="5D1A0982"/>
    <w:rsid w:val="5D407A37"/>
    <w:rsid w:val="5D8E4ACE"/>
    <w:rsid w:val="5D931039"/>
    <w:rsid w:val="5D9D41F6"/>
    <w:rsid w:val="5DAA5556"/>
    <w:rsid w:val="5DB23456"/>
    <w:rsid w:val="5DC97C3E"/>
    <w:rsid w:val="5DD3022D"/>
    <w:rsid w:val="5DDB2E01"/>
    <w:rsid w:val="5DE676F2"/>
    <w:rsid w:val="5DF96BE6"/>
    <w:rsid w:val="5E305204"/>
    <w:rsid w:val="5E3E463D"/>
    <w:rsid w:val="5E510A7C"/>
    <w:rsid w:val="5E6C4599"/>
    <w:rsid w:val="5EAE5CD2"/>
    <w:rsid w:val="5ECE3E81"/>
    <w:rsid w:val="5EDD24F1"/>
    <w:rsid w:val="5F0651AE"/>
    <w:rsid w:val="5F087232"/>
    <w:rsid w:val="5F144E97"/>
    <w:rsid w:val="5F3A1EC3"/>
    <w:rsid w:val="5F5D3118"/>
    <w:rsid w:val="5F741A89"/>
    <w:rsid w:val="5F830F0B"/>
    <w:rsid w:val="5F9159DE"/>
    <w:rsid w:val="5FC04515"/>
    <w:rsid w:val="5FC11D31"/>
    <w:rsid w:val="5FC62AA0"/>
    <w:rsid w:val="5FCE0324"/>
    <w:rsid w:val="5FDF6DD3"/>
    <w:rsid w:val="5FE74A3D"/>
    <w:rsid w:val="5FFA5969"/>
    <w:rsid w:val="5FFF2A1F"/>
    <w:rsid w:val="600E1993"/>
    <w:rsid w:val="601A220E"/>
    <w:rsid w:val="60693CE3"/>
    <w:rsid w:val="609C16FD"/>
    <w:rsid w:val="60EE1EEC"/>
    <w:rsid w:val="60F40859"/>
    <w:rsid w:val="610A5186"/>
    <w:rsid w:val="61363D94"/>
    <w:rsid w:val="613D0B4E"/>
    <w:rsid w:val="615B55F6"/>
    <w:rsid w:val="6178232D"/>
    <w:rsid w:val="61A16851"/>
    <w:rsid w:val="61A24871"/>
    <w:rsid w:val="61AB2CCB"/>
    <w:rsid w:val="61F92251"/>
    <w:rsid w:val="620760F3"/>
    <w:rsid w:val="623D3DAD"/>
    <w:rsid w:val="62505B32"/>
    <w:rsid w:val="62512F99"/>
    <w:rsid w:val="62613F97"/>
    <w:rsid w:val="626D21B4"/>
    <w:rsid w:val="627F49B3"/>
    <w:rsid w:val="62C64607"/>
    <w:rsid w:val="62D64B37"/>
    <w:rsid w:val="63021D97"/>
    <w:rsid w:val="631F2460"/>
    <w:rsid w:val="631F27A1"/>
    <w:rsid w:val="63231FDA"/>
    <w:rsid w:val="63926000"/>
    <w:rsid w:val="63AD2923"/>
    <w:rsid w:val="63DE1351"/>
    <w:rsid w:val="63E50183"/>
    <w:rsid w:val="63E926EE"/>
    <w:rsid w:val="63EF2D93"/>
    <w:rsid w:val="63FD3946"/>
    <w:rsid w:val="64085F07"/>
    <w:rsid w:val="641C2507"/>
    <w:rsid w:val="6424094B"/>
    <w:rsid w:val="64637F9D"/>
    <w:rsid w:val="64714C97"/>
    <w:rsid w:val="647E64BF"/>
    <w:rsid w:val="64931B8A"/>
    <w:rsid w:val="649770BD"/>
    <w:rsid w:val="649F70D0"/>
    <w:rsid w:val="64C32497"/>
    <w:rsid w:val="64CF79A4"/>
    <w:rsid w:val="64DA14D8"/>
    <w:rsid w:val="64E067C0"/>
    <w:rsid w:val="651F50D8"/>
    <w:rsid w:val="652E3E9A"/>
    <w:rsid w:val="6547760E"/>
    <w:rsid w:val="6559153A"/>
    <w:rsid w:val="655B3097"/>
    <w:rsid w:val="656B60AA"/>
    <w:rsid w:val="65745B8E"/>
    <w:rsid w:val="657E681F"/>
    <w:rsid w:val="657F18B1"/>
    <w:rsid w:val="6586261C"/>
    <w:rsid w:val="66022A43"/>
    <w:rsid w:val="66756B9C"/>
    <w:rsid w:val="66912276"/>
    <w:rsid w:val="669B2355"/>
    <w:rsid w:val="66B93EBA"/>
    <w:rsid w:val="66C07624"/>
    <w:rsid w:val="66C15088"/>
    <w:rsid w:val="671271C2"/>
    <w:rsid w:val="671A275E"/>
    <w:rsid w:val="67282620"/>
    <w:rsid w:val="6787483E"/>
    <w:rsid w:val="67984DD0"/>
    <w:rsid w:val="679C7BA0"/>
    <w:rsid w:val="67AD0257"/>
    <w:rsid w:val="67AD6DF7"/>
    <w:rsid w:val="67BA610B"/>
    <w:rsid w:val="67C60AF7"/>
    <w:rsid w:val="67DD5F85"/>
    <w:rsid w:val="68021567"/>
    <w:rsid w:val="6860066B"/>
    <w:rsid w:val="68646AE1"/>
    <w:rsid w:val="68763003"/>
    <w:rsid w:val="68B06B2D"/>
    <w:rsid w:val="68E0111A"/>
    <w:rsid w:val="69194F63"/>
    <w:rsid w:val="693000A0"/>
    <w:rsid w:val="69323FAA"/>
    <w:rsid w:val="69557949"/>
    <w:rsid w:val="696A575F"/>
    <w:rsid w:val="69740D57"/>
    <w:rsid w:val="69B574B8"/>
    <w:rsid w:val="69CE3F65"/>
    <w:rsid w:val="69E74E51"/>
    <w:rsid w:val="69FF184D"/>
    <w:rsid w:val="6A0A54D3"/>
    <w:rsid w:val="6A1F68F3"/>
    <w:rsid w:val="6A3D43F4"/>
    <w:rsid w:val="6A4063F3"/>
    <w:rsid w:val="6A473F0F"/>
    <w:rsid w:val="6A4931AD"/>
    <w:rsid w:val="6A9C00CB"/>
    <w:rsid w:val="6ABA3092"/>
    <w:rsid w:val="6ABA73BC"/>
    <w:rsid w:val="6B092E2B"/>
    <w:rsid w:val="6B43333A"/>
    <w:rsid w:val="6B4555B4"/>
    <w:rsid w:val="6B466CCC"/>
    <w:rsid w:val="6B751FC9"/>
    <w:rsid w:val="6B756CC7"/>
    <w:rsid w:val="6B817A52"/>
    <w:rsid w:val="6B8D581C"/>
    <w:rsid w:val="6BC6510C"/>
    <w:rsid w:val="6BDA5A83"/>
    <w:rsid w:val="6BDA6514"/>
    <w:rsid w:val="6BE051B4"/>
    <w:rsid w:val="6BEC332F"/>
    <w:rsid w:val="6C63717B"/>
    <w:rsid w:val="6C685776"/>
    <w:rsid w:val="6C693987"/>
    <w:rsid w:val="6C756843"/>
    <w:rsid w:val="6C792217"/>
    <w:rsid w:val="6CC24E02"/>
    <w:rsid w:val="6CDE29A2"/>
    <w:rsid w:val="6CE57A51"/>
    <w:rsid w:val="6CF24D60"/>
    <w:rsid w:val="6CF92E2B"/>
    <w:rsid w:val="6D060A66"/>
    <w:rsid w:val="6D184CBE"/>
    <w:rsid w:val="6D1D6DF3"/>
    <w:rsid w:val="6D2E6898"/>
    <w:rsid w:val="6D386810"/>
    <w:rsid w:val="6D8A1680"/>
    <w:rsid w:val="6DBA0B51"/>
    <w:rsid w:val="6DE213BE"/>
    <w:rsid w:val="6DE875D8"/>
    <w:rsid w:val="6DFE52DB"/>
    <w:rsid w:val="6E2515C5"/>
    <w:rsid w:val="6E887BE3"/>
    <w:rsid w:val="6E8D475C"/>
    <w:rsid w:val="6EA95AA3"/>
    <w:rsid w:val="6EB2759F"/>
    <w:rsid w:val="6F063E1D"/>
    <w:rsid w:val="6F36099A"/>
    <w:rsid w:val="6F412D4B"/>
    <w:rsid w:val="6F4C68CC"/>
    <w:rsid w:val="6F5970E4"/>
    <w:rsid w:val="6F5973D0"/>
    <w:rsid w:val="6F6C4E7D"/>
    <w:rsid w:val="6FB76419"/>
    <w:rsid w:val="6FF77AE0"/>
    <w:rsid w:val="70297277"/>
    <w:rsid w:val="7030321B"/>
    <w:rsid w:val="70355687"/>
    <w:rsid w:val="70433EE1"/>
    <w:rsid w:val="705676D6"/>
    <w:rsid w:val="706A1347"/>
    <w:rsid w:val="7070261B"/>
    <w:rsid w:val="70705696"/>
    <w:rsid w:val="70857523"/>
    <w:rsid w:val="709C33D0"/>
    <w:rsid w:val="70AE0C8B"/>
    <w:rsid w:val="70BD7746"/>
    <w:rsid w:val="70E21104"/>
    <w:rsid w:val="70E317EC"/>
    <w:rsid w:val="70EA3C13"/>
    <w:rsid w:val="70F83F91"/>
    <w:rsid w:val="71006098"/>
    <w:rsid w:val="712578AC"/>
    <w:rsid w:val="71344239"/>
    <w:rsid w:val="713F5248"/>
    <w:rsid w:val="715002D1"/>
    <w:rsid w:val="7152539B"/>
    <w:rsid w:val="71734853"/>
    <w:rsid w:val="71775B91"/>
    <w:rsid w:val="717922FE"/>
    <w:rsid w:val="71851F03"/>
    <w:rsid w:val="71881DD4"/>
    <w:rsid w:val="718F393E"/>
    <w:rsid w:val="71A56573"/>
    <w:rsid w:val="71D40E49"/>
    <w:rsid w:val="71D44737"/>
    <w:rsid w:val="7208470E"/>
    <w:rsid w:val="720F4FD2"/>
    <w:rsid w:val="721C7EB3"/>
    <w:rsid w:val="72314C65"/>
    <w:rsid w:val="728E46FD"/>
    <w:rsid w:val="7290583D"/>
    <w:rsid w:val="72911078"/>
    <w:rsid w:val="72920ACF"/>
    <w:rsid w:val="72B452CE"/>
    <w:rsid w:val="72BD289A"/>
    <w:rsid w:val="72EA54BA"/>
    <w:rsid w:val="73134C27"/>
    <w:rsid w:val="734A2912"/>
    <w:rsid w:val="735538EE"/>
    <w:rsid w:val="736C4CF8"/>
    <w:rsid w:val="73787A65"/>
    <w:rsid w:val="739F6F99"/>
    <w:rsid w:val="73C74707"/>
    <w:rsid w:val="73E26C27"/>
    <w:rsid w:val="73F458B0"/>
    <w:rsid w:val="73F83F18"/>
    <w:rsid w:val="741178B5"/>
    <w:rsid w:val="74311ED1"/>
    <w:rsid w:val="743260D8"/>
    <w:rsid w:val="744C4D3F"/>
    <w:rsid w:val="74A70152"/>
    <w:rsid w:val="74D37BCA"/>
    <w:rsid w:val="74DA7BCC"/>
    <w:rsid w:val="74E226FD"/>
    <w:rsid w:val="74F007B9"/>
    <w:rsid w:val="74F156E8"/>
    <w:rsid w:val="75161FB3"/>
    <w:rsid w:val="75284DA3"/>
    <w:rsid w:val="75302F22"/>
    <w:rsid w:val="756039D3"/>
    <w:rsid w:val="75983749"/>
    <w:rsid w:val="75A341C7"/>
    <w:rsid w:val="75A53157"/>
    <w:rsid w:val="75CD025E"/>
    <w:rsid w:val="75E160DD"/>
    <w:rsid w:val="75F1061B"/>
    <w:rsid w:val="75F2335F"/>
    <w:rsid w:val="75FC6795"/>
    <w:rsid w:val="760A0DE1"/>
    <w:rsid w:val="76301FF3"/>
    <w:rsid w:val="7631051B"/>
    <w:rsid w:val="76316395"/>
    <w:rsid w:val="764B4D46"/>
    <w:rsid w:val="765B7E82"/>
    <w:rsid w:val="76634A85"/>
    <w:rsid w:val="766A3244"/>
    <w:rsid w:val="766E1A69"/>
    <w:rsid w:val="76737F41"/>
    <w:rsid w:val="76A43B04"/>
    <w:rsid w:val="76A4472C"/>
    <w:rsid w:val="76A8566B"/>
    <w:rsid w:val="76CA1C70"/>
    <w:rsid w:val="76D001B6"/>
    <w:rsid w:val="76EB26AE"/>
    <w:rsid w:val="76F2515D"/>
    <w:rsid w:val="77012772"/>
    <w:rsid w:val="77341CCC"/>
    <w:rsid w:val="77351D5C"/>
    <w:rsid w:val="77365E95"/>
    <w:rsid w:val="775F404A"/>
    <w:rsid w:val="776962EC"/>
    <w:rsid w:val="777767B6"/>
    <w:rsid w:val="77B92837"/>
    <w:rsid w:val="77D33867"/>
    <w:rsid w:val="77DE0D43"/>
    <w:rsid w:val="77F50E58"/>
    <w:rsid w:val="77FB4140"/>
    <w:rsid w:val="78000461"/>
    <w:rsid w:val="780E1F74"/>
    <w:rsid w:val="781B5487"/>
    <w:rsid w:val="78350DCB"/>
    <w:rsid w:val="78395B8B"/>
    <w:rsid w:val="7842097C"/>
    <w:rsid w:val="78497ADB"/>
    <w:rsid w:val="784D2682"/>
    <w:rsid w:val="784E3690"/>
    <w:rsid w:val="78662A1F"/>
    <w:rsid w:val="786A0826"/>
    <w:rsid w:val="786B51DB"/>
    <w:rsid w:val="786F1E45"/>
    <w:rsid w:val="7890175A"/>
    <w:rsid w:val="78A50C08"/>
    <w:rsid w:val="78C8359E"/>
    <w:rsid w:val="78E121B7"/>
    <w:rsid w:val="78E31E35"/>
    <w:rsid w:val="78F41872"/>
    <w:rsid w:val="79105BDA"/>
    <w:rsid w:val="793C06A5"/>
    <w:rsid w:val="79543704"/>
    <w:rsid w:val="795620E5"/>
    <w:rsid w:val="79590210"/>
    <w:rsid w:val="795E4DA7"/>
    <w:rsid w:val="799440DB"/>
    <w:rsid w:val="79AE4CF4"/>
    <w:rsid w:val="79E076ED"/>
    <w:rsid w:val="79FD0AFF"/>
    <w:rsid w:val="7A0A0DEB"/>
    <w:rsid w:val="7A105B64"/>
    <w:rsid w:val="7A233BE0"/>
    <w:rsid w:val="7AA13FE5"/>
    <w:rsid w:val="7AB00638"/>
    <w:rsid w:val="7AC014D3"/>
    <w:rsid w:val="7AC43F5D"/>
    <w:rsid w:val="7AD66C50"/>
    <w:rsid w:val="7AD709B0"/>
    <w:rsid w:val="7AE50440"/>
    <w:rsid w:val="7B0B0D46"/>
    <w:rsid w:val="7B0F3DA9"/>
    <w:rsid w:val="7B1D454D"/>
    <w:rsid w:val="7B2762C6"/>
    <w:rsid w:val="7B383C87"/>
    <w:rsid w:val="7B733E62"/>
    <w:rsid w:val="7B790F7C"/>
    <w:rsid w:val="7B973457"/>
    <w:rsid w:val="7B9A078B"/>
    <w:rsid w:val="7BB73E86"/>
    <w:rsid w:val="7BF37AFA"/>
    <w:rsid w:val="7C0600A9"/>
    <w:rsid w:val="7C06290C"/>
    <w:rsid w:val="7C246C89"/>
    <w:rsid w:val="7C254B26"/>
    <w:rsid w:val="7C45542B"/>
    <w:rsid w:val="7C6F60C6"/>
    <w:rsid w:val="7C984020"/>
    <w:rsid w:val="7CBD4B94"/>
    <w:rsid w:val="7CC52B19"/>
    <w:rsid w:val="7CEA487A"/>
    <w:rsid w:val="7CF54662"/>
    <w:rsid w:val="7D25703D"/>
    <w:rsid w:val="7D4F3C29"/>
    <w:rsid w:val="7D5A0EF3"/>
    <w:rsid w:val="7DA40EE9"/>
    <w:rsid w:val="7DC655AC"/>
    <w:rsid w:val="7DC87F4E"/>
    <w:rsid w:val="7DD718C3"/>
    <w:rsid w:val="7DE67CA2"/>
    <w:rsid w:val="7E046C23"/>
    <w:rsid w:val="7E1246E0"/>
    <w:rsid w:val="7E315FCC"/>
    <w:rsid w:val="7E3F31F1"/>
    <w:rsid w:val="7E4921B5"/>
    <w:rsid w:val="7E71661E"/>
    <w:rsid w:val="7E72156C"/>
    <w:rsid w:val="7E945A7E"/>
    <w:rsid w:val="7EA46FA8"/>
    <w:rsid w:val="7EA94F2A"/>
    <w:rsid w:val="7EAC4EE6"/>
    <w:rsid w:val="7EC647EE"/>
    <w:rsid w:val="7F324672"/>
    <w:rsid w:val="7F331042"/>
    <w:rsid w:val="7F4278C8"/>
    <w:rsid w:val="7F437122"/>
    <w:rsid w:val="7F5068A8"/>
    <w:rsid w:val="7F686AAD"/>
    <w:rsid w:val="7F86353A"/>
    <w:rsid w:val="7FBC7840"/>
    <w:rsid w:val="7FD42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jc w:val="both"/>
    </w:pPr>
    <w:rPr>
      <w:rFonts w:ascii="Times New Roman" w:hAnsi="Times New Roman" w:eastAsia="宋体" w:cs="宋体"/>
      <w:kern w:val="2"/>
      <w:sz w:val="24"/>
      <w:szCs w:val="24"/>
      <w:lang w:val="en-US" w:eastAsia="zh-CN" w:bidi="ar-SA"/>
    </w:rPr>
  </w:style>
  <w:style w:type="paragraph" w:styleId="4">
    <w:name w:val="heading 1"/>
    <w:basedOn w:val="1"/>
    <w:next w:val="1"/>
    <w:qFormat/>
    <w:uiPriority w:val="0"/>
    <w:pPr>
      <w:keepNext/>
      <w:keepLines/>
      <w:spacing w:before="340" w:after="330" w:line="480" w:lineRule="auto"/>
      <w:jc w:val="center"/>
      <w:outlineLvl w:val="0"/>
    </w:pPr>
    <w:rPr>
      <w:rFonts w:ascii="宋体" w:hAnsi="宋体"/>
      <w:b/>
      <w:color w:val="000000"/>
      <w:kern w:val="44"/>
      <w:sz w:val="32"/>
      <w:szCs w:val="32"/>
    </w:rPr>
  </w:style>
  <w:style w:type="paragraph" w:styleId="5">
    <w:name w:val="heading 2"/>
    <w:basedOn w:val="1"/>
    <w:next w:val="1"/>
    <w:link w:val="51"/>
    <w:qFormat/>
    <w:uiPriority w:val="0"/>
    <w:pPr>
      <w:keepNext/>
      <w:keepLines/>
      <w:jc w:val="center"/>
      <w:outlineLvl w:val="1"/>
    </w:pPr>
    <w:rPr>
      <w:rFonts w:ascii="Calibri" w:hAnsi="Calibri" w:cs="Times New Roman"/>
      <w:b/>
      <w:bCs/>
      <w:color w:val="000000"/>
      <w:spacing w:val="-6"/>
      <w:kern w:val="0"/>
      <w:sz w:val="30"/>
      <w:szCs w:val="30"/>
    </w:rPr>
  </w:style>
  <w:style w:type="paragraph" w:styleId="6">
    <w:name w:val="heading 3"/>
    <w:basedOn w:val="1"/>
    <w:next w:val="1"/>
    <w:link w:val="45"/>
    <w:qFormat/>
    <w:uiPriority w:val="0"/>
    <w:pPr>
      <w:keepNext/>
      <w:keepLines/>
      <w:spacing w:before="120" w:after="120"/>
      <w:jc w:val="left"/>
      <w:outlineLvl w:val="2"/>
    </w:pPr>
    <w:rPr>
      <w:rFonts w:ascii="Calibri" w:hAnsi="Calibri" w:cs="Times New Roman"/>
      <w:b/>
    </w:rPr>
  </w:style>
  <w:style w:type="paragraph" w:styleId="7">
    <w:name w:val="heading 4"/>
    <w:basedOn w:val="1"/>
    <w:next w:val="1"/>
    <w:link w:val="43"/>
    <w:qFormat/>
    <w:uiPriority w:val="9"/>
    <w:pPr>
      <w:keepNext/>
      <w:keepLines/>
      <w:spacing w:before="280" w:after="290" w:line="372" w:lineRule="auto"/>
      <w:outlineLvl w:val="3"/>
    </w:pPr>
    <w:rPr>
      <w:rFonts w:ascii="Arial" w:hAnsi="Arial" w:eastAsia="黑体" w:cs="Times New Roman"/>
      <w:b/>
      <w:kern w:val="0"/>
      <w:sz w:val="20"/>
      <w:szCs w:val="20"/>
    </w:rPr>
  </w:style>
  <w:style w:type="character" w:default="1" w:styleId="35">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styleId="8">
    <w:name w:val="List Number"/>
    <w:basedOn w:val="1"/>
    <w:qFormat/>
    <w:uiPriority w:val="0"/>
    <w:pPr>
      <w:numPr>
        <w:ilvl w:val="0"/>
        <w:numId w:val="1"/>
      </w:numPr>
    </w:pPr>
  </w:style>
  <w:style w:type="paragraph" w:styleId="9">
    <w:name w:val="annotation text"/>
    <w:basedOn w:val="1"/>
    <w:link w:val="53"/>
    <w:unhideWhenUsed/>
    <w:qFormat/>
    <w:uiPriority w:val="99"/>
    <w:pPr>
      <w:jc w:val="left"/>
    </w:pPr>
    <w:rPr>
      <w:rFonts w:cs="Times New Roman"/>
      <w:sz w:val="21"/>
    </w:rPr>
  </w:style>
  <w:style w:type="paragraph" w:styleId="10">
    <w:name w:val="Body Text 3"/>
    <w:basedOn w:val="1"/>
    <w:qFormat/>
    <w:uiPriority w:val="0"/>
    <w:pPr>
      <w:spacing w:before="50" w:after="50"/>
    </w:pPr>
    <w:rPr>
      <w:rFonts w:hAnsi="宋体" w:eastAsia="仿宋_GB2312"/>
      <w:b/>
      <w:bCs/>
      <w:szCs w:val="20"/>
    </w:rPr>
  </w:style>
  <w:style w:type="paragraph" w:styleId="11">
    <w:name w:val="Body Text"/>
    <w:basedOn w:val="1"/>
    <w:next w:val="1"/>
    <w:unhideWhenUsed/>
    <w:qFormat/>
    <w:uiPriority w:val="99"/>
    <w:rPr>
      <w:rFonts w:ascii="金山简黑体" w:hAnsi="金山简黑体" w:eastAsia="金山简黑体"/>
      <w:b/>
      <w:spacing w:val="-8"/>
      <w:sz w:val="44"/>
      <w:szCs w:val="20"/>
    </w:rPr>
  </w:style>
  <w:style w:type="paragraph" w:styleId="12">
    <w:name w:val="Body Text Indent"/>
    <w:basedOn w:val="1"/>
    <w:link w:val="40"/>
    <w:qFormat/>
    <w:uiPriority w:val="0"/>
    <w:pPr>
      <w:spacing w:line="200" w:lineRule="atLeast"/>
      <w:ind w:firstLine="301"/>
    </w:pPr>
    <w:rPr>
      <w:rFonts w:ascii="宋体" w:hAnsi="Courier New" w:cs="Times New Roman"/>
      <w:spacing w:val="-4"/>
      <w:sz w:val="18"/>
      <w:szCs w:val="20"/>
    </w:rPr>
  </w:style>
  <w:style w:type="paragraph" w:styleId="13">
    <w:name w:val="Block Text"/>
    <w:basedOn w:val="1"/>
    <w:qFormat/>
    <w:uiPriority w:val="0"/>
    <w:pPr>
      <w:spacing w:after="120"/>
      <w:ind w:left="1440" w:leftChars="700" w:right="1440" w:rightChars="700"/>
    </w:pPr>
    <w:rPr>
      <w:rFonts w:ascii="time new roman" w:hAnsi="time new roman" w:eastAsia="长城粗隶书" w:cs="Courier New"/>
    </w:rPr>
  </w:style>
  <w:style w:type="paragraph" w:styleId="14">
    <w:name w:val="toc 3"/>
    <w:basedOn w:val="1"/>
    <w:next w:val="1"/>
    <w:qFormat/>
    <w:uiPriority w:val="0"/>
    <w:pPr>
      <w:ind w:left="840" w:leftChars="400"/>
    </w:pPr>
  </w:style>
  <w:style w:type="paragraph" w:styleId="15">
    <w:name w:val="Plain Text"/>
    <w:basedOn w:val="1"/>
    <w:qFormat/>
    <w:uiPriority w:val="0"/>
    <w:pPr>
      <w:spacing w:beforeLines="50" w:afterLines="50" w:line="400" w:lineRule="atLeast"/>
    </w:pPr>
    <w:rPr>
      <w:rFonts w:ascii="宋体" w:hAnsi="Courier New"/>
    </w:rPr>
  </w:style>
  <w:style w:type="paragraph" w:styleId="16">
    <w:name w:val="Body Text Indent 2"/>
    <w:basedOn w:val="1"/>
    <w:qFormat/>
    <w:uiPriority w:val="0"/>
    <w:pPr>
      <w:spacing w:line="500" w:lineRule="atLeast"/>
      <w:ind w:firstLine="480"/>
    </w:pPr>
    <w:rPr>
      <w:rFonts w:ascii="楷体_GB2312" w:hAnsi="等线" w:eastAsia="楷体_GB2312"/>
      <w:color w:val="FF0000"/>
    </w:rPr>
  </w:style>
  <w:style w:type="paragraph" w:styleId="17">
    <w:name w:val="Balloon Text"/>
    <w:basedOn w:val="1"/>
    <w:link w:val="47"/>
    <w:unhideWhenUsed/>
    <w:qFormat/>
    <w:uiPriority w:val="99"/>
    <w:rPr>
      <w:rFonts w:ascii="Calibri" w:hAnsi="Calibri" w:cs="Times New Roman"/>
      <w:sz w:val="18"/>
      <w:szCs w:val="18"/>
    </w:rPr>
  </w:style>
  <w:style w:type="paragraph" w:styleId="18">
    <w:name w:val="footer"/>
    <w:basedOn w:val="1"/>
    <w:qFormat/>
    <w:uiPriority w:val="0"/>
    <w:pPr>
      <w:tabs>
        <w:tab w:val="center" w:pos="4153"/>
        <w:tab w:val="right" w:pos="8306"/>
      </w:tabs>
      <w:jc w:val="left"/>
    </w:pPr>
    <w:rPr>
      <w:sz w:val="18"/>
      <w:szCs w:val="18"/>
    </w:rPr>
  </w:style>
  <w:style w:type="paragraph" w:styleId="19">
    <w:name w:val="header"/>
    <w:basedOn w:val="1"/>
    <w:qFormat/>
    <w:uiPriority w:val="0"/>
    <w:pPr>
      <w:tabs>
        <w:tab w:val="center" w:pos="4153"/>
        <w:tab w:val="right" w:pos="8306"/>
      </w:tabs>
      <w:jc w:val="center"/>
    </w:pPr>
    <w:rPr>
      <w:sz w:val="18"/>
      <w:szCs w:val="18"/>
    </w:rPr>
  </w:style>
  <w:style w:type="paragraph" w:styleId="20">
    <w:name w:val="toc 1"/>
    <w:basedOn w:val="1"/>
    <w:next w:val="1"/>
    <w:qFormat/>
    <w:uiPriority w:val="39"/>
  </w:style>
  <w:style w:type="paragraph" w:styleId="21">
    <w:name w:val="List"/>
    <w:basedOn w:val="1"/>
    <w:qFormat/>
    <w:uiPriority w:val="0"/>
    <w:pPr>
      <w:ind w:left="200" w:hanging="200" w:hangingChars="200"/>
    </w:pPr>
  </w:style>
  <w:style w:type="paragraph" w:styleId="22">
    <w:name w:val="toc 2"/>
    <w:basedOn w:val="1"/>
    <w:next w:val="1"/>
    <w:qFormat/>
    <w:uiPriority w:val="39"/>
    <w:pPr>
      <w:ind w:left="420" w:leftChars="200"/>
    </w:pPr>
  </w:style>
  <w:style w:type="paragraph" w:styleId="23">
    <w:name w:val="Normal (Web)"/>
    <w:basedOn w:val="1"/>
    <w:qFormat/>
    <w:uiPriority w:val="0"/>
    <w:pPr>
      <w:widowControl/>
      <w:spacing w:before="100" w:beforeAutospacing="1" w:after="100" w:afterAutospacing="1"/>
      <w:jc w:val="left"/>
    </w:pPr>
    <w:rPr>
      <w:rFonts w:ascii="宋体" w:hAnsi="宋体"/>
      <w:kern w:val="0"/>
    </w:rPr>
  </w:style>
  <w:style w:type="paragraph" w:styleId="24">
    <w:name w:val="Title"/>
    <w:basedOn w:val="1"/>
    <w:qFormat/>
    <w:uiPriority w:val="0"/>
    <w:pPr>
      <w:jc w:val="center"/>
    </w:pPr>
    <w:rPr>
      <w:sz w:val="30"/>
    </w:rPr>
  </w:style>
  <w:style w:type="paragraph" w:styleId="25">
    <w:name w:val="annotation subject"/>
    <w:basedOn w:val="9"/>
    <w:next w:val="9"/>
    <w:link w:val="46"/>
    <w:unhideWhenUsed/>
    <w:qFormat/>
    <w:uiPriority w:val="99"/>
    <w:pPr>
      <w:adjustRightInd/>
    </w:pPr>
    <w:rPr>
      <w:rFonts w:ascii="Calibri" w:hAnsi="Calibri"/>
      <w:b/>
      <w:bCs/>
      <w:sz w:val="28"/>
    </w:rPr>
  </w:style>
  <w:style w:type="paragraph" w:styleId="26">
    <w:name w:val="Body Text First Indent 2"/>
    <w:basedOn w:val="12"/>
    <w:unhideWhenUsed/>
    <w:qFormat/>
    <w:uiPriority w:val="99"/>
    <w:pPr>
      <w:ind w:firstLine="420" w:firstLineChars="200"/>
    </w:p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9">
    <w:name w:val="Medium Grid 3 Accent 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4F81B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F81BD"/>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4F81BD"/>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7BFDE"/>
      </w:tcPr>
    </w:tblStylePr>
  </w:style>
  <w:style w:type="table" w:styleId="30">
    <w:name w:val="Medium Grid 3 Accent 2"/>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C0504D"/>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C0504D"/>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C0504D"/>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DFA7A6"/>
      </w:tcPr>
    </w:tblStylePr>
  </w:style>
  <w:style w:type="table" w:styleId="31">
    <w:name w:val="Medium Grid 3 Accent 3"/>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9BBB59"/>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9BBB59"/>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9BBB59"/>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CDDDAC"/>
      </w:tcPr>
    </w:tblStylePr>
  </w:style>
  <w:style w:type="table" w:styleId="32">
    <w:name w:val="Medium Grid 3 Accent 4"/>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8064A2"/>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8064A2"/>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8064A2"/>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BFB1D0"/>
      </w:tcPr>
    </w:tblStylePr>
  </w:style>
  <w:style w:type="table" w:styleId="33">
    <w:name w:val="Medium Grid 3 Accent 5"/>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4BACC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BACC6"/>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4BACC6"/>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5D5E2"/>
      </w:tcPr>
    </w:tblStylePr>
  </w:style>
  <w:style w:type="table" w:styleId="34">
    <w:name w:val="Medium Grid 3 Accent 6"/>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F79646"/>
      </w:tcPr>
    </w:tblStylePr>
    <w:tblStylePr w:type="lastRow">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F79646"/>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F79646"/>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FBCAA2"/>
      </w:tcPr>
    </w:tblStylePr>
  </w:style>
  <w:style w:type="character" w:styleId="36">
    <w:name w:val="Strong"/>
    <w:qFormat/>
    <w:uiPriority w:val="0"/>
    <w:rPr>
      <w:b/>
    </w:rPr>
  </w:style>
  <w:style w:type="character" w:styleId="37">
    <w:name w:val="page number"/>
    <w:basedOn w:val="35"/>
    <w:qFormat/>
    <w:uiPriority w:val="0"/>
  </w:style>
  <w:style w:type="character" w:styleId="38">
    <w:name w:val="Hyperlink"/>
    <w:qFormat/>
    <w:uiPriority w:val="99"/>
    <w:rPr>
      <w:color w:val="0000FF"/>
      <w:u w:val="single"/>
    </w:rPr>
  </w:style>
  <w:style w:type="character" w:styleId="39">
    <w:name w:val="annotation reference"/>
    <w:unhideWhenUsed/>
    <w:qFormat/>
    <w:uiPriority w:val="99"/>
    <w:rPr>
      <w:sz w:val="21"/>
      <w:szCs w:val="21"/>
    </w:rPr>
  </w:style>
  <w:style w:type="character" w:customStyle="1" w:styleId="40">
    <w:name w:val="正文文本缩进 Char"/>
    <w:link w:val="12"/>
    <w:qFormat/>
    <w:uiPriority w:val="0"/>
    <w:rPr>
      <w:rFonts w:ascii="宋体" w:hAnsi="Courier New" w:cs="宋体"/>
      <w:spacing w:val="-4"/>
      <w:kern w:val="2"/>
      <w:sz w:val="18"/>
    </w:rPr>
  </w:style>
  <w:style w:type="character" w:customStyle="1" w:styleId="41">
    <w:name w:val="正文2 Char"/>
    <w:link w:val="42"/>
    <w:qFormat/>
    <w:uiPriority w:val="0"/>
    <w:rPr>
      <w:kern w:val="2"/>
      <w:sz w:val="24"/>
    </w:rPr>
  </w:style>
  <w:style w:type="paragraph" w:customStyle="1" w:styleId="42">
    <w:name w:val="正文2"/>
    <w:basedOn w:val="1"/>
    <w:link w:val="41"/>
    <w:qFormat/>
    <w:uiPriority w:val="0"/>
    <w:pPr>
      <w:spacing w:before="156"/>
      <w:ind w:firstLine="510" w:firstLineChars="200"/>
    </w:pPr>
    <w:rPr>
      <w:rFonts w:cs="Times New Roman"/>
      <w:szCs w:val="20"/>
    </w:rPr>
  </w:style>
  <w:style w:type="character" w:customStyle="1" w:styleId="43">
    <w:name w:val="标题 4 Char"/>
    <w:link w:val="7"/>
    <w:qFormat/>
    <w:uiPriority w:val="9"/>
    <w:rPr>
      <w:rFonts w:ascii="Arial" w:hAnsi="Arial" w:eastAsia="黑体"/>
      <w:b/>
    </w:rPr>
  </w:style>
  <w:style w:type="character" w:customStyle="1" w:styleId="44">
    <w:name w:val="font11"/>
    <w:qFormat/>
    <w:uiPriority w:val="0"/>
    <w:rPr>
      <w:rFonts w:hint="default" w:ascii="Symbol" w:hAnsi="Symbol" w:cs="Symbol"/>
      <w:color w:val="000000"/>
      <w:sz w:val="21"/>
      <w:szCs w:val="21"/>
      <w:u w:val="none"/>
    </w:rPr>
  </w:style>
  <w:style w:type="character" w:customStyle="1" w:styleId="45">
    <w:name w:val="标题 3 Char"/>
    <w:link w:val="6"/>
    <w:qFormat/>
    <w:uiPriority w:val="0"/>
    <w:rPr>
      <w:rFonts w:ascii="Calibri" w:hAnsi="Calibri" w:cs="宋体"/>
      <w:b/>
      <w:kern w:val="2"/>
      <w:sz w:val="24"/>
      <w:szCs w:val="24"/>
    </w:rPr>
  </w:style>
  <w:style w:type="character" w:customStyle="1" w:styleId="46">
    <w:name w:val="批注主题 Char"/>
    <w:link w:val="25"/>
    <w:semiHidden/>
    <w:qFormat/>
    <w:uiPriority w:val="99"/>
    <w:rPr>
      <w:rFonts w:ascii="Calibri" w:hAnsi="Calibri" w:cs="宋体"/>
      <w:b/>
      <w:bCs/>
      <w:kern w:val="2"/>
      <w:sz w:val="28"/>
      <w:szCs w:val="24"/>
    </w:rPr>
  </w:style>
  <w:style w:type="character" w:customStyle="1" w:styleId="47">
    <w:name w:val="批注框文本 Char"/>
    <w:link w:val="17"/>
    <w:semiHidden/>
    <w:qFormat/>
    <w:uiPriority w:val="99"/>
    <w:rPr>
      <w:rFonts w:ascii="Calibri" w:hAnsi="Calibri" w:cs="宋体"/>
      <w:kern w:val="2"/>
      <w:sz w:val="18"/>
      <w:szCs w:val="18"/>
    </w:rPr>
  </w:style>
  <w:style w:type="character" w:customStyle="1" w:styleId="48">
    <w:name w:val="NormalCharacter"/>
    <w:qFormat/>
    <w:uiPriority w:val="0"/>
  </w:style>
  <w:style w:type="character" w:customStyle="1" w:styleId="49">
    <w:name w:val="列出段落 Char"/>
    <w:link w:val="50"/>
    <w:qFormat/>
    <w:uiPriority w:val="34"/>
    <w:rPr>
      <w:rFonts w:ascii="Calibri" w:hAnsi="Calibri" w:cs="宋体"/>
      <w:kern w:val="2"/>
      <w:sz w:val="21"/>
      <w:szCs w:val="22"/>
    </w:rPr>
  </w:style>
  <w:style w:type="paragraph" w:styleId="50">
    <w:name w:val="List Paragraph"/>
    <w:basedOn w:val="1"/>
    <w:link w:val="49"/>
    <w:qFormat/>
    <w:uiPriority w:val="34"/>
    <w:pPr>
      <w:ind w:firstLine="420" w:firstLineChars="200"/>
    </w:pPr>
    <w:rPr>
      <w:rFonts w:ascii="Calibri" w:hAnsi="Calibri" w:cs="Times New Roman"/>
      <w:sz w:val="21"/>
      <w:szCs w:val="22"/>
    </w:rPr>
  </w:style>
  <w:style w:type="character" w:customStyle="1" w:styleId="51">
    <w:name w:val="标题 2 Char"/>
    <w:link w:val="5"/>
    <w:qFormat/>
    <w:uiPriority w:val="0"/>
    <w:rPr>
      <w:rFonts w:ascii="Calibri" w:hAnsi="Calibri"/>
      <w:b/>
      <w:bCs/>
      <w:color w:val="000000"/>
      <w:spacing w:val="-6"/>
      <w:sz w:val="30"/>
      <w:szCs w:val="30"/>
    </w:rPr>
  </w:style>
  <w:style w:type="character" w:customStyle="1" w:styleId="52">
    <w:name w:val="A1"/>
    <w:qFormat/>
    <w:uiPriority w:val="99"/>
    <w:rPr>
      <w:color w:val="221E1F"/>
      <w:sz w:val="18"/>
      <w:szCs w:val="18"/>
    </w:rPr>
  </w:style>
  <w:style w:type="character" w:customStyle="1" w:styleId="53">
    <w:name w:val="批注文字 Char"/>
    <w:link w:val="9"/>
    <w:qFormat/>
    <w:uiPriority w:val="99"/>
    <w:rPr>
      <w:kern w:val="2"/>
      <w:sz w:val="21"/>
      <w:szCs w:val="24"/>
    </w:rPr>
  </w:style>
  <w:style w:type="character" w:customStyle="1" w:styleId="54">
    <w:name w:val="样式1 Char"/>
    <w:link w:val="55"/>
    <w:qFormat/>
    <w:uiPriority w:val="0"/>
    <w:rPr>
      <w:rFonts w:ascii="Arial" w:hAnsi="Arial"/>
      <w:kern w:val="2"/>
      <w:sz w:val="21"/>
      <w:szCs w:val="24"/>
    </w:rPr>
  </w:style>
  <w:style w:type="paragraph" w:customStyle="1" w:styleId="55">
    <w:name w:val="样式1"/>
    <w:basedOn w:val="1"/>
    <w:link w:val="54"/>
    <w:qFormat/>
    <w:uiPriority w:val="0"/>
    <w:pPr>
      <w:spacing w:line="360" w:lineRule="exact"/>
      <w:ind w:firstLine="200" w:firstLineChars="200"/>
    </w:pPr>
    <w:rPr>
      <w:rFonts w:ascii="Arial" w:hAnsi="Arial" w:cs="Times New Roman"/>
      <w:sz w:val="21"/>
    </w:rPr>
  </w:style>
  <w:style w:type="character" w:customStyle="1" w:styleId="56">
    <w:name w:val="font21"/>
    <w:qFormat/>
    <w:uiPriority w:val="0"/>
    <w:rPr>
      <w:rFonts w:hint="eastAsia" w:ascii="宋体" w:hAnsi="宋体" w:eastAsia="宋体" w:cs="宋体"/>
      <w:color w:val="000000"/>
      <w:sz w:val="21"/>
      <w:szCs w:val="21"/>
      <w:u w:val="none"/>
    </w:rPr>
  </w:style>
  <w:style w:type="character" w:customStyle="1" w:styleId="57">
    <w:name w:val="apple-converted-space"/>
    <w:basedOn w:val="35"/>
    <w:qFormat/>
    <w:uiPriority w:val="0"/>
  </w:style>
  <w:style w:type="character" w:customStyle="1" w:styleId="58">
    <w:name w:val="eop"/>
    <w:basedOn w:val="35"/>
    <w:qFormat/>
    <w:uiPriority w:val="0"/>
  </w:style>
  <w:style w:type="character" w:customStyle="1" w:styleId="59">
    <w:name w:val="normaltextrun"/>
    <w:basedOn w:val="35"/>
    <w:qFormat/>
    <w:uiPriority w:val="0"/>
  </w:style>
  <w:style w:type="paragraph" w:customStyle="1" w:styleId="60">
    <w:name w:val="Table Paragraph"/>
    <w:basedOn w:val="1"/>
    <w:qFormat/>
    <w:uiPriority w:val="1"/>
    <w:pPr>
      <w:jc w:val="left"/>
    </w:pPr>
    <w:rPr>
      <w:kern w:val="0"/>
      <w:sz w:val="22"/>
      <w:szCs w:val="22"/>
      <w:lang w:eastAsia="en-US"/>
    </w:rPr>
  </w:style>
  <w:style w:type="paragraph" w:customStyle="1" w:styleId="61">
    <w:name w:val="列表段落1"/>
    <w:basedOn w:val="1"/>
    <w:qFormat/>
    <w:uiPriority w:val="34"/>
    <w:pPr>
      <w:ind w:firstLine="420" w:firstLineChars="200"/>
    </w:pPr>
    <w:rPr>
      <w:szCs w:val="22"/>
    </w:rPr>
  </w:style>
  <w:style w:type="paragraph" w:customStyle="1" w:styleId="62">
    <w:name w:val="Pa1"/>
    <w:basedOn w:val="2"/>
    <w:next w:val="2"/>
    <w:qFormat/>
    <w:uiPriority w:val="99"/>
    <w:pPr>
      <w:spacing w:line="241" w:lineRule="atLeast"/>
    </w:pPr>
    <w:rPr>
      <w:rFonts w:ascii="Arial" w:hAnsi="Arial" w:eastAsia="宋体" w:cs="Arial"/>
      <w:color w:val="auto"/>
    </w:rPr>
  </w:style>
  <w:style w:type="paragraph" w:customStyle="1" w:styleId="63">
    <w:name w:val="表内文字"/>
    <w:basedOn w:val="1"/>
    <w:qFormat/>
    <w:uiPriority w:val="0"/>
    <w:pPr>
      <w:tabs>
        <w:tab w:val="left" w:pos="1418"/>
      </w:tabs>
      <w:jc w:val="center"/>
    </w:pPr>
    <w:rPr>
      <w:rFonts w:hint="eastAsia" w:ascii="仿宋_GB2312" w:eastAsia="仿宋_GB2312"/>
      <w:spacing w:val="-20"/>
      <w:kern w:val="0"/>
    </w:rPr>
  </w:style>
  <w:style w:type="paragraph" w:customStyle="1" w:styleId="64">
    <w:name w:val="列表段落2"/>
    <w:basedOn w:val="1"/>
    <w:qFormat/>
    <w:uiPriority w:val="0"/>
    <w:pPr>
      <w:widowControl/>
      <w:spacing w:before="100" w:beforeAutospacing="1" w:after="200" w:line="240" w:lineRule="auto"/>
      <w:ind w:firstLine="420" w:firstLineChars="200"/>
      <w:jc w:val="left"/>
    </w:pPr>
    <w:rPr>
      <w:rFonts w:ascii="Tahoma" w:hAnsi="Tahoma" w:eastAsia="微软雅黑" w:cs="Times New Roman"/>
      <w:kern w:val="0"/>
      <w:sz w:val="22"/>
      <w:szCs w:val="22"/>
    </w:rPr>
  </w:style>
  <w:style w:type="paragraph" w:customStyle="1" w:styleId="65">
    <w:name w:val="列出段落11"/>
    <w:basedOn w:val="1"/>
    <w:qFormat/>
    <w:uiPriority w:val="0"/>
    <w:pPr>
      <w:ind w:firstLine="420" w:firstLineChars="200"/>
    </w:pPr>
    <w:rPr>
      <w:rFonts w:ascii="等线" w:hAnsi="等线" w:eastAsia="等线" w:cs="黑体"/>
    </w:rPr>
  </w:style>
  <w:style w:type="paragraph" w:customStyle="1" w:styleId="6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rPr>
  </w:style>
  <w:style w:type="paragraph" w:customStyle="1" w:styleId="6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8">
    <w:name w:val="列表段落21"/>
    <w:basedOn w:val="1"/>
    <w:qFormat/>
    <w:uiPriority w:val="34"/>
    <w:pPr>
      <w:adjustRightInd/>
      <w:snapToGrid/>
      <w:spacing w:line="240" w:lineRule="auto"/>
      <w:ind w:firstLine="420" w:firstLineChars="200"/>
    </w:pPr>
    <w:rPr>
      <w:rFonts w:ascii="Calibri" w:hAnsi="Calibri" w:cs="Times New Roman"/>
      <w:sz w:val="21"/>
      <w:szCs w:val="22"/>
    </w:rPr>
  </w:style>
  <w:style w:type="paragraph" w:customStyle="1" w:styleId="69">
    <w:name w:val="默认段落字体 Para Char Char Char Char Char Char Char Char Char1 Char Char Char Char"/>
    <w:basedOn w:val="1"/>
    <w:qFormat/>
    <w:uiPriority w:val="0"/>
    <w:rPr>
      <w:rFonts w:ascii="Tahoma" w:hAnsi="Tahoma"/>
      <w:szCs w:val="20"/>
    </w:rPr>
  </w:style>
  <w:style w:type="table" w:customStyle="1" w:styleId="70">
    <w:name w:val="中等深浅网格 31"/>
    <w:basedOn w:val="27"/>
    <w:qFormat/>
    <w:uiPriority w:val="69"/>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CCE8CF"/>
      </w:rPr>
      <w:tcPr>
        <w:tcBorders>
          <w:top w:val="single" w:color="CCE8CF" w:sz="8" w:space="0"/>
          <w:left w:val="single" w:color="CCE8CF" w:sz="8" w:space="0"/>
          <w:bottom w:val="single" w:color="CCE8CF" w:sz="24" w:space="0"/>
          <w:right w:val="single" w:color="CCE8CF" w:sz="8" w:space="0"/>
          <w:insideH w:val="nil"/>
          <w:insideV w:val="single" w:sz="8" w:space="0"/>
          <w:tl2br w:val="nil"/>
          <w:tr2bl w:val="nil"/>
        </w:tcBorders>
        <w:shd w:val="clear" w:color="auto" w:fill="000000"/>
      </w:tcPr>
    </w:tblStylePr>
    <w:tblStylePr w:type="lastRow">
      <w:rPr>
        <w:b/>
        <w:bCs/>
        <w:i w:val="0"/>
        <w:iCs w:val="0"/>
        <w:color w:val="CCE8CF"/>
      </w:r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000000"/>
      </w:tcPr>
    </w:tblStylePr>
    <w:tblStylePr w:type="firstCol">
      <w:rPr>
        <w:b/>
        <w:bCs/>
        <w:i w:val="0"/>
        <w:iCs w:val="0"/>
        <w:color w:val="CCE8CF"/>
      </w:rPr>
      <w:tcPr>
        <w:tcBorders>
          <w:top w:val="nil"/>
          <w:left w:val="single" w:color="CCE8CF" w:sz="8" w:space="0"/>
          <w:bottom w:val="nil"/>
          <w:right w:val="single" w:color="CCE8CF" w:sz="24" w:space="0"/>
          <w:insideH w:val="nil"/>
          <w:insideV w:val="nil"/>
          <w:tl2br w:val="nil"/>
          <w:tr2bl w:val="nil"/>
        </w:tcBorders>
        <w:shd w:val="clear" w:color="auto" w:fill="000000"/>
      </w:tcPr>
    </w:tblStylePr>
    <w:tblStylePr w:type="lastCol">
      <w:rPr>
        <w:b/>
        <w:bCs/>
        <w:i w:val="0"/>
        <w:iCs w:val="0"/>
        <w:color w:val="CCE8CF"/>
      </w:rPr>
      <w:tcPr>
        <w:tcBorders>
          <w:top w:val="nil"/>
          <w:left w:val="single" w:color="CCE8CF" w:sz="24" w:space="0"/>
          <w:bottom w:val="nil"/>
          <w:right w:val="nil"/>
          <w:insideH w:val="nil"/>
          <w:insideV w:val="nil"/>
          <w:tl2br w:val="nil"/>
          <w:tr2bl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808080"/>
      </w:tcPr>
    </w:tblStyle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T\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121"/>
    <customShpInfo spid="_x0000_s2111"/>
    <customShpInfo spid="_x0000_s2110"/>
    <customShpInfo spid="_x0000_s2109"/>
    <customShpInfo spid="_x0000_s2108"/>
    <customShpInfo spid="_x0000_s1035"/>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Company>user</Company>
  <Pages>79</Pages>
  <Words>6466</Words>
  <Characters>36859</Characters>
  <Lines>307</Lines>
  <Paragraphs>86</Paragraphs>
  <TotalTime>5</TotalTime>
  <ScaleCrop>false</ScaleCrop>
  <LinksUpToDate>false</LinksUpToDate>
  <CharactersWithSpaces>43239</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2020-09-07T01:45:00Z</dcterms:created>
  <dc:creator>hzvtc</dc:creator>
  <cp:lastModifiedBy>Administrator</cp:lastModifiedBy>
  <cp:lastPrinted>2019-04-17T05:25:00Z</cp:lastPrinted>
  <dcterms:modified xsi:type="dcterms:W3CDTF">2020-09-11T05:39:34Z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y fmtid="{D5CDD505-2E9C-101B-9397-08002B2CF9AE}" pid="3" name="ContentTypeId">
    <vt:lpwstr>0x01010013D7AC19187C7243B5416B9FE253E9CE</vt:lpwstr>
  </property>
</Properties>
</file>