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91BF61">
      <w:pPr>
        <w:adjustRightInd w:val="0"/>
        <w:snapToGrid w:val="0"/>
        <w:spacing w:line="288" w:lineRule="auto"/>
        <w:ind w:left="238"/>
        <w:jc w:val="center"/>
        <w:outlineLvl w:val="0"/>
        <w:rPr>
          <w:rFonts w:ascii="宋体" w:hAnsi="宋体"/>
          <w:b/>
          <w:bCs/>
          <w:sz w:val="32"/>
          <w:szCs w:val="32"/>
        </w:rPr>
      </w:pPr>
      <w:r>
        <w:rPr>
          <w:rFonts w:hint="eastAsia" w:ascii="宋体" w:hAnsi="宋体"/>
          <w:b/>
          <w:bCs/>
          <w:sz w:val="32"/>
          <w:szCs w:val="32"/>
        </w:rPr>
        <w:t>采购需求</w:t>
      </w:r>
    </w:p>
    <w:p w14:paraId="04E98105">
      <w:pPr>
        <w:adjustRightInd w:val="0"/>
        <w:snapToGrid w:val="0"/>
        <w:spacing w:line="288" w:lineRule="auto"/>
        <w:ind w:left="238" w:hanging="238" w:hangingChars="113"/>
        <w:outlineLvl w:val="1"/>
        <w:rPr>
          <w:rFonts w:ascii="宋体" w:hAnsi="宋体"/>
          <w:b/>
          <w:sz w:val="21"/>
          <w:szCs w:val="21"/>
        </w:rPr>
      </w:pPr>
      <w:r>
        <w:rPr>
          <w:rFonts w:hint="eastAsia" w:ascii="宋体" w:hAnsi="宋体"/>
          <w:b/>
          <w:sz w:val="21"/>
          <w:szCs w:val="21"/>
        </w:rPr>
        <w:t>一</w:t>
      </w:r>
      <w:r>
        <w:rPr>
          <w:rFonts w:ascii="宋体" w:hAnsi="宋体"/>
          <w:b/>
          <w:sz w:val="21"/>
          <w:szCs w:val="21"/>
        </w:rPr>
        <w:t>、</w:t>
      </w:r>
      <w:r>
        <w:rPr>
          <w:rFonts w:hint="eastAsia" w:ascii="宋体" w:hAnsi="宋体"/>
          <w:b/>
          <w:sz w:val="21"/>
          <w:szCs w:val="21"/>
        </w:rPr>
        <w:t>为落实政府采购政策需满足的要求：</w:t>
      </w:r>
    </w:p>
    <w:tbl>
      <w:tblPr>
        <w:tblStyle w:val="2"/>
        <w:tblW w:w="949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46F14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A0982FE">
            <w:pPr>
              <w:adjustRightInd w:val="0"/>
              <w:snapToGrid w:val="0"/>
              <w:spacing w:line="288" w:lineRule="auto"/>
              <w:jc w:val="center"/>
              <w:rPr>
                <w:rFonts w:ascii="宋体" w:hAnsi="宋体" w:cs="宋体"/>
                <w:b/>
                <w:bCs/>
                <w:sz w:val="21"/>
                <w:szCs w:val="21"/>
              </w:rPr>
            </w:pPr>
            <w:bookmarkStart w:id="0" w:name="_Hlk45005599"/>
            <w:r>
              <w:rPr>
                <w:rFonts w:hint="eastAsia" w:ascii="宋体" w:hAnsi="宋体" w:cs="宋体"/>
                <w:b/>
                <w:bCs/>
                <w:sz w:val="21"/>
                <w:szCs w:val="21"/>
              </w:rPr>
              <w:t>序号</w:t>
            </w:r>
          </w:p>
        </w:tc>
        <w:tc>
          <w:tcPr>
            <w:tcW w:w="3256" w:type="dxa"/>
            <w:vAlign w:val="center"/>
          </w:tcPr>
          <w:p w14:paraId="5779BFFF">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政策名称</w:t>
            </w:r>
          </w:p>
        </w:tc>
        <w:tc>
          <w:tcPr>
            <w:tcW w:w="5529" w:type="dxa"/>
            <w:vAlign w:val="center"/>
          </w:tcPr>
          <w:p w14:paraId="5349BAAE">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内容</w:t>
            </w:r>
          </w:p>
        </w:tc>
      </w:tr>
      <w:tr w14:paraId="275E6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DEF8018">
            <w:pPr>
              <w:adjustRightInd w:val="0"/>
              <w:snapToGrid w:val="0"/>
              <w:spacing w:line="288" w:lineRule="auto"/>
              <w:jc w:val="center"/>
              <w:rPr>
                <w:rFonts w:ascii="宋体" w:hAnsi="宋体" w:cs="宋体"/>
                <w:b/>
                <w:bCs/>
                <w:sz w:val="21"/>
                <w:szCs w:val="21"/>
              </w:rPr>
            </w:pPr>
            <w:r>
              <w:rPr>
                <w:rFonts w:hint="eastAsia" w:ascii="宋体" w:hAnsi="宋体" w:cs="宋体"/>
                <w:sz w:val="21"/>
                <w:szCs w:val="21"/>
              </w:rPr>
              <w:t>1</w:t>
            </w:r>
          </w:p>
        </w:tc>
        <w:tc>
          <w:tcPr>
            <w:tcW w:w="3256" w:type="dxa"/>
            <w:vAlign w:val="center"/>
          </w:tcPr>
          <w:p w14:paraId="27F8F9D7">
            <w:pPr>
              <w:adjustRightInd w:val="0"/>
              <w:snapToGrid w:val="0"/>
              <w:spacing w:line="288" w:lineRule="auto"/>
              <w:jc w:val="left"/>
              <w:rPr>
                <w:rFonts w:ascii="宋体" w:hAnsi="宋体" w:cs="宋体"/>
                <w:b/>
                <w:bCs/>
                <w:sz w:val="21"/>
                <w:szCs w:val="21"/>
              </w:rPr>
            </w:pPr>
            <w:r>
              <w:rPr>
                <w:rFonts w:hint="eastAsia" w:ascii="宋体" w:hAnsi="宋体" w:cs="宋体"/>
                <w:sz w:val="21"/>
                <w:szCs w:val="21"/>
              </w:rPr>
              <w:t>政府采购进口产品</w:t>
            </w:r>
          </w:p>
        </w:tc>
        <w:tc>
          <w:tcPr>
            <w:tcW w:w="5529" w:type="dxa"/>
            <w:vAlign w:val="center"/>
          </w:tcPr>
          <w:p w14:paraId="5568FF3F">
            <w:pPr>
              <w:adjustRightInd w:val="0"/>
              <w:snapToGrid w:val="0"/>
              <w:spacing w:line="288" w:lineRule="auto"/>
              <w:jc w:val="left"/>
              <w:rPr>
                <w:rFonts w:ascii="宋体" w:hAnsi="宋体" w:cs="宋体"/>
                <w:b/>
                <w:bCs/>
                <w:sz w:val="21"/>
                <w:szCs w:val="21"/>
              </w:rPr>
            </w:pPr>
            <w:r>
              <w:rPr>
                <w:rFonts w:hint="eastAsia" w:ascii="宋体" w:hAnsi="宋体" w:cs="宋体"/>
                <w:sz w:val="21"/>
                <w:szCs w:val="21"/>
              </w:rPr>
              <w:t>不允许采购进口产品</w:t>
            </w:r>
          </w:p>
        </w:tc>
      </w:tr>
      <w:tr w14:paraId="0D6A5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83B59F4">
            <w:pPr>
              <w:adjustRightInd w:val="0"/>
              <w:snapToGrid w:val="0"/>
              <w:spacing w:line="288" w:lineRule="auto"/>
              <w:jc w:val="center"/>
              <w:rPr>
                <w:rFonts w:ascii="宋体" w:hAnsi="宋体" w:cs="宋体"/>
                <w:b/>
                <w:bCs/>
                <w:sz w:val="21"/>
                <w:szCs w:val="21"/>
              </w:rPr>
            </w:pPr>
            <w:r>
              <w:rPr>
                <w:rFonts w:hint="eastAsia" w:ascii="宋体" w:hAnsi="宋体" w:cs="宋体"/>
                <w:sz w:val="21"/>
                <w:szCs w:val="21"/>
              </w:rPr>
              <w:t>2</w:t>
            </w:r>
          </w:p>
        </w:tc>
        <w:tc>
          <w:tcPr>
            <w:tcW w:w="3256" w:type="dxa"/>
            <w:vAlign w:val="center"/>
          </w:tcPr>
          <w:p w14:paraId="351F8CFD">
            <w:pPr>
              <w:adjustRightInd w:val="0"/>
              <w:snapToGrid w:val="0"/>
              <w:spacing w:line="288" w:lineRule="auto"/>
              <w:jc w:val="left"/>
              <w:rPr>
                <w:rFonts w:ascii="宋体" w:hAnsi="宋体" w:cs="宋体"/>
                <w:b/>
                <w:bCs/>
                <w:sz w:val="21"/>
                <w:szCs w:val="21"/>
              </w:rPr>
            </w:pPr>
            <w:r>
              <w:rPr>
                <w:rFonts w:hint="eastAsia" w:ascii="宋体" w:hAnsi="宋体" w:cs="宋体"/>
                <w:sz w:val="21"/>
                <w:szCs w:val="21"/>
              </w:rPr>
              <w:t>政府强制采购节能产品</w:t>
            </w:r>
          </w:p>
        </w:tc>
        <w:tc>
          <w:tcPr>
            <w:tcW w:w="5529" w:type="dxa"/>
            <w:vAlign w:val="center"/>
          </w:tcPr>
          <w:p w14:paraId="21182ECF">
            <w:pPr>
              <w:adjustRightInd w:val="0"/>
              <w:snapToGrid w:val="0"/>
              <w:spacing w:line="288" w:lineRule="auto"/>
              <w:jc w:val="left"/>
              <w:rPr>
                <w:rFonts w:ascii="宋体" w:hAnsi="宋体" w:cs="宋体"/>
                <w:b/>
                <w:bCs/>
                <w:sz w:val="21"/>
                <w:szCs w:val="21"/>
              </w:rPr>
            </w:pPr>
            <w:r>
              <w:rPr>
                <w:rFonts w:hint="eastAsia" w:ascii="宋体" w:hAnsi="宋体" w:cs="宋体"/>
                <w:sz w:val="21"/>
                <w:szCs w:val="21"/>
              </w:rPr>
              <w:t>不适用</w:t>
            </w:r>
          </w:p>
        </w:tc>
      </w:tr>
      <w:tr w14:paraId="3EABB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01DBA87">
            <w:pPr>
              <w:adjustRightInd w:val="0"/>
              <w:snapToGrid w:val="0"/>
              <w:spacing w:line="288" w:lineRule="auto"/>
              <w:jc w:val="center"/>
              <w:rPr>
                <w:rFonts w:ascii="宋体" w:hAnsi="宋体" w:cs="宋体"/>
                <w:b/>
                <w:bCs/>
                <w:sz w:val="21"/>
                <w:szCs w:val="21"/>
              </w:rPr>
            </w:pPr>
            <w:r>
              <w:rPr>
                <w:rFonts w:hint="eastAsia" w:ascii="宋体" w:hAnsi="宋体" w:cs="宋体"/>
                <w:sz w:val="21"/>
                <w:szCs w:val="21"/>
              </w:rPr>
              <w:t>3</w:t>
            </w:r>
          </w:p>
        </w:tc>
        <w:tc>
          <w:tcPr>
            <w:tcW w:w="3256" w:type="dxa"/>
            <w:vAlign w:val="center"/>
          </w:tcPr>
          <w:p w14:paraId="63D88665">
            <w:pPr>
              <w:adjustRightInd w:val="0"/>
              <w:snapToGrid w:val="0"/>
              <w:spacing w:line="288" w:lineRule="auto"/>
              <w:jc w:val="left"/>
              <w:rPr>
                <w:rFonts w:ascii="宋体" w:hAnsi="宋体" w:cs="宋体"/>
                <w:b/>
                <w:bCs/>
                <w:sz w:val="21"/>
                <w:szCs w:val="21"/>
              </w:rPr>
            </w:pPr>
            <w:r>
              <w:rPr>
                <w:rFonts w:hint="eastAsia" w:ascii="宋体" w:hAnsi="宋体" w:cs="宋体"/>
                <w:sz w:val="21"/>
                <w:szCs w:val="21"/>
              </w:rPr>
              <w:t>政府优先采购节能、环保产品</w:t>
            </w:r>
          </w:p>
        </w:tc>
        <w:tc>
          <w:tcPr>
            <w:tcW w:w="5529" w:type="dxa"/>
            <w:vAlign w:val="center"/>
          </w:tcPr>
          <w:p w14:paraId="19FD8ED0">
            <w:pPr>
              <w:adjustRightInd w:val="0"/>
              <w:snapToGrid w:val="0"/>
              <w:spacing w:line="288" w:lineRule="auto"/>
              <w:jc w:val="left"/>
              <w:rPr>
                <w:rFonts w:ascii="宋体" w:hAnsi="宋体" w:cs="宋体"/>
                <w:b/>
                <w:bCs/>
                <w:sz w:val="21"/>
                <w:szCs w:val="21"/>
              </w:rPr>
            </w:pPr>
            <w:r>
              <w:rPr>
                <w:rFonts w:hint="eastAsia" w:ascii="宋体" w:hAnsi="宋体" w:cs="宋体"/>
                <w:sz w:val="21"/>
                <w:szCs w:val="21"/>
              </w:rPr>
              <w:t>提供材料详见招标文件第六章“商务和技术文件”</w:t>
            </w:r>
          </w:p>
        </w:tc>
      </w:tr>
      <w:tr w14:paraId="68BAA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C6362E5">
            <w:pPr>
              <w:adjustRightInd w:val="0"/>
              <w:snapToGrid w:val="0"/>
              <w:spacing w:line="288" w:lineRule="auto"/>
              <w:jc w:val="center"/>
              <w:rPr>
                <w:rFonts w:ascii="宋体" w:hAnsi="宋体" w:cs="宋体"/>
                <w:sz w:val="21"/>
                <w:szCs w:val="21"/>
              </w:rPr>
            </w:pPr>
            <w:r>
              <w:rPr>
                <w:rFonts w:hint="eastAsia" w:ascii="宋体" w:hAnsi="宋体" w:cs="宋体"/>
                <w:sz w:val="21"/>
                <w:szCs w:val="21"/>
              </w:rPr>
              <w:t>4</w:t>
            </w:r>
          </w:p>
        </w:tc>
        <w:tc>
          <w:tcPr>
            <w:tcW w:w="3256" w:type="dxa"/>
            <w:vAlign w:val="center"/>
          </w:tcPr>
          <w:p w14:paraId="47D4E5F6">
            <w:pPr>
              <w:adjustRightInd w:val="0"/>
              <w:snapToGrid w:val="0"/>
              <w:spacing w:line="288" w:lineRule="auto"/>
              <w:jc w:val="left"/>
              <w:rPr>
                <w:rFonts w:ascii="宋体" w:hAnsi="宋体" w:cs="宋体"/>
                <w:sz w:val="21"/>
                <w:szCs w:val="16"/>
              </w:rPr>
            </w:pPr>
            <w:r>
              <w:rPr>
                <w:rFonts w:hint="eastAsia" w:ascii="宋体" w:hAnsi="宋体" w:cs="宋体"/>
                <w:sz w:val="21"/>
                <w:szCs w:val="16"/>
              </w:rPr>
              <w:t>政府采购支持科技创新</w:t>
            </w:r>
          </w:p>
        </w:tc>
        <w:tc>
          <w:tcPr>
            <w:tcW w:w="5529" w:type="dxa"/>
            <w:vAlign w:val="center"/>
          </w:tcPr>
          <w:p w14:paraId="0CD573B0">
            <w:pPr>
              <w:adjustRightInd w:val="0"/>
              <w:snapToGrid w:val="0"/>
              <w:spacing w:line="288" w:lineRule="auto"/>
              <w:jc w:val="left"/>
              <w:rPr>
                <w:rFonts w:ascii="宋体" w:hAnsi="宋体" w:cs="宋体"/>
                <w:sz w:val="21"/>
                <w:szCs w:val="16"/>
              </w:rPr>
            </w:pPr>
            <w:r>
              <w:rPr>
                <w:rFonts w:hint="eastAsia" w:ascii="宋体" w:hAnsi="宋体" w:cs="宋体"/>
                <w:sz w:val="21"/>
                <w:szCs w:val="16"/>
              </w:rPr>
              <w:t>提供材料详见招标文件第六章“商务和技术文件”</w:t>
            </w:r>
          </w:p>
        </w:tc>
      </w:tr>
      <w:tr w14:paraId="048E8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CA8F0D2">
            <w:pPr>
              <w:adjustRightInd w:val="0"/>
              <w:snapToGrid w:val="0"/>
              <w:spacing w:line="288" w:lineRule="auto"/>
              <w:jc w:val="center"/>
              <w:rPr>
                <w:rFonts w:ascii="宋体" w:hAnsi="宋体" w:cs="宋体"/>
                <w:b/>
                <w:bCs/>
                <w:sz w:val="21"/>
                <w:szCs w:val="21"/>
              </w:rPr>
            </w:pPr>
            <w:r>
              <w:rPr>
                <w:rFonts w:hint="eastAsia" w:ascii="宋体" w:hAnsi="宋体" w:cs="宋体"/>
                <w:sz w:val="21"/>
                <w:szCs w:val="21"/>
              </w:rPr>
              <w:t>5</w:t>
            </w:r>
          </w:p>
        </w:tc>
        <w:tc>
          <w:tcPr>
            <w:tcW w:w="3256" w:type="dxa"/>
            <w:vAlign w:val="center"/>
          </w:tcPr>
          <w:p w14:paraId="6C27B7A3">
            <w:pPr>
              <w:adjustRightInd w:val="0"/>
              <w:snapToGrid w:val="0"/>
              <w:spacing w:line="288" w:lineRule="auto"/>
              <w:jc w:val="left"/>
              <w:rPr>
                <w:rFonts w:ascii="宋体" w:hAnsi="宋体" w:cs="宋体"/>
                <w:sz w:val="21"/>
                <w:szCs w:val="21"/>
              </w:rPr>
            </w:pPr>
            <w:r>
              <w:rPr>
                <w:rFonts w:hint="eastAsia" w:ascii="宋体" w:hAnsi="宋体" w:cs="宋体"/>
                <w:sz w:val="21"/>
                <w:szCs w:val="21"/>
              </w:rPr>
              <w:t>政府采购促进中小企业发展</w:t>
            </w:r>
          </w:p>
        </w:tc>
        <w:tc>
          <w:tcPr>
            <w:tcW w:w="5529" w:type="dxa"/>
            <w:vAlign w:val="center"/>
          </w:tcPr>
          <w:p w14:paraId="6153818B">
            <w:pPr>
              <w:adjustRightInd w:val="0"/>
              <w:snapToGrid w:val="0"/>
              <w:spacing w:line="288" w:lineRule="auto"/>
              <w:jc w:val="left"/>
              <w:rPr>
                <w:rFonts w:ascii="宋体" w:hAnsi="宋体" w:cs="宋体"/>
                <w:sz w:val="21"/>
                <w:szCs w:val="21"/>
              </w:rPr>
            </w:pPr>
            <w:r>
              <w:rPr>
                <w:rFonts w:hint="eastAsia" w:ascii="宋体" w:hAnsi="宋体" w:cs="宋体"/>
                <w:sz w:val="21"/>
                <w:szCs w:val="21"/>
              </w:rPr>
              <w:t>提供材料详见招标文件第六章“报价文件”</w:t>
            </w:r>
          </w:p>
          <w:p w14:paraId="0698F5BB">
            <w:pPr>
              <w:adjustRightInd w:val="0"/>
              <w:snapToGrid w:val="0"/>
              <w:spacing w:line="288" w:lineRule="auto"/>
              <w:jc w:val="left"/>
              <w:rPr>
                <w:rFonts w:ascii="宋体" w:hAnsi="宋体"/>
                <w:b/>
                <w:bCs/>
                <w:sz w:val="21"/>
                <w:szCs w:val="21"/>
              </w:rPr>
            </w:pPr>
            <w:r>
              <w:rPr>
                <w:rFonts w:hint="eastAsia" w:ascii="宋体" w:hAnsi="宋体"/>
                <w:b/>
                <w:bCs/>
                <w:sz w:val="21"/>
                <w:szCs w:val="21"/>
              </w:rPr>
              <w:t>本项目采购标的为：货物</w:t>
            </w:r>
          </w:p>
          <w:p w14:paraId="53B653A9">
            <w:pPr>
              <w:adjustRightInd w:val="0"/>
              <w:snapToGrid w:val="0"/>
              <w:spacing w:line="288" w:lineRule="auto"/>
              <w:jc w:val="left"/>
              <w:rPr>
                <w:rFonts w:ascii="宋体" w:hAnsi="宋体"/>
                <w:b/>
                <w:bCs/>
                <w:sz w:val="21"/>
                <w:szCs w:val="21"/>
              </w:rPr>
            </w:pPr>
            <w:r>
              <w:rPr>
                <w:rFonts w:hint="eastAsia" w:ascii="宋体" w:hAnsi="宋体"/>
                <w:b/>
                <w:bCs/>
                <w:sz w:val="21"/>
                <w:szCs w:val="21"/>
              </w:rPr>
              <w:t>采购标的对应的中小企业划分标准所属行业：工业</w:t>
            </w:r>
          </w:p>
          <w:p w14:paraId="2119FEF8">
            <w:pPr>
              <w:adjustRightInd w:val="0"/>
              <w:snapToGrid w:val="0"/>
              <w:spacing w:line="288" w:lineRule="auto"/>
              <w:jc w:val="left"/>
              <w:rPr>
                <w:rFonts w:ascii="宋体" w:hAnsi="宋体" w:cs="宋体"/>
                <w:b/>
                <w:bCs/>
                <w:sz w:val="21"/>
                <w:szCs w:val="21"/>
              </w:rPr>
            </w:pPr>
            <w:r>
              <w:rPr>
                <w:rFonts w:hint="eastAsia" w:ascii="宋体" w:hAnsi="宋体"/>
                <w:b/>
                <w:bCs/>
                <w:sz w:val="21"/>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D27A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51E0B04">
            <w:pPr>
              <w:adjustRightInd w:val="0"/>
              <w:snapToGrid w:val="0"/>
              <w:spacing w:line="288" w:lineRule="auto"/>
              <w:jc w:val="center"/>
              <w:rPr>
                <w:rFonts w:ascii="宋体" w:hAnsi="宋体" w:cs="宋体"/>
                <w:sz w:val="21"/>
                <w:szCs w:val="21"/>
              </w:rPr>
            </w:pPr>
            <w:r>
              <w:rPr>
                <w:rFonts w:hint="eastAsia" w:ascii="宋体" w:hAnsi="宋体" w:cs="宋体"/>
                <w:sz w:val="21"/>
                <w:szCs w:val="21"/>
              </w:rPr>
              <w:t>6</w:t>
            </w:r>
          </w:p>
        </w:tc>
        <w:tc>
          <w:tcPr>
            <w:tcW w:w="3256" w:type="dxa"/>
            <w:vAlign w:val="center"/>
          </w:tcPr>
          <w:p w14:paraId="63405DB9">
            <w:pPr>
              <w:adjustRightInd w:val="0"/>
              <w:snapToGrid w:val="0"/>
              <w:spacing w:line="288" w:lineRule="auto"/>
              <w:jc w:val="left"/>
              <w:rPr>
                <w:rFonts w:ascii="宋体" w:hAnsi="宋体" w:cs="宋体"/>
                <w:sz w:val="21"/>
                <w:szCs w:val="21"/>
              </w:rPr>
            </w:pPr>
            <w:r>
              <w:rPr>
                <w:rFonts w:hint="eastAsia" w:ascii="宋体" w:hAnsi="宋体" w:cs="宋体"/>
                <w:sz w:val="21"/>
                <w:szCs w:val="21"/>
              </w:rPr>
              <w:t>政府采购支持监狱企业发展</w:t>
            </w:r>
          </w:p>
        </w:tc>
        <w:tc>
          <w:tcPr>
            <w:tcW w:w="5529" w:type="dxa"/>
            <w:vAlign w:val="center"/>
          </w:tcPr>
          <w:p w14:paraId="0DB0DAE9">
            <w:pPr>
              <w:adjustRightInd w:val="0"/>
              <w:snapToGrid w:val="0"/>
              <w:spacing w:line="288" w:lineRule="auto"/>
              <w:jc w:val="left"/>
              <w:rPr>
                <w:rFonts w:ascii="宋体" w:hAnsi="宋体"/>
                <w:b/>
                <w:bCs/>
                <w:sz w:val="21"/>
                <w:szCs w:val="21"/>
              </w:rPr>
            </w:pPr>
            <w:r>
              <w:rPr>
                <w:rFonts w:hint="eastAsia" w:ascii="宋体" w:hAnsi="宋体" w:cs="宋体"/>
                <w:sz w:val="21"/>
                <w:szCs w:val="21"/>
              </w:rPr>
              <w:t>提供材料详见招标文件第六章“报价文件”</w:t>
            </w:r>
          </w:p>
        </w:tc>
      </w:tr>
      <w:tr w14:paraId="1F905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F9CEB2D">
            <w:pPr>
              <w:adjustRightInd w:val="0"/>
              <w:snapToGrid w:val="0"/>
              <w:spacing w:line="288" w:lineRule="auto"/>
              <w:jc w:val="center"/>
              <w:rPr>
                <w:rFonts w:ascii="宋体" w:hAnsi="宋体" w:cs="宋体"/>
                <w:sz w:val="21"/>
                <w:szCs w:val="21"/>
              </w:rPr>
            </w:pPr>
            <w:r>
              <w:rPr>
                <w:rFonts w:hint="eastAsia" w:ascii="宋体" w:hAnsi="宋体" w:cs="宋体"/>
                <w:sz w:val="21"/>
                <w:szCs w:val="21"/>
              </w:rPr>
              <w:t>7</w:t>
            </w:r>
          </w:p>
        </w:tc>
        <w:tc>
          <w:tcPr>
            <w:tcW w:w="3256" w:type="dxa"/>
            <w:vAlign w:val="center"/>
          </w:tcPr>
          <w:p w14:paraId="1E2598E6">
            <w:pPr>
              <w:adjustRightInd w:val="0"/>
              <w:snapToGrid w:val="0"/>
              <w:spacing w:line="288" w:lineRule="auto"/>
              <w:jc w:val="left"/>
              <w:rPr>
                <w:rFonts w:ascii="宋体" w:hAnsi="宋体" w:cs="宋体"/>
                <w:sz w:val="21"/>
                <w:szCs w:val="21"/>
              </w:rPr>
            </w:pPr>
            <w:r>
              <w:rPr>
                <w:rFonts w:hint="eastAsia" w:ascii="宋体" w:hAnsi="宋体" w:cs="宋体"/>
                <w:sz w:val="21"/>
                <w:szCs w:val="21"/>
              </w:rPr>
              <w:t>政府采购促进残疾人就业</w:t>
            </w:r>
          </w:p>
        </w:tc>
        <w:tc>
          <w:tcPr>
            <w:tcW w:w="5529" w:type="dxa"/>
            <w:vAlign w:val="center"/>
          </w:tcPr>
          <w:p w14:paraId="2502374B">
            <w:pPr>
              <w:adjustRightInd w:val="0"/>
              <w:snapToGrid w:val="0"/>
              <w:spacing w:line="288" w:lineRule="auto"/>
              <w:jc w:val="left"/>
              <w:rPr>
                <w:rFonts w:ascii="宋体" w:hAnsi="宋体" w:cs="宋体"/>
                <w:sz w:val="21"/>
                <w:szCs w:val="21"/>
              </w:rPr>
            </w:pPr>
            <w:r>
              <w:rPr>
                <w:rFonts w:hint="eastAsia" w:ascii="宋体" w:hAnsi="宋体" w:cs="宋体"/>
                <w:sz w:val="21"/>
                <w:szCs w:val="21"/>
              </w:rPr>
              <w:t>提供材料详见招标文件第六章“报价文件”</w:t>
            </w:r>
          </w:p>
        </w:tc>
      </w:tr>
      <w:bookmarkEnd w:id="0"/>
    </w:tbl>
    <w:p w14:paraId="48EE9A97">
      <w:pPr>
        <w:adjustRightInd w:val="0"/>
        <w:snapToGrid w:val="0"/>
        <w:spacing w:line="288" w:lineRule="auto"/>
        <w:rPr>
          <w:rFonts w:ascii="宋体" w:hAnsi="宋体"/>
          <w:sz w:val="21"/>
          <w:szCs w:val="21"/>
        </w:rPr>
      </w:pPr>
    </w:p>
    <w:p w14:paraId="4C75F752">
      <w:pPr>
        <w:adjustRightInd w:val="0"/>
        <w:snapToGrid w:val="0"/>
        <w:spacing w:line="288" w:lineRule="auto"/>
        <w:outlineLvl w:val="1"/>
        <w:rPr>
          <w:rFonts w:ascii="宋体" w:hAnsi="宋体"/>
          <w:b/>
          <w:sz w:val="21"/>
          <w:szCs w:val="21"/>
          <w:highlight w:val="yellow"/>
        </w:rPr>
      </w:pPr>
      <w:r>
        <w:rPr>
          <w:rFonts w:hint="eastAsia" w:ascii="宋体" w:hAnsi="宋体"/>
          <w:b/>
          <w:sz w:val="21"/>
          <w:szCs w:val="21"/>
        </w:rPr>
        <w:t>二</w:t>
      </w:r>
      <w:r>
        <w:rPr>
          <w:rFonts w:ascii="宋体" w:hAnsi="宋体"/>
          <w:b/>
          <w:sz w:val="21"/>
          <w:szCs w:val="21"/>
        </w:rPr>
        <w:t>、</w:t>
      </w:r>
      <w:r>
        <w:rPr>
          <w:rFonts w:hint="eastAsia" w:ascii="宋体" w:hAnsi="宋体"/>
          <w:b/>
          <w:sz w:val="21"/>
          <w:szCs w:val="21"/>
        </w:rPr>
        <w:t>采购资金的支付方式、时间、条件：</w:t>
      </w:r>
    </w:p>
    <w:tbl>
      <w:tblPr>
        <w:tblStyle w:val="2"/>
        <w:tblW w:w="9493"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6DCAA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310F0324">
            <w:pPr>
              <w:adjustRightInd w:val="0"/>
              <w:snapToGrid w:val="0"/>
              <w:spacing w:line="288" w:lineRule="auto"/>
              <w:jc w:val="center"/>
              <w:rPr>
                <w:rFonts w:ascii="宋体" w:hAnsi="宋体"/>
                <w:b/>
                <w:spacing w:val="-6"/>
                <w:sz w:val="21"/>
                <w:szCs w:val="21"/>
              </w:rPr>
            </w:pPr>
            <w:bookmarkStart w:id="1" w:name="_Hlk45005608"/>
            <w:r>
              <w:rPr>
                <w:rFonts w:hint="eastAsia" w:ascii="宋体" w:hAnsi="宋体"/>
                <w:b/>
                <w:spacing w:val="-6"/>
                <w:sz w:val="21"/>
                <w:szCs w:val="21"/>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11DEF326">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1、货款支付方式：</w:t>
            </w:r>
          </w:p>
          <w:p w14:paraId="257AD339">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国产设备及境内直接供货的进口设备：货到经安装调试，用户认定合格后，凭用户出具的安装调试报告支付90%货款；验收合格后凭用户出具的验收报告支付10%货款</w:t>
            </w:r>
            <w:r>
              <w:rPr>
                <w:rFonts w:hint="eastAsia" w:ascii="宋体" w:hAnsi="宋体"/>
                <w:sz w:val="21"/>
                <w:szCs w:val="21"/>
              </w:rPr>
              <w:t>。</w:t>
            </w:r>
          </w:p>
          <w:p w14:paraId="14590686">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2、货款的结算：</w:t>
            </w:r>
          </w:p>
          <w:p w14:paraId="774CB0F6">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国产设备及境内直接供货的进口设备货款由需方负责支付。</w:t>
            </w:r>
          </w:p>
          <w:p w14:paraId="524FFB73">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开票信息：开具增值税专用发票；</w:t>
            </w:r>
          </w:p>
          <w:p w14:paraId="79A195A1">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抬头：浙江大学</w:t>
            </w:r>
          </w:p>
          <w:p w14:paraId="0B025E28">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纳税人识别号：12100000470095016Q</w:t>
            </w:r>
          </w:p>
          <w:p w14:paraId="697DA50D">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地址：杭州市余杭塘路866号，电话88981919</w:t>
            </w:r>
          </w:p>
          <w:p w14:paraId="54F81716">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开户行：农行杭州市浙大支行紫金港支行</w:t>
            </w:r>
          </w:p>
          <w:p w14:paraId="3AEBCDD6">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账号：19042201040000014</w:t>
            </w:r>
          </w:p>
          <w:p w14:paraId="1C8D1B48">
            <w:pPr>
              <w:autoSpaceDE w:val="0"/>
              <w:autoSpaceDN w:val="0"/>
              <w:adjustRightInd w:val="0"/>
              <w:snapToGrid w:val="0"/>
              <w:spacing w:line="288" w:lineRule="auto"/>
              <w:jc w:val="left"/>
              <w:rPr>
                <w:rFonts w:ascii="宋体" w:hAnsi="宋体" w:cs="宋体"/>
                <w:spacing w:val="-6"/>
                <w:kern w:val="0"/>
                <w:sz w:val="21"/>
                <w:szCs w:val="21"/>
                <w:highlight w:val="yellow"/>
              </w:rPr>
            </w:pPr>
            <w:r>
              <w:rPr>
                <w:rFonts w:hint="eastAsia" w:ascii="宋体" w:hAnsi="宋体" w:cs="宋体"/>
                <w:spacing w:val="-6"/>
                <w:kern w:val="0"/>
                <w:sz w:val="21"/>
                <w:szCs w:val="21"/>
              </w:rPr>
              <w:t>行号：103331004223</w:t>
            </w:r>
          </w:p>
        </w:tc>
      </w:tr>
      <w:bookmarkEnd w:id="1"/>
    </w:tbl>
    <w:p w14:paraId="5A7357A0">
      <w:pPr>
        <w:adjustRightInd w:val="0"/>
        <w:snapToGrid w:val="0"/>
        <w:spacing w:line="288" w:lineRule="auto"/>
        <w:ind w:left="238" w:hanging="238" w:hangingChars="113"/>
        <w:rPr>
          <w:rFonts w:ascii="宋体" w:hAnsi="宋体"/>
          <w:b/>
          <w:sz w:val="21"/>
          <w:szCs w:val="21"/>
        </w:rPr>
      </w:pPr>
    </w:p>
    <w:p w14:paraId="65F8F927">
      <w:pPr>
        <w:adjustRightInd w:val="0"/>
        <w:snapToGrid w:val="0"/>
        <w:spacing w:line="288" w:lineRule="auto"/>
        <w:ind w:left="238" w:hanging="238" w:hangingChars="113"/>
        <w:outlineLvl w:val="1"/>
        <w:rPr>
          <w:rFonts w:ascii="宋体" w:hAnsi="宋体"/>
          <w:b/>
          <w:sz w:val="21"/>
          <w:szCs w:val="21"/>
        </w:rPr>
      </w:pPr>
      <w:r>
        <w:rPr>
          <w:rFonts w:hint="eastAsia" w:ascii="宋体" w:hAnsi="宋体"/>
          <w:b/>
          <w:sz w:val="21"/>
          <w:szCs w:val="21"/>
        </w:rPr>
        <w:t>三</w:t>
      </w:r>
      <w:r>
        <w:rPr>
          <w:rFonts w:ascii="宋体" w:hAnsi="宋体"/>
          <w:b/>
          <w:sz w:val="21"/>
          <w:szCs w:val="21"/>
        </w:rPr>
        <w:t>、</w:t>
      </w:r>
      <w:r>
        <w:rPr>
          <w:rFonts w:hint="eastAsia" w:ascii="宋体" w:hAnsi="宋体"/>
          <w:b/>
          <w:sz w:val="21"/>
          <w:szCs w:val="21"/>
        </w:rPr>
        <w:t>服务</w:t>
      </w:r>
      <w:r>
        <w:rPr>
          <w:rFonts w:ascii="宋体" w:hAnsi="宋体"/>
          <w:b/>
          <w:sz w:val="21"/>
          <w:szCs w:val="21"/>
        </w:rPr>
        <w:t>要求</w:t>
      </w:r>
      <w:r>
        <w:rPr>
          <w:rFonts w:hint="eastAsia" w:ascii="宋体" w:hAnsi="宋体"/>
          <w:b/>
          <w:spacing w:val="-6"/>
          <w:sz w:val="21"/>
          <w:szCs w:val="21"/>
        </w:rPr>
        <w:t>（技术要求里另有注明的以技术要求为准）</w:t>
      </w:r>
      <w:r>
        <w:rPr>
          <w:rFonts w:ascii="宋体" w:hAnsi="宋体"/>
          <w:b/>
          <w:sz w:val="21"/>
          <w:szCs w:val="21"/>
        </w:rPr>
        <w:t>：</w:t>
      </w:r>
    </w:p>
    <w:tbl>
      <w:tblPr>
        <w:tblStyle w:val="2"/>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6BBD8B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40201DF">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D0FEC1F">
            <w:pPr>
              <w:adjustRightInd w:val="0"/>
              <w:snapToGrid w:val="0"/>
              <w:spacing w:line="288" w:lineRule="auto"/>
              <w:rPr>
                <w:rFonts w:ascii="宋体" w:hAnsi="宋体" w:cs="宋体"/>
                <w:sz w:val="21"/>
                <w:szCs w:val="21"/>
              </w:rPr>
            </w:pPr>
            <w:r>
              <w:rPr>
                <w:rFonts w:hint="eastAsia" w:ascii="宋体" w:hAnsi="宋体" w:cs="宋体"/>
                <w:sz w:val="21"/>
                <w:szCs w:val="21"/>
              </w:rPr>
              <w:t>合同签订后6</w:t>
            </w:r>
            <w:r>
              <w:rPr>
                <w:rFonts w:ascii="宋体" w:hAnsi="宋体" w:cs="宋体"/>
                <w:sz w:val="21"/>
                <w:szCs w:val="21"/>
              </w:rPr>
              <w:t>0</w:t>
            </w:r>
            <w:r>
              <w:rPr>
                <w:rFonts w:hint="eastAsia" w:ascii="宋体" w:hAnsi="宋体" w:cs="宋体"/>
                <w:sz w:val="21"/>
                <w:szCs w:val="21"/>
              </w:rPr>
              <w:t>日内</w:t>
            </w:r>
          </w:p>
        </w:tc>
      </w:tr>
      <w:tr w14:paraId="06FCA6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F8583CB">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2FF4680A">
            <w:pPr>
              <w:adjustRightInd w:val="0"/>
              <w:snapToGrid w:val="0"/>
              <w:spacing w:line="288" w:lineRule="auto"/>
              <w:rPr>
                <w:rFonts w:ascii="宋体" w:hAnsi="宋体" w:cs="宋体"/>
                <w:sz w:val="21"/>
                <w:szCs w:val="21"/>
              </w:rPr>
            </w:pPr>
            <w:r>
              <w:rPr>
                <w:rFonts w:hint="eastAsia" w:ascii="宋体" w:hAnsi="宋体" w:cs="宋体"/>
                <w:sz w:val="21"/>
                <w:szCs w:val="21"/>
              </w:rPr>
              <w:t>采购人指定地点</w:t>
            </w:r>
          </w:p>
        </w:tc>
      </w:tr>
      <w:tr w14:paraId="6708E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209AC77D">
            <w:pPr>
              <w:adjustRightInd w:val="0"/>
              <w:snapToGrid w:val="0"/>
              <w:spacing w:line="288" w:lineRule="auto"/>
              <w:jc w:val="center"/>
              <w:rPr>
                <w:rFonts w:ascii="宋体" w:hAnsi="宋体" w:cs="宋体"/>
                <w:b/>
                <w:bCs/>
                <w:sz w:val="21"/>
                <w:szCs w:val="21"/>
              </w:rPr>
            </w:pPr>
            <w:r>
              <w:rPr>
                <w:rFonts w:hint="eastAsia" w:ascii="宋体" w:hAnsi="宋体" w:cs="宋体"/>
                <w:sz w:val="21"/>
                <w:szCs w:val="21"/>
              </w:rPr>
              <w:t>▲</w:t>
            </w:r>
            <w:r>
              <w:rPr>
                <w:rFonts w:hint="eastAsia" w:ascii="宋体" w:hAnsi="宋体" w:cs="宋体"/>
                <w:b/>
                <w:bCs/>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5B4FA7AA">
            <w:pPr>
              <w:adjustRightInd w:val="0"/>
              <w:snapToGrid w:val="0"/>
              <w:spacing w:line="288" w:lineRule="auto"/>
              <w:rPr>
                <w:rFonts w:ascii="宋体" w:hAnsi="宋体" w:cs="宋体"/>
                <w:sz w:val="21"/>
                <w:szCs w:val="21"/>
              </w:rPr>
            </w:pPr>
            <w:r>
              <w:rPr>
                <w:rFonts w:ascii="宋体" w:hAnsi="宋体" w:cs="宋体"/>
                <w:sz w:val="21"/>
                <w:szCs w:val="21"/>
              </w:rPr>
              <w:t>2</w:t>
            </w:r>
            <w:r>
              <w:rPr>
                <w:rFonts w:hint="eastAsia" w:ascii="宋体" w:hAnsi="宋体" w:cs="宋体"/>
                <w:sz w:val="21"/>
                <w:szCs w:val="21"/>
              </w:rPr>
              <w:t>年，项目验收合格后开始计算</w:t>
            </w:r>
          </w:p>
        </w:tc>
      </w:tr>
      <w:tr w14:paraId="2E1EE6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0DA26B3">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1EFFEFE4">
            <w:pPr>
              <w:adjustRightInd w:val="0"/>
              <w:snapToGrid w:val="0"/>
              <w:spacing w:line="288" w:lineRule="auto"/>
              <w:rPr>
                <w:rFonts w:ascii="宋体" w:hAnsi="宋体" w:cs="宋体"/>
                <w:sz w:val="21"/>
                <w:szCs w:val="21"/>
              </w:rPr>
            </w:pPr>
            <w:r>
              <w:rPr>
                <w:rFonts w:ascii="宋体" w:hAnsi="宋体" w:cs="宋体"/>
                <w:sz w:val="21"/>
                <w:szCs w:val="21"/>
              </w:rPr>
              <w:t>1</w:t>
            </w:r>
            <w:r>
              <w:rPr>
                <w:rFonts w:hint="eastAsia" w:ascii="宋体" w:hAnsi="宋体" w:cs="宋体"/>
                <w:sz w:val="21"/>
                <w:szCs w:val="21"/>
              </w:rPr>
              <w:t>.在质保期内，供应商应对货物出现的质量及安全问题负责处理解决并承担一切费用。</w:t>
            </w:r>
          </w:p>
          <w:p w14:paraId="747D6C8A">
            <w:pPr>
              <w:adjustRightInd w:val="0"/>
              <w:snapToGrid w:val="0"/>
              <w:spacing w:line="288" w:lineRule="auto"/>
              <w:rPr>
                <w:rFonts w:ascii="宋体" w:hAnsi="宋体" w:cs="宋体"/>
                <w:sz w:val="21"/>
                <w:szCs w:val="21"/>
              </w:rPr>
            </w:pPr>
            <w:r>
              <w:rPr>
                <w:rFonts w:ascii="宋体" w:hAnsi="宋体" w:cs="宋体"/>
                <w:sz w:val="21"/>
                <w:szCs w:val="21"/>
              </w:rPr>
              <w:t>2.</w:t>
            </w:r>
            <w:r>
              <w:rPr>
                <w:rFonts w:hint="eastAsia" w:ascii="宋体" w:hAnsi="宋体" w:cs="宋体"/>
                <w:sz w:val="21"/>
                <w:szCs w:val="21"/>
              </w:rPr>
              <w:t>质保期内出现无法排除的故障，供应商需无条件更换同型号产品。</w:t>
            </w:r>
          </w:p>
          <w:p w14:paraId="0379B2B2">
            <w:pPr>
              <w:adjustRightInd w:val="0"/>
              <w:snapToGrid w:val="0"/>
              <w:spacing w:line="288" w:lineRule="auto"/>
              <w:rPr>
                <w:rFonts w:ascii="宋体" w:hAnsi="宋体" w:cs="宋体"/>
                <w:sz w:val="21"/>
                <w:szCs w:val="21"/>
              </w:rPr>
            </w:pPr>
            <w:r>
              <w:rPr>
                <w:rFonts w:ascii="宋体" w:hAnsi="宋体" w:cs="宋体"/>
                <w:sz w:val="21"/>
                <w:szCs w:val="21"/>
              </w:rPr>
              <w:t>3.</w:t>
            </w:r>
            <w:r>
              <w:rPr>
                <w:rFonts w:hint="eastAsia" w:ascii="宋体" w:hAnsi="宋体" w:cs="宋体"/>
                <w:sz w:val="21"/>
                <w:szCs w:val="21"/>
              </w:rPr>
              <w:t>质保期满后，供应商继续为采购人服务，仅收取零配件成本费。</w:t>
            </w:r>
          </w:p>
          <w:p w14:paraId="18D82B00">
            <w:pPr>
              <w:adjustRightInd w:val="0"/>
              <w:snapToGrid w:val="0"/>
              <w:spacing w:line="288" w:lineRule="auto"/>
              <w:rPr>
                <w:rFonts w:ascii="宋体" w:hAnsi="宋体" w:cs="宋体"/>
                <w:sz w:val="21"/>
                <w:szCs w:val="21"/>
              </w:rPr>
            </w:pPr>
            <w:r>
              <w:rPr>
                <w:rFonts w:ascii="宋体" w:hAnsi="宋体" w:cs="宋体"/>
                <w:sz w:val="21"/>
                <w:szCs w:val="21"/>
              </w:rPr>
              <w:t>4.</w:t>
            </w:r>
            <w:r>
              <w:rPr>
                <w:rFonts w:hint="eastAsia" w:ascii="宋体" w:hAnsi="宋体" w:cs="宋体"/>
                <w:sz w:val="21"/>
                <w:szCs w:val="21"/>
              </w:rPr>
              <w:t>因人为因素出现的故障不在免费保修范围内。</w:t>
            </w:r>
          </w:p>
          <w:p w14:paraId="77679551">
            <w:pPr>
              <w:adjustRightInd w:val="0"/>
              <w:snapToGrid w:val="0"/>
              <w:spacing w:line="288" w:lineRule="auto"/>
              <w:rPr>
                <w:rFonts w:ascii="宋体" w:hAnsi="宋体" w:cs="宋体"/>
                <w:sz w:val="21"/>
                <w:szCs w:val="21"/>
                <w:u w:val="single"/>
              </w:rPr>
            </w:pPr>
            <w:r>
              <w:rPr>
                <w:rFonts w:ascii="宋体" w:hAnsi="宋体" w:cs="宋体"/>
                <w:sz w:val="21"/>
                <w:szCs w:val="21"/>
              </w:rPr>
              <w:t>5</w:t>
            </w:r>
            <w:r>
              <w:rPr>
                <w:rFonts w:hint="eastAsia" w:ascii="宋体" w:hAnsi="宋体" w:cs="宋体"/>
                <w:sz w:val="21"/>
                <w:szCs w:val="21"/>
              </w:rPr>
              <w:t>.</w:t>
            </w:r>
            <w:r>
              <w:rPr>
                <w:rFonts w:hint="eastAsia" w:ascii="宋体" w:hAnsi="宋体" w:cs="宋体"/>
                <w:sz w:val="21"/>
                <w:szCs w:val="21"/>
                <w:u w:val="single"/>
              </w:rPr>
              <w:t>如在使用过程中发生质量问题，供应商维修响应时间：2小时以内；</w:t>
            </w:r>
          </w:p>
          <w:p w14:paraId="73401DD0">
            <w:pPr>
              <w:adjustRightInd w:val="0"/>
              <w:snapToGrid w:val="0"/>
              <w:spacing w:line="288" w:lineRule="auto"/>
              <w:rPr>
                <w:rFonts w:ascii="宋体" w:hAnsi="宋体" w:cs="宋体"/>
                <w:sz w:val="21"/>
                <w:szCs w:val="21"/>
                <w:u w:val="single"/>
              </w:rPr>
            </w:pPr>
            <w:r>
              <w:rPr>
                <w:rFonts w:hint="eastAsia" w:ascii="宋体" w:hAnsi="宋体" w:cs="宋体"/>
                <w:sz w:val="21"/>
                <w:szCs w:val="21"/>
                <w:u w:val="single"/>
              </w:rPr>
              <w:t>电话技术支持时间：2小时以内；</w:t>
            </w:r>
          </w:p>
          <w:p w14:paraId="358C5F72">
            <w:pPr>
              <w:adjustRightInd w:val="0"/>
              <w:snapToGrid w:val="0"/>
              <w:spacing w:line="288" w:lineRule="auto"/>
              <w:rPr>
                <w:rFonts w:ascii="宋体" w:hAnsi="宋体" w:cs="宋体"/>
                <w:sz w:val="21"/>
                <w:szCs w:val="21"/>
              </w:rPr>
            </w:pPr>
            <w:r>
              <w:rPr>
                <w:rFonts w:hint="eastAsia" w:ascii="宋体" w:hAnsi="宋体" w:cs="宋体"/>
                <w:sz w:val="21"/>
                <w:szCs w:val="21"/>
                <w:u w:val="single"/>
              </w:rPr>
              <w:t>若需上门维修，则在24小时内到达现场并进行维修；</w:t>
            </w:r>
            <w:r>
              <w:rPr>
                <w:rFonts w:ascii="宋体" w:hAnsi="宋体" w:cs="宋体"/>
                <w:sz w:val="21"/>
                <w:szCs w:val="21"/>
              </w:rPr>
              <w:t xml:space="preserve"> </w:t>
            </w:r>
          </w:p>
        </w:tc>
      </w:tr>
      <w:tr w14:paraId="501332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D04888B">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5F7BF17F">
            <w:pPr>
              <w:adjustRightInd w:val="0"/>
              <w:snapToGrid w:val="0"/>
              <w:spacing w:line="288" w:lineRule="auto"/>
              <w:rPr>
                <w:rFonts w:ascii="宋体" w:hAnsi="宋体" w:cs="宋体"/>
                <w:sz w:val="21"/>
                <w:szCs w:val="21"/>
              </w:rPr>
            </w:pPr>
            <w:r>
              <w:rPr>
                <w:rFonts w:hint="eastAsia" w:ascii="宋体" w:hAnsi="宋体" w:cs="宋体"/>
                <w:sz w:val="21"/>
                <w:szCs w:val="21"/>
              </w:rPr>
              <w:t>1.验收由采购人负责实施；</w:t>
            </w:r>
          </w:p>
          <w:p w14:paraId="24A3019F">
            <w:pPr>
              <w:adjustRightInd w:val="0"/>
              <w:snapToGrid w:val="0"/>
              <w:spacing w:line="288" w:lineRule="auto"/>
              <w:rPr>
                <w:rFonts w:ascii="宋体" w:hAnsi="宋体" w:cs="宋体"/>
                <w:sz w:val="21"/>
                <w:szCs w:val="21"/>
              </w:rPr>
            </w:pPr>
            <w:r>
              <w:rPr>
                <w:rFonts w:hint="eastAsia" w:ascii="宋体" w:hAnsi="宋体" w:cs="宋体"/>
                <w:sz w:val="21"/>
                <w:szCs w:val="21"/>
              </w:rPr>
              <w:t>2.验收依据：</w:t>
            </w:r>
          </w:p>
          <w:p w14:paraId="720A4523">
            <w:pPr>
              <w:adjustRightInd w:val="0"/>
              <w:snapToGrid w:val="0"/>
              <w:spacing w:line="288" w:lineRule="auto"/>
              <w:rPr>
                <w:rFonts w:ascii="宋体" w:hAnsi="宋体" w:cs="宋体"/>
                <w:sz w:val="21"/>
                <w:szCs w:val="21"/>
              </w:rPr>
            </w:pPr>
            <w:r>
              <w:rPr>
                <w:rFonts w:hint="eastAsia" w:ascii="宋体" w:hAnsi="宋体" w:cs="宋体"/>
                <w:sz w:val="21"/>
                <w:szCs w:val="21"/>
              </w:rPr>
              <w:t>2.1合同、招标文件、投标文件；</w:t>
            </w:r>
          </w:p>
          <w:p w14:paraId="13B9D0F4">
            <w:pPr>
              <w:adjustRightInd w:val="0"/>
              <w:snapToGrid w:val="0"/>
              <w:spacing w:line="288" w:lineRule="auto"/>
              <w:rPr>
                <w:rFonts w:ascii="宋体" w:hAnsi="宋体" w:cs="宋体"/>
                <w:sz w:val="21"/>
                <w:szCs w:val="21"/>
              </w:rPr>
            </w:pPr>
            <w:r>
              <w:rPr>
                <w:rFonts w:hint="eastAsia" w:ascii="宋体" w:hAnsi="宋体" w:cs="宋体"/>
                <w:sz w:val="21"/>
                <w:szCs w:val="21"/>
              </w:rPr>
              <w:t>2.2供应商提供的技术规格、经采购人认可的合同货物的有效检验文件；</w:t>
            </w:r>
          </w:p>
          <w:p w14:paraId="3E463979">
            <w:pPr>
              <w:adjustRightInd w:val="0"/>
              <w:snapToGrid w:val="0"/>
              <w:spacing w:line="288" w:lineRule="auto"/>
              <w:rPr>
                <w:rFonts w:ascii="宋体" w:hAnsi="宋体" w:cs="宋体"/>
                <w:sz w:val="21"/>
                <w:szCs w:val="21"/>
              </w:rPr>
            </w:pPr>
            <w:r>
              <w:rPr>
                <w:rFonts w:hint="eastAsia" w:ascii="宋体" w:hAnsi="宋体" w:cs="宋体"/>
                <w:sz w:val="21"/>
                <w:szCs w:val="21"/>
              </w:rPr>
              <w:t>2.3供应商投标文件中提供的经采购人认可的合同货物的验收标准（符合中国有关的国家、地方、行业标准）和检测办法及相应检测手段。</w:t>
            </w:r>
          </w:p>
          <w:p w14:paraId="7FB26FB6">
            <w:pPr>
              <w:adjustRightInd w:val="0"/>
              <w:snapToGrid w:val="0"/>
              <w:spacing w:line="288" w:lineRule="auto"/>
              <w:rPr>
                <w:rFonts w:ascii="宋体" w:hAnsi="宋体" w:cs="宋体"/>
                <w:sz w:val="21"/>
                <w:szCs w:val="21"/>
              </w:rPr>
            </w:pPr>
            <w:r>
              <w:rPr>
                <w:rFonts w:hint="eastAsia" w:ascii="宋体" w:hAnsi="宋体" w:cs="宋体"/>
                <w:sz w:val="21"/>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7D738F7B">
            <w:pPr>
              <w:adjustRightInd w:val="0"/>
              <w:snapToGrid w:val="0"/>
              <w:spacing w:line="288" w:lineRule="auto"/>
              <w:rPr>
                <w:rFonts w:ascii="宋体" w:hAnsi="宋体" w:cs="宋体"/>
                <w:sz w:val="21"/>
                <w:szCs w:val="21"/>
              </w:rPr>
            </w:pPr>
            <w:r>
              <w:rPr>
                <w:rFonts w:hint="eastAsia" w:ascii="宋体" w:hAnsi="宋体" w:cs="宋体"/>
                <w:sz w:val="21"/>
                <w:szCs w:val="21"/>
              </w:rPr>
              <w:t>4.验收合格的条件：</w:t>
            </w:r>
          </w:p>
          <w:p w14:paraId="66F8692B">
            <w:pPr>
              <w:adjustRightInd w:val="0"/>
              <w:snapToGrid w:val="0"/>
              <w:spacing w:line="288" w:lineRule="auto"/>
              <w:rPr>
                <w:rFonts w:ascii="宋体" w:hAnsi="宋体" w:cs="宋体"/>
                <w:sz w:val="21"/>
                <w:szCs w:val="21"/>
              </w:rPr>
            </w:pPr>
            <w:r>
              <w:rPr>
                <w:rFonts w:hint="eastAsia" w:ascii="宋体" w:hAnsi="宋体" w:cs="宋体"/>
                <w:sz w:val="21"/>
                <w:szCs w:val="21"/>
              </w:rPr>
              <w:t>4.1所供货物符合产品标准和合同的要求；</w:t>
            </w:r>
          </w:p>
          <w:p w14:paraId="15A7EFE4">
            <w:pPr>
              <w:adjustRightInd w:val="0"/>
              <w:snapToGrid w:val="0"/>
              <w:spacing w:line="288" w:lineRule="auto"/>
              <w:rPr>
                <w:rFonts w:ascii="宋体" w:hAnsi="宋体" w:cs="宋体"/>
                <w:sz w:val="21"/>
                <w:szCs w:val="21"/>
              </w:rPr>
            </w:pPr>
            <w:r>
              <w:rPr>
                <w:rFonts w:hint="eastAsia" w:ascii="宋体" w:hAnsi="宋体" w:cs="宋体"/>
                <w:sz w:val="21"/>
                <w:szCs w:val="21"/>
              </w:rPr>
              <w:t>4.2在进行测试和验收过程中发现的问题已被解决并得到采购人的认可；</w:t>
            </w:r>
          </w:p>
          <w:p w14:paraId="61D3D415">
            <w:pPr>
              <w:adjustRightInd w:val="0"/>
              <w:snapToGrid w:val="0"/>
              <w:spacing w:line="288" w:lineRule="auto"/>
              <w:rPr>
                <w:rFonts w:ascii="宋体" w:hAnsi="宋体" w:cs="宋体"/>
                <w:sz w:val="21"/>
                <w:szCs w:val="21"/>
              </w:rPr>
            </w:pPr>
            <w:r>
              <w:rPr>
                <w:rFonts w:hint="eastAsia" w:ascii="宋体" w:hAnsi="宋体" w:cs="宋体"/>
                <w:sz w:val="21"/>
                <w:szCs w:val="21"/>
              </w:rPr>
              <w:t>4.3合同中规定的所有货物和材料均已交付；</w:t>
            </w:r>
          </w:p>
          <w:p w14:paraId="00104CE8">
            <w:pPr>
              <w:adjustRightInd w:val="0"/>
              <w:snapToGrid w:val="0"/>
              <w:spacing w:line="288" w:lineRule="auto"/>
              <w:rPr>
                <w:rFonts w:ascii="宋体" w:hAnsi="宋体" w:cs="宋体"/>
                <w:sz w:val="21"/>
                <w:szCs w:val="21"/>
              </w:rPr>
            </w:pPr>
            <w:r>
              <w:rPr>
                <w:rFonts w:hint="eastAsia" w:ascii="宋体" w:hAnsi="宋体" w:cs="宋体"/>
                <w:sz w:val="21"/>
                <w:szCs w:val="21"/>
              </w:rPr>
              <w:t>4.4所供货物已通过使用单位组织的验收；</w:t>
            </w:r>
          </w:p>
          <w:p w14:paraId="618AF4A6">
            <w:pPr>
              <w:adjustRightInd w:val="0"/>
              <w:snapToGrid w:val="0"/>
              <w:spacing w:line="288" w:lineRule="auto"/>
              <w:rPr>
                <w:rFonts w:ascii="宋体" w:hAnsi="宋体" w:cs="宋体"/>
                <w:sz w:val="21"/>
                <w:szCs w:val="21"/>
              </w:rPr>
            </w:pPr>
            <w:r>
              <w:rPr>
                <w:rFonts w:hint="eastAsia" w:ascii="宋体" w:hAnsi="宋体" w:cs="宋体"/>
                <w:sz w:val="21"/>
                <w:szCs w:val="21"/>
              </w:rPr>
              <w:t>4.5所有相关的技术文件及资料均已提交并得到接受。</w:t>
            </w:r>
          </w:p>
        </w:tc>
      </w:tr>
      <w:tr w14:paraId="6268BB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CEADBA0">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7F82EDD2">
            <w:pPr>
              <w:adjustRightInd w:val="0"/>
              <w:snapToGrid w:val="0"/>
              <w:spacing w:line="288" w:lineRule="auto"/>
              <w:rPr>
                <w:rFonts w:ascii="宋体" w:hAnsi="宋体" w:cs="宋体"/>
                <w:sz w:val="21"/>
                <w:szCs w:val="21"/>
              </w:rPr>
            </w:pPr>
            <w:r>
              <w:rPr>
                <w:rFonts w:hint="eastAsia" w:ascii="宋体" w:hAnsi="宋体" w:cs="宋体"/>
                <w:sz w:val="21"/>
                <w:szCs w:val="21"/>
              </w:rPr>
              <w:t>▲1</w:t>
            </w:r>
            <w:r>
              <w:rPr>
                <w:rFonts w:ascii="宋体" w:hAnsi="宋体" w:cs="宋体"/>
                <w:sz w:val="21"/>
                <w:szCs w:val="21"/>
              </w:rPr>
              <w:t>.</w:t>
            </w:r>
            <w:r>
              <w:rPr>
                <w:rFonts w:hint="eastAsia" w:ascii="宋体" w:hAnsi="宋体" w:cs="宋体"/>
                <w:sz w:val="21"/>
                <w:szCs w:val="21"/>
              </w:rPr>
              <w:t>供应商应按招标文件规定的货物性能、技术要求、质量标准向采购人提供未经使用的全新产品，符合国家法律法规规定和技术规格、质量标准的出厂原装合格产品。</w:t>
            </w:r>
          </w:p>
          <w:p w14:paraId="0513460B">
            <w:pPr>
              <w:adjustRightInd w:val="0"/>
              <w:snapToGrid w:val="0"/>
              <w:spacing w:line="288" w:lineRule="auto"/>
              <w:rPr>
                <w:rFonts w:ascii="宋体" w:hAnsi="宋体" w:cs="宋体"/>
                <w:sz w:val="21"/>
                <w:szCs w:val="21"/>
              </w:rPr>
            </w:pPr>
            <w:r>
              <w:rPr>
                <w:rFonts w:ascii="宋体" w:hAnsi="宋体" w:cs="宋体"/>
                <w:sz w:val="21"/>
                <w:szCs w:val="21"/>
              </w:rPr>
              <w:t>2</w:t>
            </w:r>
            <w:r>
              <w:rPr>
                <w:rFonts w:hint="eastAsia" w:ascii="宋体" w:hAnsi="宋体" w:cs="宋体"/>
                <w:sz w:val="21"/>
                <w:szCs w:val="21"/>
              </w:rPr>
              <w:t>.技术支持：</w:t>
            </w:r>
          </w:p>
          <w:p w14:paraId="6C9FE8AA">
            <w:pPr>
              <w:adjustRightInd w:val="0"/>
              <w:snapToGrid w:val="0"/>
              <w:spacing w:line="288" w:lineRule="auto"/>
              <w:rPr>
                <w:rFonts w:ascii="宋体" w:hAnsi="宋体" w:cs="宋体"/>
                <w:sz w:val="21"/>
                <w:szCs w:val="21"/>
              </w:rPr>
            </w:pPr>
            <w:r>
              <w:rPr>
                <w:rFonts w:hint="eastAsia" w:ascii="宋体" w:hAnsi="宋体" w:cs="宋体"/>
                <w:sz w:val="21"/>
                <w:szCs w:val="21"/>
              </w:rPr>
              <w:t>供应商应及时免费提供合同货物软件的升级，免费提供合同货物新功能和应用的资料。</w:t>
            </w:r>
          </w:p>
          <w:p w14:paraId="5AF8CB3E">
            <w:pPr>
              <w:adjustRightInd w:val="0"/>
              <w:snapToGrid w:val="0"/>
              <w:spacing w:line="288" w:lineRule="auto"/>
              <w:rPr>
                <w:rFonts w:ascii="宋体" w:hAnsi="宋体" w:cs="宋体"/>
                <w:sz w:val="21"/>
                <w:szCs w:val="21"/>
              </w:rPr>
            </w:pPr>
            <w:r>
              <w:rPr>
                <w:rFonts w:ascii="宋体" w:hAnsi="宋体" w:cs="宋体"/>
                <w:sz w:val="21"/>
                <w:szCs w:val="21"/>
              </w:rPr>
              <w:t>3</w:t>
            </w:r>
            <w:r>
              <w:rPr>
                <w:rFonts w:hint="eastAsia" w:ascii="宋体" w:hAnsi="宋体" w:cs="宋体"/>
                <w:sz w:val="21"/>
                <w:szCs w:val="21"/>
              </w:rPr>
              <w:t>.安装调试：</w:t>
            </w:r>
            <w:r>
              <w:rPr>
                <w:rFonts w:hint="eastAsia" w:ascii="宋体" w:hAnsi="宋体" w:cs="宋体"/>
                <w:sz w:val="21"/>
                <w:szCs w:val="21"/>
                <w:lang w:val="en-US" w:eastAsia="zh-CN"/>
              </w:rPr>
              <w:t>本项目不包含安装调试，</w:t>
            </w:r>
            <w:r>
              <w:rPr>
                <w:rFonts w:hint="eastAsia" w:ascii="宋体" w:hAnsi="宋体" w:cs="宋体"/>
                <w:sz w:val="21"/>
                <w:szCs w:val="21"/>
              </w:rPr>
              <w:t>由采购人自行安装调试。</w:t>
            </w:r>
          </w:p>
          <w:p w14:paraId="5B22F307">
            <w:pPr>
              <w:adjustRightInd w:val="0"/>
              <w:snapToGrid w:val="0"/>
              <w:spacing w:line="288" w:lineRule="auto"/>
              <w:rPr>
                <w:rFonts w:ascii="宋体" w:hAnsi="宋体" w:cs="宋体"/>
                <w:sz w:val="21"/>
                <w:szCs w:val="21"/>
              </w:rPr>
            </w:pPr>
            <w:r>
              <w:rPr>
                <w:rFonts w:ascii="宋体" w:hAnsi="宋体" w:cs="宋体"/>
                <w:sz w:val="21"/>
                <w:szCs w:val="21"/>
              </w:rPr>
              <w:t>4</w:t>
            </w:r>
            <w:r>
              <w:rPr>
                <w:rFonts w:hint="eastAsia" w:ascii="宋体" w:hAnsi="宋体" w:cs="宋体"/>
                <w:sz w:val="21"/>
                <w:szCs w:val="21"/>
              </w:rPr>
              <w:t>.供应商应提供质保期满后主要零部件报价单、质保期满后维护费、软件升级及其相关服务内容；</w:t>
            </w:r>
          </w:p>
          <w:p w14:paraId="326F0EC7">
            <w:pPr>
              <w:adjustRightInd w:val="0"/>
              <w:snapToGrid w:val="0"/>
              <w:spacing w:line="288" w:lineRule="auto"/>
              <w:rPr>
                <w:rFonts w:ascii="宋体" w:hAnsi="宋体" w:cs="宋体"/>
                <w:sz w:val="21"/>
                <w:szCs w:val="21"/>
              </w:rPr>
            </w:pPr>
            <w:r>
              <w:rPr>
                <w:rFonts w:ascii="宋体" w:hAnsi="宋体" w:cs="宋体"/>
                <w:sz w:val="21"/>
                <w:szCs w:val="21"/>
              </w:rPr>
              <w:t>5</w:t>
            </w:r>
            <w:r>
              <w:rPr>
                <w:rFonts w:hint="eastAsia" w:ascii="宋体" w:hAnsi="宋体" w:cs="宋体"/>
                <w:sz w:val="21"/>
                <w:szCs w:val="21"/>
              </w:rPr>
              <w:t>.供货时提供有关的全套技术文件。</w:t>
            </w:r>
          </w:p>
          <w:p w14:paraId="1ACC0D60">
            <w:pPr>
              <w:adjustRightInd w:val="0"/>
              <w:snapToGrid w:val="0"/>
              <w:spacing w:line="288" w:lineRule="auto"/>
              <w:rPr>
                <w:rFonts w:ascii="宋体" w:hAnsi="宋体" w:cs="宋体"/>
                <w:sz w:val="21"/>
                <w:szCs w:val="21"/>
              </w:rPr>
            </w:pPr>
            <w:r>
              <w:rPr>
                <w:rFonts w:hint="eastAsia" w:ascii="宋体" w:hAnsi="宋体" w:cs="宋体"/>
                <w:sz w:val="21"/>
                <w:szCs w:val="21"/>
              </w:rPr>
              <w:t>6</w:t>
            </w:r>
            <w:r>
              <w:rPr>
                <w:rFonts w:ascii="宋体" w:hAnsi="宋体" w:cs="宋体"/>
                <w:sz w:val="21"/>
                <w:szCs w:val="21"/>
              </w:rPr>
              <w:t>.</w:t>
            </w:r>
            <w:r>
              <w:rPr>
                <w:rFonts w:hint="eastAsia" w:ascii="宋体" w:hAnsi="宋体"/>
                <w:spacing w:val="-6"/>
                <w:sz w:val="21"/>
                <w:szCs w:val="21"/>
              </w:rPr>
              <w:t>供应商应保证所提供的货物或其中任何一部分均不会侵犯第三方的知识产权。</w:t>
            </w:r>
          </w:p>
        </w:tc>
      </w:tr>
      <w:tr w14:paraId="7D2CE2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9E33C12">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5E53D71D">
            <w:pPr>
              <w:adjustRightInd w:val="0"/>
              <w:snapToGrid w:val="0"/>
              <w:spacing w:line="288" w:lineRule="auto"/>
              <w:rPr>
                <w:rFonts w:ascii="宋体" w:hAnsi="宋体" w:cs="宋体"/>
                <w:sz w:val="21"/>
                <w:szCs w:val="21"/>
              </w:rPr>
            </w:pPr>
            <w:r>
              <w:rPr>
                <w:rFonts w:hint="eastAsia" w:ascii="宋体" w:hAnsi="宋体" w:cs="宋体"/>
                <w:sz w:val="21"/>
                <w:szCs w:val="21"/>
              </w:rPr>
              <w:t>供应商应对采购人的操作人员、维修人员免费进行培训；</w:t>
            </w:r>
          </w:p>
          <w:p w14:paraId="0FF252D4">
            <w:pPr>
              <w:adjustRightInd w:val="0"/>
              <w:snapToGrid w:val="0"/>
              <w:spacing w:line="288" w:lineRule="auto"/>
              <w:rPr>
                <w:rFonts w:ascii="宋体" w:hAnsi="宋体" w:cs="宋体"/>
                <w:sz w:val="21"/>
                <w:szCs w:val="21"/>
              </w:rPr>
            </w:pPr>
            <w:r>
              <w:rPr>
                <w:rFonts w:hint="eastAsia" w:ascii="宋体" w:hAnsi="宋体" w:cs="宋体"/>
                <w:sz w:val="21"/>
                <w:szCs w:val="21"/>
              </w:rPr>
              <w:t>供应商应提供相应的培训计划；</w:t>
            </w:r>
          </w:p>
          <w:p w14:paraId="20D25840">
            <w:pPr>
              <w:adjustRightInd w:val="0"/>
              <w:snapToGrid w:val="0"/>
              <w:spacing w:line="288" w:lineRule="auto"/>
              <w:rPr>
                <w:rFonts w:ascii="宋体" w:hAnsi="宋体" w:cs="宋体"/>
                <w:sz w:val="21"/>
                <w:szCs w:val="21"/>
              </w:rPr>
            </w:pPr>
            <w:r>
              <w:rPr>
                <w:rFonts w:hint="eastAsia" w:ascii="宋体" w:hAnsi="宋体" w:cs="宋体"/>
                <w:sz w:val="21"/>
                <w:szCs w:val="21"/>
              </w:rPr>
              <w:t>上述内容的实现方式、时间、地点、人数应在投标文件中详细说明。</w:t>
            </w:r>
          </w:p>
        </w:tc>
      </w:tr>
    </w:tbl>
    <w:p w14:paraId="5D979AA0">
      <w:pPr>
        <w:adjustRightInd w:val="0"/>
        <w:snapToGrid w:val="0"/>
        <w:spacing w:line="288" w:lineRule="auto"/>
        <w:ind w:left="238" w:hanging="238" w:hangingChars="113"/>
        <w:outlineLvl w:val="1"/>
        <w:rPr>
          <w:rFonts w:ascii="宋体" w:hAnsi="宋体"/>
          <w:b/>
          <w:sz w:val="21"/>
          <w:szCs w:val="21"/>
        </w:rPr>
      </w:pPr>
      <w:r>
        <w:rPr>
          <w:rFonts w:hint="eastAsia" w:ascii="宋体" w:hAnsi="宋体"/>
          <w:b/>
          <w:sz w:val="21"/>
          <w:szCs w:val="21"/>
        </w:rPr>
        <w:t>四</w:t>
      </w:r>
      <w:r>
        <w:rPr>
          <w:rFonts w:ascii="宋体" w:hAnsi="宋体"/>
          <w:b/>
          <w:sz w:val="21"/>
          <w:szCs w:val="21"/>
        </w:rPr>
        <w:t>、技术要求</w:t>
      </w:r>
    </w:p>
    <w:p w14:paraId="48CD6D60">
      <w:pPr>
        <w:adjustRightInd w:val="0"/>
        <w:snapToGrid w:val="0"/>
        <w:spacing w:line="288" w:lineRule="auto"/>
        <w:jc w:val="left"/>
        <w:rPr>
          <w:rFonts w:ascii="宋体" w:hAnsi="宋体"/>
          <w:bCs/>
          <w:sz w:val="21"/>
          <w:szCs w:val="21"/>
        </w:rPr>
      </w:pPr>
      <w:r>
        <w:rPr>
          <w:rFonts w:hint="eastAsia" w:ascii="宋体" w:hAnsi="宋体" w:cs="宋体"/>
          <w:b/>
          <w:bCs/>
          <w:sz w:val="21"/>
          <w:szCs w:val="21"/>
        </w:rPr>
        <w:t>1</w:t>
      </w:r>
      <w:r>
        <w:rPr>
          <w:rFonts w:ascii="宋体" w:hAnsi="宋体" w:cs="宋体"/>
          <w:b/>
          <w:bCs/>
          <w:sz w:val="21"/>
          <w:szCs w:val="21"/>
        </w:rPr>
        <w:t>.</w:t>
      </w:r>
      <w:r>
        <w:rPr>
          <w:rFonts w:hint="eastAsia" w:ascii="宋体" w:hAnsi="宋体" w:cs="宋体"/>
          <w:b/>
          <w:bCs/>
          <w:sz w:val="21"/>
          <w:szCs w:val="21"/>
        </w:rPr>
        <w:t>需执行的国家相关标准、行业标准、地方标准或者其他标准、规范：</w:t>
      </w:r>
      <w:r>
        <w:rPr>
          <w:rFonts w:hint="eastAsia" w:ascii="宋体" w:hAnsi="宋体"/>
          <w:bCs/>
          <w:sz w:val="21"/>
          <w:szCs w:val="21"/>
        </w:rPr>
        <w:t>投标人须执行现行国家标准和行业标准。应遵循的主要现行标准如下。有矛盾时，按现行的技术要求较高的标准执行。</w:t>
      </w:r>
    </w:p>
    <w:p w14:paraId="13B30BA4">
      <w:pPr>
        <w:adjustRightInd w:val="0"/>
        <w:snapToGrid w:val="0"/>
        <w:spacing w:line="288" w:lineRule="auto"/>
        <w:jc w:val="left"/>
        <w:rPr>
          <w:rFonts w:ascii="宋体" w:hAnsi="宋体"/>
          <w:bCs/>
          <w:sz w:val="21"/>
          <w:szCs w:val="21"/>
        </w:rPr>
      </w:pPr>
      <w:r>
        <w:rPr>
          <w:rFonts w:hint="eastAsia" w:ascii="宋体" w:hAnsi="宋体"/>
          <w:bCs/>
          <w:sz w:val="21"/>
          <w:szCs w:val="21"/>
        </w:rPr>
        <w:t>GB311.1-2012《绝缘配合第1部分:定义、原则和规则》</w:t>
      </w:r>
    </w:p>
    <w:p w14:paraId="1B509DDD">
      <w:pPr>
        <w:adjustRightInd w:val="0"/>
        <w:snapToGrid w:val="0"/>
        <w:spacing w:line="288" w:lineRule="auto"/>
        <w:jc w:val="left"/>
        <w:rPr>
          <w:rFonts w:ascii="宋体" w:hAnsi="宋体"/>
          <w:bCs/>
          <w:sz w:val="21"/>
          <w:szCs w:val="21"/>
        </w:rPr>
      </w:pPr>
      <w:r>
        <w:rPr>
          <w:rFonts w:hint="eastAsia" w:ascii="宋体" w:hAnsi="宋体"/>
          <w:bCs/>
          <w:sz w:val="21"/>
          <w:szCs w:val="21"/>
        </w:rPr>
        <w:t>GB 3804-2017 《3.6kV~40.5kV 高压交流负荷开关》</w:t>
      </w:r>
    </w:p>
    <w:p w14:paraId="2E478C3B">
      <w:pPr>
        <w:adjustRightInd w:val="0"/>
        <w:snapToGrid w:val="0"/>
        <w:spacing w:line="288" w:lineRule="auto"/>
        <w:jc w:val="left"/>
        <w:rPr>
          <w:rFonts w:ascii="宋体" w:hAnsi="宋体"/>
          <w:bCs/>
          <w:sz w:val="21"/>
          <w:szCs w:val="21"/>
        </w:rPr>
      </w:pPr>
      <w:r>
        <w:rPr>
          <w:rFonts w:hint="eastAsia" w:ascii="宋体" w:hAnsi="宋体"/>
          <w:bCs/>
          <w:sz w:val="21"/>
          <w:szCs w:val="21"/>
        </w:rPr>
        <w:t>GB7328-1987 《电力变压器和电抗器的声级测定》</w:t>
      </w:r>
    </w:p>
    <w:p w14:paraId="1F5EB5B9">
      <w:pPr>
        <w:adjustRightInd w:val="0"/>
        <w:snapToGrid w:val="0"/>
        <w:spacing w:line="288" w:lineRule="auto"/>
        <w:jc w:val="left"/>
        <w:rPr>
          <w:rFonts w:ascii="宋体" w:hAnsi="宋体"/>
          <w:bCs/>
          <w:sz w:val="21"/>
          <w:szCs w:val="21"/>
        </w:rPr>
      </w:pPr>
      <w:r>
        <w:rPr>
          <w:rFonts w:hint="eastAsia" w:ascii="宋体" w:hAnsi="宋体"/>
          <w:bCs/>
          <w:sz w:val="21"/>
          <w:szCs w:val="21"/>
        </w:rPr>
        <w:t>GB/T 11022-2011《高压开关设备和控制设备标准的共用技术要求》</w:t>
      </w:r>
    </w:p>
    <w:p w14:paraId="0884626B">
      <w:pPr>
        <w:adjustRightInd w:val="0"/>
        <w:snapToGrid w:val="0"/>
        <w:spacing w:line="288" w:lineRule="auto"/>
        <w:jc w:val="left"/>
        <w:rPr>
          <w:rFonts w:ascii="宋体" w:hAnsi="宋体"/>
          <w:bCs/>
          <w:sz w:val="21"/>
          <w:szCs w:val="21"/>
        </w:rPr>
      </w:pPr>
      <w:r>
        <w:rPr>
          <w:rFonts w:hint="eastAsia" w:ascii="宋体" w:hAnsi="宋体"/>
          <w:bCs/>
          <w:sz w:val="21"/>
          <w:szCs w:val="21"/>
        </w:rPr>
        <w:t>GB7251-2013《低压成套开关设备和控制设备》</w:t>
      </w:r>
    </w:p>
    <w:p w14:paraId="4695BA3F">
      <w:pPr>
        <w:adjustRightInd w:val="0"/>
        <w:snapToGrid w:val="0"/>
        <w:spacing w:line="288" w:lineRule="auto"/>
        <w:rPr>
          <w:rFonts w:ascii="宋体" w:hAnsi="宋体" w:cs="宋体"/>
          <w:b/>
          <w:bCs/>
          <w:sz w:val="21"/>
          <w:szCs w:val="21"/>
        </w:rPr>
      </w:pPr>
      <w:r>
        <w:rPr>
          <w:rFonts w:ascii="宋体" w:hAnsi="宋体" w:cs="宋体"/>
          <w:b/>
          <w:bCs/>
          <w:sz w:val="21"/>
          <w:szCs w:val="21"/>
        </w:rPr>
        <w:t>2</w:t>
      </w:r>
      <w:r>
        <w:rPr>
          <w:rFonts w:hint="eastAsia" w:ascii="宋体" w:hAnsi="宋体" w:cs="宋体"/>
          <w:b/>
          <w:bCs/>
          <w:sz w:val="21"/>
          <w:szCs w:val="21"/>
        </w:rPr>
        <w:t>.需实现的功能或者目标：标项一：</w:t>
      </w:r>
      <w:r>
        <w:rPr>
          <w:rFonts w:hint="eastAsia" w:ascii="宋体" w:hAnsi="宋体" w:cs="宋体"/>
          <w:sz w:val="21"/>
          <w:szCs w:val="21"/>
        </w:rPr>
        <w:t>满足华家池校区农生变供电区域用电需求。标项二：满足紫金港校区医研变供电区域用电需求。</w:t>
      </w:r>
    </w:p>
    <w:p w14:paraId="1EABCFD1">
      <w:pPr>
        <w:adjustRightInd w:val="0"/>
        <w:snapToGrid w:val="0"/>
        <w:spacing w:line="288" w:lineRule="auto"/>
        <w:rPr>
          <w:rFonts w:ascii="宋体" w:hAnsi="宋体"/>
          <w:b/>
          <w:bCs/>
          <w:spacing w:val="-4"/>
          <w:sz w:val="21"/>
          <w:szCs w:val="21"/>
        </w:rPr>
      </w:pPr>
      <w:r>
        <w:rPr>
          <w:rFonts w:ascii="宋体" w:hAnsi="宋体"/>
          <w:b/>
          <w:bCs/>
          <w:spacing w:val="-4"/>
          <w:sz w:val="21"/>
          <w:szCs w:val="21"/>
        </w:rPr>
        <w:t>3.</w:t>
      </w:r>
      <w:r>
        <w:rPr>
          <w:rFonts w:hint="eastAsia" w:ascii="宋体" w:hAnsi="宋体"/>
          <w:b/>
          <w:bCs/>
          <w:spacing w:val="-4"/>
          <w:sz w:val="21"/>
          <w:szCs w:val="21"/>
        </w:rPr>
        <w:t>需满足的质量、安全、技术规格、物理特性等要求：</w:t>
      </w:r>
    </w:p>
    <w:p w14:paraId="7E8545EB">
      <w:pPr>
        <w:adjustRightInd w:val="0"/>
        <w:snapToGrid w:val="0"/>
        <w:spacing w:line="288" w:lineRule="auto"/>
        <w:rPr>
          <w:rFonts w:ascii="宋体" w:hAnsi="宋体"/>
          <w:b/>
          <w:bCs/>
          <w:sz w:val="21"/>
          <w:szCs w:val="21"/>
        </w:rPr>
      </w:pPr>
      <w:r>
        <w:rPr>
          <w:rFonts w:hint="eastAsia" w:ascii="宋体" w:hAnsi="宋体"/>
          <w:b/>
          <w:bCs/>
          <w:sz w:val="21"/>
          <w:szCs w:val="21"/>
        </w:rPr>
        <w:t>标项一：</w:t>
      </w:r>
    </w:p>
    <w:p w14:paraId="3B608B86">
      <w:pPr>
        <w:adjustRightInd w:val="0"/>
        <w:snapToGrid w:val="0"/>
        <w:spacing w:line="288" w:lineRule="auto"/>
        <w:jc w:val="left"/>
        <w:rPr>
          <w:rFonts w:ascii="宋体" w:hAnsi="宋体"/>
          <w:bCs/>
          <w:sz w:val="21"/>
          <w:szCs w:val="21"/>
        </w:rPr>
      </w:pPr>
      <w:r>
        <w:rPr>
          <w:rFonts w:hint="eastAsia" w:ascii="宋体" w:hAnsi="宋体"/>
          <w:b/>
          <w:sz w:val="21"/>
          <w:szCs w:val="21"/>
        </w:rPr>
        <w:t>（一）使用环境条件</w:t>
      </w:r>
    </w:p>
    <w:p w14:paraId="11342302">
      <w:pPr>
        <w:adjustRightInd w:val="0"/>
        <w:snapToGrid w:val="0"/>
        <w:spacing w:line="288" w:lineRule="auto"/>
        <w:rPr>
          <w:rFonts w:ascii="宋体" w:hAnsi="宋体"/>
          <w:bCs/>
          <w:sz w:val="21"/>
          <w:szCs w:val="21"/>
        </w:rPr>
      </w:pPr>
      <w:r>
        <w:rPr>
          <w:rFonts w:hint="eastAsia" w:ascii="宋体" w:hAnsi="宋体"/>
          <w:bCs/>
          <w:sz w:val="21"/>
          <w:szCs w:val="21"/>
        </w:rPr>
        <w:t>1.周围空气温度：最高气温：＋40℃；最低气温：－15℃；年平均气温：＋12.2℃；</w:t>
      </w:r>
    </w:p>
    <w:p w14:paraId="5156B6B7">
      <w:pPr>
        <w:adjustRightInd w:val="0"/>
        <w:snapToGrid w:val="0"/>
        <w:spacing w:line="288" w:lineRule="auto"/>
        <w:rPr>
          <w:rFonts w:ascii="宋体" w:hAnsi="宋体"/>
          <w:bCs/>
          <w:sz w:val="21"/>
          <w:szCs w:val="21"/>
        </w:rPr>
      </w:pPr>
      <w:r>
        <w:rPr>
          <w:rFonts w:hint="eastAsia" w:ascii="宋体" w:hAnsi="宋体"/>
          <w:bCs/>
          <w:sz w:val="21"/>
          <w:szCs w:val="21"/>
        </w:rPr>
        <w:t>2.海拔：不超过500m；</w:t>
      </w:r>
    </w:p>
    <w:p w14:paraId="199EBAD2">
      <w:pPr>
        <w:adjustRightInd w:val="0"/>
        <w:snapToGrid w:val="0"/>
        <w:spacing w:line="288" w:lineRule="auto"/>
        <w:rPr>
          <w:rFonts w:ascii="宋体" w:hAnsi="宋体"/>
          <w:bCs/>
          <w:sz w:val="21"/>
          <w:szCs w:val="21"/>
        </w:rPr>
      </w:pPr>
      <w:r>
        <w:rPr>
          <w:rFonts w:hint="eastAsia" w:ascii="宋体" w:hAnsi="宋体"/>
          <w:bCs/>
          <w:sz w:val="21"/>
          <w:szCs w:val="21"/>
        </w:rPr>
        <w:t>3.风速：不大于25m/s；</w:t>
      </w:r>
    </w:p>
    <w:p w14:paraId="0429E614">
      <w:pPr>
        <w:adjustRightInd w:val="0"/>
        <w:snapToGrid w:val="0"/>
        <w:spacing w:line="288" w:lineRule="auto"/>
        <w:rPr>
          <w:rFonts w:ascii="宋体" w:hAnsi="宋体"/>
          <w:bCs/>
          <w:sz w:val="21"/>
          <w:szCs w:val="21"/>
        </w:rPr>
      </w:pPr>
      <w:r>
        <w:rPr>
          <w:rFonts w:hint="eastAsia" w:ascii="宋体" w:hAnsi="宋体"/>
          <w:bCs/>
          <w:sz w:val="21"/>
          <w:szCs w:val="21"/>
        </w:rPr>
        <w:t>4.环境湿度：月平均值不大于90%；日平均值不大于95%；</w:t>
      </w:r>
    </w:p>
    <w:p w14:paraId="5585EBA5">
      <w:pPr>
        <w:adjustRightInd w:val="0"/>
        <w:snapToGrid w:val="0"/>
        <w:spacing w:line="288" w:lineRule="auto"/>
        <w:rPr>
          <w:rFonts w:ascii="宋体" w:hAnsi="宋体"/>
          <w:bCs/>
          <w:sz w:val="21"/>
          <w:szCs w:val="21"/>
        </w:rPr>
      </w:pPr>
      <w:r>
        <w:rPr>
          <w:rFonts w:hint="eastAsia" w:ascii="宋体" w:hAnsi="宋体"/>
          <w:bCs/>
          <w:sz w:val="21"/>
          <w:szCs w:val="21"/>
        </w:rPr>
        <w:t>5.耐地震能力：地震烈度：7级；地面水平加速度：0.2g；地面垂直加速度：0.1g；</w:t>
      </w:r>
    </w:p>
    <w:p w14:paraId="2F9230B4">
      <w:pPr>
        <w:adjustRightInd w:val="0"/>
        <w:snapToGrid w:val="0"/>
        <w:spacing w:line="288" w:lineRule="auto"/>
        <w:rPr>
          <w:rFonts w:ascii="宋体" w:hAnsi="宋体"/>
          <w:bCs/>
          <w:sz w:val="21"/>
          <w:szCs w:val="21"/>
        </w:rPr>
      </w:pPr>
      <w:r>
        <w:rPr>
          <w:rFonts w:hint="eastAsia" w:ascii="宋体" w:hAnsi="宋体"/>
          <w:bCs/>
          <w:sz w:val="21"/>
          <w:szCs w:val="21"/>
        </w:rPr>
        <w:t>6.安装地点的倾斜度：不大于3°；</w:t>
      </w:r>
    </w:p>
    <w:p w14:paraId="22A6709C">
      <w:pPr>
        <w:adjustRightInd w:val="0"/>
        <w:snapToGrid w:val="0"/>
        <w:spacing w:line="288" w:lineRule="auto"/>
        <w:rPr>
          <w:rFonts w:ascii="宋体" w:hAnsi="宋体"/>
          <w:bCs/>
          <w:sz w:val="21"/>
          <w:szCs w:val="21"/>
        </w:rPr>
      </w:pPr>
      <w:r>
        <w:rPr>
          <w:rFonts w:hint="eastAsia" w:ascii="宋体" w:hAnsi="宋体"/>
          <w:bCs/>
          <w:sz w:val="21"/>
          <w:szCs w:val="21"/>
        </w:rPr>
        <w:t>7.考虑日照、污秽、凝露及自然腐蚀的影响；</w:t>
      </w:r>
    </w:p>
    <w:p w14:paraId="3F4B5423">
      <w:pPr>
        <w:adjustRightInd w:val="0"/>
        <w:snapToGrid w:val="0"/>
        <w:spacing w:line="288" w:lineRule="auto"/>
        <w:rPr>
          <w:rFonts w:ascii="宋体" w:hAnsi="宋体" w:cs="宋体"/>
          <w:sz w:val="21"/>
          <w:szCs w:val="21"/>
        </w:rPr>
      </w:pPr>
      <w:r>
        <w:rPr>
          <w:rFonts w:hint="eastAsia" w:ascii="宋体" w:hAnsi="宋体"/>
          <w:bCs/>
          <w:sz w:val="21"/>
          <w:szCs w:val="21"/>
        </w:rPr>
        <w:t>8.周围空气不受腐蚀性或可燃性气体、水蒸气等明显污染，安装地点无剧烈振动。</w:t>
      </w:r>
    </w:p>
    <w:p w14:paraId="1E15E8A9">
      <w:pPr>
        <w:adjustRightInd w:val="0"/>
        <w:snapToGrid w:val="0"/>
        <w:spacing w:line="288" w:lineRule="auto"/>
        <w:jc w:val="left"/>
        <w:rPr>
          <w:rFonts w:ascii="宋体" w:hAnsi="宋体"/>
          <w:bCs/>
          <w:sz w:val="21"/>
          <w:szCs w:val="21"/>
        </w:rPr>
      </w:pPr>
      <w:r>
        <w:rPr>
          <w:rFonts w:hint="eastAsia" w:ascii="宋体" w:hAnsi="宋体"/>
          <w:b/>
          <w:sz w:val="21"/>
          <w:szCs w:val="21"/>
        </w:rPr>
        <w:t>（二）技术参数和要求</w:t>
      </w:r>
    </w:p>
    <w:p w14:paraId="12F1B378">
      <w:pPr>
        <w:adjustRightInd w:val="0"/>
        <w:snapToGrid w:val="0"/>
        <w:spacing w:line="288" w:lineRule="auto"/>
        <w:jc w:val="left"/>
        <w:rPr>
          <w:rFonts w:ascii="宋体" w:hAnsi="宋体"/>
          <w:bCs/>
          <w:sz w:val="21"/>
          <w:szCs w:val="21"/>
        </w:rPr>
      </w:pPr>
      <w:r>
        <w:rPr>
          <w:rFonts w:hint="eastAsia" w:ascii="宋体" w:hAnsi="宋体"/>
          <w:bCs/>
          <w:sz w:val="21"/>
          <w:szCs w:val="21"/>
        </w:rPr>
        <w:t>1.技术参数：</w:t>
      </w:r>
    </w:p>
    <w:p w14:paraId="21929BED">
      <w:pPr>
        <w:adjustRightInd w:val="0"/>
        <w:snapToGrid w:val="0"/>
        <w:spacing w:line="288" w:lineRule="auto"/>
        <w:jc w:val="left"/>
        <w:rPr>
          <w:rFonts w:ascii="宋体" w:hAnsi="宋体"/>
          <w:bCs/>
          <w:sz w:val="21"/>
          <w:szCs w:val="21"/>
        </w:rPr>
      </w:pPr>
      <w:r>
        <w:rPr>
          <w:rFonts w:hint="eastAsia" w:ascii="宋体" w:hAnsi="宋体"/>
          <w:bCs/>
          <w:sz w:val="21"/>
          <w:szCs w:val="21"/>
        </w:rPr>
        <w:t>1.1系统额定电压：10kV；</w:t>
      </w:r>
    </w:p>
    <w:p w14:paraId="7FA01F61">
      <w:pPr>
        <w:adjustRightInd w:val="0"/>
        <w:snapToGrid w:val="0"/>
        <w:spacing w:line="288" w:lineRule="auto"/>
        <w:jc w:val="left"/>
        <w:rPr>
          <w:rFonts w:ascii="宋体" w:hAnsi="宋体"/>
          <w:bCs/>
          <w:sz w:val="21"/>
          <w:szCs w:val="21"/>
        </w:rPr>
      </w:pPr>
      <w:r>
        <w:rPr>
          <w:rFonts w:hint="eastAsia" w:ascii="宋体" w:hAnsi="宋体"/>
          <w:bCs/>
          <w:sz w:val="21"/>
          <w:szCs w:val="21"/>
        </w:rPr>
        <w:t>1.2变压器高压侧额定电压：10kV；低压侧额定电压：0.4kV；</w:t>
      </w:r>
    </w:p>
    <w:p w14:paraId="03BD07EA">
      <w:pPr>
        <w:adjustRightInd w:val="0"/>
        <w:snapToGrid w:val="0"/>
        <w:spacing w:line="288" w:lineRule="auto"/>
        <w:jc w:val="left"/>
        <w:rPr>
          <w:rFonts w:ascii="宋体" w:hAnsi="宋体"/>
          <w:bCs/>
          <w:sz w:val="21"/>
          <w:szCs w:val="21"/>
        </w:rPr>
      </w:pPr>
      <w:r>
        <w:rPr>
          <w:rFonts w:hint="eastAsia" w:ascii="宋体" w:hAnsi="宋体"/>
          <w:bCs/>
          <w:sz w:val="21"/>
          <w:szCs w:val="21"/>
        </w:rPr>
        <w:t>1.3额定频率：50Hz；</w:t>
      </w:r>
    </w:p>
    <w:p w14:paraId="686B08F8">
      <w:pPr>
        <w:adjustRightInd w:val="0"/>
        <w:snapToGrid w:val="0"/>
        <w:spacing w:line="288" w:lineRule="auto"/>
        <w:jc w:val="left"/>
        <w:rPr>
          <w:rFonts w:ascii="宋体" w:hAnsi="宋体"/>
          <w:bCs/>
          <w:sz w:val="21"/>
          <w:szCs w:val="21"/>
        </w:rPr>
      </w:pPr>
      <w:r>
        <w:rPr>
          <w:rFonts w:hint="eastAsia" w:ascii="宋体" w:hAnsi="宋体"/>
          <w:bCs/>
          <w:sz w:val="21"/>
          <w:szCs w:val="21"/>
        </w:rPr>
        <w:t>1.4额定热稳定电流（20kA）；</w:t>
      </w:r>
    </w:p>
    <w:p w14:paraId="5D18E188">
      <w:pPr>
        <w:adjustRightInd w:val="0"/>
        <w:snapToGrid w:val="0"/>
        <w:spacing w:line="288" w:lineRule="auto"/>
        <w:jc w:val="left"/>
        <w:rPr>
          <w:rFonts w:ascii="宋体" w:hAnsi="宋体"/>
          <w:bCs/>
          <w:sz w:val="21"/>
          <w:szCs w:val="21"/>
        </w:rPr>
      </w:pPr>
      <w:r>
        <w:rPr>
          <w:rFonts w:hint="eastAsia" w:ascii="宋体" w:hAnsi="宋体"/>
          <w:bCs/>
          <w:sz w:val="21"/>
          <w:szCs w:val="21"/>
        </w:rPr>
        <w:t>1.5额定动稳定电流（65kA）；</w:t>
      </w:r>
    </w:p>
    <w:p w14:paraId="2AC0AF83">
      <w:pPr>
        <w:adjustRightInd w:val="0"/>
        <w:snapToGrid w:val="0"/>
        <w:spacing w:line="288" w:lineRule="auto"/>
        <w:jc w:val="left"/>
        <w:rPr>
          <w:rFonts w:ascii="宋体" w:hAnsi="宋体"/>
          <w:bCs/>
          <w:sz w:val="21"/>
          <w:szCs w:val="21"/>
        </w:rPr>
      </w:pPr>
      <w:r>
        <w:rPr>
          <w:rFonts w:hint="eastAsia" w:ascii="宋体" w:hAnsi="宋体"/>
          <w:bCs/>
          <w:sz w:val="21"/>
          <w:szCs w:val="21"/>
        </w:rPr>
        <w:t>1.6工频耐压(42kV)；</w:t>
      </w:r>
    </w:p>
    <w:p w14:paraId="360DD28D">
      <w:pPr>
        <w:adjustRightInd w:val="0"/>
        <w:snapToGrid w:val="0"/>
        <w:spacing w:line="288" w:lineRule="auto"/>
        <w:jc w:val="left"/>
        <w:rPr>
          <w:rFonts w:ascii="宋体" w:hAnsi="宋体"/>
          <w:bCs/>
          <w:sz w:val="21"/>
          <w:szCs w:val="21"/>
        </w:rPr>
      </w:pPr>
      <w:r>
        <w:rPr>
          <w:rFonts w:hint="eastAsia" w:ascii="宋体" w:hAnsi="宋体"/>
          <w:bCs/>
          <w:sz w:val="21"/>
          <w:szCs w:val="21"/>
        </w:rPr>
        <w:t>1.7雷电冲击耐压(75kV)；</w:t>
      </w:r>
    </w:p>
    <w:p w14:paraId="4312357D">
      <w:pPr>
        <w:adjustRightInd w:val="0"/>
        <w:snapToGrid w:val="0"/>
        <w:spacing w:line="288" w:lineRule="auto"/>
        <w:jc w:val="left"/>
        <w:rPr>
          <w:rFonts w:ascii="宋体" w:hAnsi="宋体"/>
          <w:bCs/>
          <w:sz w:val="21"/>
          <w:szCs w:val="21"/>
        </w:rPr>
      </w:pPr>
      <w:r>
        <w:rPr>
          <w:rFonts w:hint="eastAsia" w:ascii="宋体" w:hAnsi="宋体"/>
          <w:bCs/>
          <w:sz w:val="21"/>
          <w:szCs w:val="21"/>
        </w:rPr>
        <w:t>1.8噪音水平：不大于5dB；</w:t>
      </w:r>
    </w:p>
    <w:p w14:paraId="148BE528">
      <w:pPr>
        <w:adjustRightInd w:val="0"/>
        <w:snapToGrid w:val="0"/>
        <w:spacing w:line="288" w:lineRule="auto"/>
        <w:jc w:val="left"/>
        <w:rPr>
          <w:rFonts w:ascii="宋体" w:hAnsi="宋体"/>
          <w:bCs/>
          <w:sz w:val="21"/>
          <w:szCs w:val="21"/>
        </w:rPr>
      </w:pPr>
      <w:r>
        <w:rPr>
          <w:rFonts w:hint="eastAsia" w:ascii="宋体" w:hAnsi="宋体"/>
          <w:bCs/>
          <w:sz w:val="21"/>
          <w:szCs w:val="21"/>
        </w:rPr>
        <w:t>1.9箱壳防护等级：不低于IP3X；</w:t>
      </w:r>
    </w:p>
    <w:p w14:paraId="6A76DA28">
      <w:pPr>
        <w:adjustRightInd w:val="0"/>
        <w:snapToGrid w:val="0"/>
        <w:spacing w:line="288" w:lineRule="auto"/>
        <w:jc w:val="left"/>
        <w:rPr>
          <w:rFonts w:ascii="宋体" w:hAnsi="宋体"/>
          <w:bCs/>
          <w:sz w:val="21"/>
          <w:szCs w:val="21"/>
        </w:rPr>
      </w:pPr>
      <w:r>
        <w:rPr>
          <w:rFonts w:hint="eastAsia" w:ascii="宋体" w:hAnsi="宋体"/>
          <w:bCs/>
          <w:sz w:val="21"/>
          <w:szCs w:val="21"/>
        </w:rPr>
        <w:t>1.10允许温升：高压设备的允许温升值见 GB/T11022-2011 规定；变压器的允许温升值见 GB1094-1996 或 GB6450-1986 规定；低压设备的允许温升值见 GB7251-2013 规定；</w:t>
      </w:r>
    </w:p>
    <w:p w14:paraId="51EBC094">
      <w:pPr>
        <w:adjustRightInd w:val="0"/>
        <w:snapToGrid w:val="0"/>
        <w:spacing w:line="288" w:lineRule="auto"/>
        <w:jc w:val="left"/>
        <w:rPr>
          <w:rFonts w:ascii="宋体" w:hAnsi="宋体"/>
          <w:bCs/>
          <w:sz w:val="21"/>
          <w:szCs w:val="21"/>
        </w:rPr>
      </w:pPr>
      <w:r>
        <w:rPr>
          <w:rFonts w:hint="eastAsia" w:ascii="宋体" w:hAnsi="宋体"/>
          <w:bCs/>
          <w:sz w:val="21"/>
          <w:szCs w:val="21"/>
        </w:rPr>
        <w:t>1.11变压器采用高压熔断器保护。</w:t>
      </w:r>
    </w:p>
    <w:p w14:paraId="24210DF3">
      <w:pPr>
        <w:adjustRightInd w:val="0"/>
        <w:snapToGrid w:val="0"/>
        <w:spacing w:line="288" w:lineRule="auto"/>
        <w:jc w:val="left"/>
        <w:rPr>
          <w:rFonts w:ascii="宋体" w:hAnsi="宋体"/>
          <w:bCs/>
          <w:sz w:val="21"/>
          <w:szCs w:val="21"/>
        </w:rPr>
      </w:pPr>
      <w:r>
        <w:rPr>
          <w:rFonts w:hint="eastAsia" w:ascii="宋体" w:hAnsi="宋体"/>
          <w:bCs/>
          <w:sz w:val="21"/>
          <w:szCs w:val="21"/>
        </w:rPr>
        <w:t xml:space="preserve">2.结构和技术要求 </w:t>
      </w:r>
    </w:p>
    <w:p w14:paraId="72B5DD02">
      <w:pPr>
        <w:adjustRightInd w:val="0"/>
        <w:snapToGrid w:val="0"/>
        <w:spacing w:line="288" w:lineRule="auto"/>
        <w:jc w:val="left"/>
        <w:rPr>
          <w:rFonts w:ascii="宋体" w:hAnsi="宋体"/>
          <w:bCs/>
          <w:sz w:val="21"/>
          <w:szCs w:val="21"/>
        </w:rPr>
      </w:pPr>
      <w:r>
        <w:rPr>
          <w:rFonts w:hint="eastAsia" w:ascii="宋体" w:hAnsi="宋体"/>
          <w:bCs/>
          <w:sz w:val="21"/>
          <w:szCs w:val="21"/>
        </w:rPr>
        <w:t>2.1.高压配电装置：参见附件：浙江大学华家池校区农生变变电所改造-招标图纸。</w:t>
      </w:r>
    </w:p>
    <w:p w14:paraId="599A3AD0">
      <w:pPr>
        <w:adjustRightInd w:val="0"/>
        <w:snapToGrid w:val="0"/>
        <w:spacing w:line="288" w:lineRule="auto"/>
        <w:jc w:val="left"/>
        <w:rPr>
          <w:rFonts w:ascii="宋体" w:hAnsi="宋体"/>
          <w:bCs/>
          <w:sz w:val="21"/>
          <w:szCs w:val="21"/>
        </w:rPr>
      </w:pPr>
      <w:r>
        <w:rPr>
          <w:rFonts w:hint="eastAsia" w:ascii="宋体" w:hAnsi="宋体"/>
          <w:bCs/>
          <w:sz w:val="21"/>
          <w:szCs w:val="21"/>
        </w:rPr>
        <w:t>高压柜采用</w:t>
      </w:r>
      <w:r>
        <w:rPr>
          <w:rFonts w:hint="eastAsia" w:ascii="宋体" w:hAnsi="宋体"/>
          <w:b/>
          <w:sz w:val="21"/>
          <w:szCs w:val="21"/>
        </w:rPr>
        <w:t>环网柜，进线柜配SF6断路器开关</w:t>
      </w:r>
      <w:r>
        <w:rPr>
          <w:rFonts w:hint="eastAsia" w:ascii="宋体" w:hAnsi="宋体"/>
          <w:bCs/>
          <w:sz w:val="21"/>
          <w:szCs w:val="21"/>
        </w:rPr>
        <w:t>，变压器采用熔断器保护。高压柜需按照电力局“五防”要求，满足农生变-招标图纸设计要求及电力局要求。</w:t>
      </w:r>
    </w:p>
    <w:p w14:paraId="42B05E82">
      <w:pPr>
        <w:adjustRightInd w:val="0"/>
        <w:snapToGrid w:val="0"/>
        <w:spacing w:line="288" w:lineRule="auto"/>
        <w:jc w:val="left"/>
        <w:rPr>
          <w:rFonts w:ascii="宋体" w:hAnsi="宋体"/>
          <w:bCs/>
          <w:sz w:val="21"/>
          <w:szCs w:val="21"/>
        </w:rPr>
      </w:pPr>
      <w:r>
        <w:rPr>
          <w:rFonts w:ascii="宋体" w:hAnsi="宋体"/>
          <w:bCs/>
          <w:sz w:val="21"/>
          <w:szCs w:val="21"/>
        </w:rPr>
        <w:t>2.2</w:t>
      </w:r>
      <w:r>
        <w:rPr>
          <w:rFonts w:hint="eastAsia" w:ascii="宋体" w:hAnsi="宋体"/>
          <w:bCs/>
          <w:sz w:val="21"/>
          <w:szCs w:val="21"/>
        </w:rPr>
        <w:t>.变压器：参见附件：浙江大学华家池校区农生变变电所改造-招标图纸。800KVA 2台。</w:t>
      </w:r>
    </w:p>
    <w:p w14:paraId="255EB53B">
      <w:pPr>
        <w:adjustRightInd w:val="0"/>
        <w:snapToGrid w:val="0"/>
        <w:spacing w:line="288" w:lineRule="auto"/>
        <w:jc w:val="left"/>
        <w:rPr>
          <w:rFonts w:ascii="宋体" w:hAnsi="宋体"/>
          <w:bCs/>
          <w:sz w:val="21"/>
          <w:szCs w:val="21"/>
        </w:rPr>
      </w:pPr>
      <w:r>
        <w:rPr>
          <w:rFonts w:hint="eastAsia" w:ascii="宋体" w:hAnsi="宋体"/>
          <w:bCs/>
          <w:sz w:val="21"/>
          <w:szCs w:val="21"/>
        </w:rPr>
        <w:t>变压器选用：SCB14系列 10/0.4 干式变压器。品牌参照或相当于</w:t>
      </w:r>
      <w:r>
        <w:rPr>
          <w:rFonts w:hint="eastAsia" w:ascii="宋体" w:hAnsi="宋体"/>
          <w:b/>
          <w:sz w:val="21"/>
          <w:szCs w:val="21"/>
        </w:rPr>
        <w:t>钱变、甬嘉、天津特变</w:t>
      </w:r>
      <w:r>
        <w:rPr>
          <w:rFonts w:hint="eastAsia" w:ascii="宋体" w:hAnsi="宋体"/>
          <w:bCs/>
          <w:sz w:val="21"/>
          <w:szCs w:val="21"/>
        </w:rPr>
        <w:t>。</w:t>
      </w:r>
    </w:p>
    <w:p w14:paraId="2E003379">
      <w:pPr>
        <w:adjustRightInd w:val="0"/>
        <w:snapToGrid w:val="0"/>
        <w:spacing w:line="288" w:lineRule="auto"/>
        <w:jc w:val="left"/>
        <w:rPr>
          <w:rFonts w:ascii="宋体" w:hAnsi="宋体"/>
          <w:bCs/>
          <w:sz w:val="21"/>
          <w:szCs w:val="21"/>
        </w:rPr>
      </w:pPr>
      <w:r>
        <w:rPr>
          <w:rFonts w:hint="eastAsia" w:ascii="宋体" w:hAnsi="宋体"/>
          <w:bCs/>
          <w:sz w:val="21"/>
          <w:szCs w:val="21"/>
        </w:rPr>
        <w:t>2.2.1变压器铭牌应面向箱门，高低压线圈选用铜线；</w:t>
      </w:r>
    </w:p>
    <w:p w14:paraId="76C4F912">
      <w:pPr>
        <w:adjustRightInd w:val="0"/>
        <w:snapToGrid w:val="0"/>
        <w:spacing w:line="288" w:lineRule="auto"/>
        <w:jc w:val="left"/>
        <w:rPr>
          <w:rFonts w:ascii="宋体" w:hAnsi="宋体"/>
          <w:bCs/>
          <w:sz w:val="21"/>
          <w:szCs w:val="21"/>
        </w:rPr>
      </w:pPr>
      <w:r>
        <w:rPr>
          <w:rFonts w:hint="eastAsia" w:ascii="宋体" w:hAnsi="宋体"/>
          <w:bCs/>
          <w:sz w:val="21"/>
          <w:szCs w:val="21"/>
        </w:rPr>
        <w:t>2.2.2应具有良好的通风降温系统，变压器本体需配置温度指示仪表；</w:t>
      </w:r>
    </w:p>
    <w:p w14:paraId="5BD43BF9">
      <w:pPr>
        <w:adjustRightInd w:val="0"/>
        <w:snapToGrid w:val="0"/>
        <w:spacing w:line="288" w:lineRule="auto"/>
        <w:jc w:val="left"/>
        <w:rPr>
          <w:rFonts w:ascii="宋体" w:hAnsi="宋体"/>
          <w:bCs/>
          <w:sz w:val="21"/>
          <w:szCs w:val="21"/>
        </w:rPr>
      </w:pPr>
      <w:r>
        <w:rPr>
          <w:rFonts w:hint="eastAsia" w:ascii="宋体" w:hAnsi="宋体"/>
          <w:bCs/>
          <w:sz w:val="21"/>
          <w:szCs w:val="21"/>
        </w:rPr>
        <w:t>2.2.3与变压器相连接的高压进线采用电缆，低压出线采用母排连接；</w:t>
      </w:r>
    </w:p>
    <w:p w14:paraId="0A1B81E9">
      <w:pPr>
        <w:adjustRightInd w:val="0"/>
        <w:snapToGrid w:val="0"/>
        <w:spacing w:line="288" w:lineRule="auto"/>
        <w:jc w:val="left"/>
        <w:rPr>
          <w:rFonts w:ascii="宋体" w:hAnsi="宋体"/>
          <w:bCs/>
          <w:sz w:val="21"/>
          <w:szCs w:val="21"/>
        </w:rPr>
      </w:pPr>
      <w:r>
        <w:rPr>
          <w:rFonts w:hint="eastAsia" w:ascii="宋体" w:hAnsi="宋体"/>
          <w:bCs/>
          <w:sz w:val="21"/>
          <w:szCs w:val="21"/>
        </w:rPr>
        <w:t>2.2.4变压器变比：10KV/0.4kV Uk=6% ±2*2.5。</w:t>
      </w:r>
    </w:p>
    <w:p w14:paraId="2A48CEF3">
      <w:pPr>
        <w:adjustRightInd w:val="0"/>
        <w:snapToGrid w:val="0"/>
        <w:spacing w:line="288" w:lineRule="auto"/>
        <w:jc w:val="left"/>
        <w:rPr>
          <w:rFonts w:ascii="宋体" w:hAnsi="宋体"/>
          <w:bCs/>
          <w:sz w:val="21"/>
          <w:szCs w:val="21"/>
        </w:rPr>
      </w:pPr>
      <w:r>
        <w:rPr>
          <w:rFonts w:hint="eastAsia" w:ascii="宋体" w:hAnsi="宋体"/>
          <w:bCs/>
          <w:sz w:val="21"/>
          <w:szCs w:val="21"/>
        </w:rPr>
        <w:t>2.3.低压配电装置：参见附件：</w:t>
      </w:r>
      <w:r>
        <w:rPr>
          <w:rFonts w:hint="eastAsia" w:ascii="宋体" w:hAnsi="宋体"/>
          <w:b/>
          <w:sz w:val="21"/>
          <w:szCs w:val="21"/>
        </w:rPr>
        <w:t>浙江大学华家池校区农生变变电所改造-招标图纸</w:t>
      </w:r>
      <w:r>
        <w:rPr>
          <w:rFonts w:hint="eastAsia" w:ascii="宋体" w:hAnsi="宋体"/>
          <w:bCs/>
          <w:sz w:val="21"/>
          <w:szCs w:val="21"/>
        </w:rPr>
        <w:t>。</w:t>
      </w:r>
    </w:p>
    <w:p w14:paraId="06FEB89C">
      <w:pPr>
        <w:adjustRightInd w:val="0"/>
        <w:snapToGrid w:val="0"/>
        <w:spacing w:line="288" w:lineRule="auto"/>
        <w:jc w:val="left"/>
        <w:rPr>
          <w:rFonts w:ascii="宋体" w:hAnsi="宋体"/>
          <w:bCs/>
          <w:sz w:val="21"/>
          <w:szCs w:val="21"/>
        </w:rPr>
      </w:pPr>
      <w:r>
        <w:rPr>
          <w:rFonts w:ascii="宋体" w:hAnsi="宋体"/>
          <w:bCs/>
          <w:sz w:val="21"/>
          <w:szCs w:val="21"/>
        </w:rPr>
        <w:t>2.3</w:t>
      </w:r>
      <w:r>
        <w:rPr>
          <w:rFonts w:hint="eastAsia" w:ascii="宋体" w:hAnsi="宋体"/>
          <w:bCs/>
          <w:sz w:val="21"/>
          <w:szCs w:val="21"/>
        </w:rPr>
        <w:t>.1元器件选择</w:t>
      </w:r>
    </w:p>
    <w:p w14:paraId="01452714">
      <w:pPr>
        <w:adjustRightInd w:val="0"/>
        <w:snapToGrid w:val="0"/>
        <w:spacing w:line="288" w:lineRule="auto"/>
        <w:jc w:val="left"/>
        <w:rPr>
          <w:rFonts w:ascii="宋体" w:hAnsi="宋体"/>
          <w:bCs/>
          <w:sz w:val="21"/>
          <w:szCs w:val="21"/>
        </w:rPr>
      </w:pPr>
      <w:r>
        <w:rPr>
          <w:rFonts w:ascii="宋体" w:hAnsi="宋体"/>
          <w:bCs/>
          <w:sz w:val="21"/>
          <w:szCs w:val="21"/>
        </w:rPr>
        <w:t>2.3</w:t>
      </w:r>
      <w:r>
        <w:rPr>
          <w:rFonts w:hint="eastAsia" w:ascii="宋体" w:hAnsi="宋体"/>
          <w:bCs/>
          <w:sz w:val="21"/>
          <w:szCs w:val="21"/>
        </w:rPr>
        <w:t>.1.1断路器采用品牌参照或相当于</w:t>
      </w:r>
      <w:r>
        <w:rPr>
          <w:rFonts w:hint="eastAsia" w:ascii="宋体" w:hAnsi="宋体"/>
          <w:b/>
          <w:sz w:val="21"/>
          <w:szCs w:val="21"/>
        </w:rPr>
        <w:t>西门子3WL-ETU45B +LCD系列、施耐德MTZ-5.0X系列、ABB Emax2-T系列</w:t>
      </w:r>
      <w:r>
        <w:rPr>
          <w:rFonts w:hint="eastAsia" w:ascii="宋体" w:hAnsi="宋体"/>
          <w:bCs/>
          <w:sz w:val="21"/>
          <w:szCs w:val="21"/>
        </w:rPr>
        <w:t>。</w:t>
      </w:r>
    </w:p>
    <w:p w14:paraId="76665C77">
      <w:pPr>
        <w:adjustRightInd w:val="0"/>
        <w:snapToGrid w:val="0"/>
        <w:spacing w:line="288" w:lineRule="auto"/>
        <w:jc w:val="left"/>
        <w:rPr>
          <w:rFonts w:ascii="宋体" w:hAnsi="宋体"/>
          <w:bCs/>
          <w:sz w:val="21"/>
          <w:szCs w:val="21"/>
        </w:rPr>
      </w:pPr>
      <w:r>
        <w:rPr>
          <w:rFonts w:ascii="宋体" w:hAnsi="宋体"/>
          <w:bCs/>
          <w:sz w:val="21"/>
          <w:szCs w:val="21"/>
        </w:rPr>
        <w:t>2.3</w:t>
      </w:r>
      <w:r>
        <w:rPr>
          <w:rFonts w:hint="eastAsia" w:ascii="宋体" w:hAnsi="宋体"/>
          <w:bCs/>
          <w:sz w:val="21"/>
          <w:szCs w:val="21"/>
        </w:rPr>
        <w:t>.1.2框架断路器采用</w:t>
      </w:r>
      <w:r>
        <w:rPr>
          <w:rFonts w:hint="eastAsia" w:ascii="宋体" w:hAnsi="宋体"/>
          <w:b/>
          <w:sz w:val="21"/>
          <w:szCs w:val="21"/>
        </w:rPr>
        <w:t>抽出式</w:t>
      </w:r>
      <w:r>
        <w:rPr>
          <w:rFonts w:hint="eastAsia" w:ascii="宋体" w:hAnsi="宋体"/>
          <w:bCs/>
          <w:sz w:val="21"/>
          <w:szCs w:val="21"/>
        </w:rPr>
        <w:t>，具有短路瞬时、短路短延时、过载长延时三段保护，能测量电流、电压、功率、电量、功率因数和频率，具有故障报警触点、故障指示以及维护指示器和事件记录功能。框架断路器额定极限短路分断容量及使用分断能力≥65KA（有效值），</w:t>
      </w:r>
      <w:r>
        <w:rPr>
          <w:rFonts w:hint="eastAsia" w:ascii="宋体" w:hAnsi="宋体"/>
          <w:b/>
          <w:sz w:val="21"/>
          <w:szCs w:val="21"/>
        </w:rPr>
        <w:t>投标文件中提供产品彩页</w:t>
      </w:r>
      <w:r>
        <w:rPr>
          <w:rFonts w:hint="eastAsia" w:ascii="宋体" w:hAnsi="宋体"/>
          <w:bCs/>
          <w:sz w:val="21"/>
          <w:szCs w:val="21"/>
        </w:rPr>
        <w:t>。</w:t>
      </w:r>
    </w:p>
    <w:p w14:paraId="309DB3AF">
      <w:pPr>
        <w:adjustRightInd w:val="0"/>
        <w:snapToGrid w:val="0"/>
        <w:spacing w:line="288" w:lineRule="auto"/>
        <w:jc w:val="left"/>
        <w:rPr>
          <w:rFonts w:ascii="宋体" w:hAnsi="宋体"/>
          <w:bCs/>
          <w:sz w:val="21"/>
          <w:szCs w:val="21"/>
        </w:rPr>
      </w:pPr>
      <w:r>
        <w:rPr>
          <w:rFonts w:ascii="宋体" w:hAnsi="宋体"/>
          <w:bCs/>
          <w:sz w:val="21"/>
          <w:szCs w:val="21"/>
        </w:rPr>
        <w:t>2.3</w:t>
      </w:r>
      <w:r>
        <w:rPr>
          <w:rFonts w:hint="eastAsia" w:ascii="宋体" w:hAnsi="宋体"/>
          <w:bCs/>
          <w:sz w:val="21"/>
          <w:szCs w:val="21"/>
        </w:rPr>
        <w:t>.1.3塑壳断路器采用</w:t>
      </w:r>
      <w:r>
        <w:rPr>
          <w:rFonts w:hint="eastAsia" w:ascii="宋体" w:hAnsi="宋体"/>
          <w:b/>
          <w:sz w:val="21"/>
          <w:szCs w:val="21"/>
        </w:rPr>
        <w:t>插拔式断路器</w:t>
      </w:r>
      <w:r>
        <w:rPr>
          <w:rFonts w:hint="eastAsia" w:ascii="宋体" w:hAnsi="宋体"/>
          <w:bCs/>
          <w:sz w:val="21"/>
          <w:szCs w:val="21"/>
        </w:rPr>
        <w:t>，电子脱扣器，三段保护。塑壳断路器额定极限短路分断容量及使用分断能力≥36KA（有效值）。要求与</w:t>
      </w:r>
      <w:r>
        <w:rPr>
          <w:rFonts w:hint="eastAsia" w:ascii="宋体" w:hAnsi="宋体"/>
          <w:b/>
          <w:sz w:val="21"/>
          <w:szCs w:val="21"/>
        </w:rPr>
        <w:t>框架断路器相互兼容</w:t>
      </w:r>
      <w:r>
        <w:rPr>
          <w:rFonts w:hint="eastAsia" w:ascii="宋体" w:hAnsi="宋体"/>
          <w:bCs/>
          <w:sz w:val="21"/>
          <w:szCs w:val="21"/>
        </w:rPr>
        <w:t>，</w:t>
      </w:r>
      <w:r>
        <w:rPr>
          <w:rFonts w:hint="eastAsia" w:ascii="宋体" w:hAnsi="宋体"/>
          <w:b/>
          <w:sz w:val="21"/>
          <w:szCs w:val="21"/>
        </w:rPr>
        <w:t>投标文件中提供产品彩页</w:t>
      </w:r>
      <w:r>
        <w:rPr>
          <w:rFonts w:hint="eastAsia" w:ascii="宋体" w:hAnsi="宋体"/>
          <w:bCs/>
          <w:sz w:val="21"/>
          <w:szCs w:val="21"/>
        </w:rPr>
        <w:t>。</w:t>
      </w:r>
    </w:p>
    <w:p w14:paraId="04B31A20">
      <w:pPr>
        <w:adjustRightInd w:val="0"/>
        <w:snapToGrid w:val="0"/>
        <w:spacing w:line="288" w:lineRule="auto"/>
        <w:jc w:val="left"/>
        <w:rPr>
          <w:rFonts w:ascii="宋体" w:hAnsi="宋体"/>
          <w:bCs/>
          <w:sz w:val="21"/>
          <w:szCs w:val="21"/>
        </w:rPr>
      </w:pPr>
      <w:r>
        <w:rPr>
          <w:rFonts w:ascii="宋体" w:hAnsi="宋体"/>
          <w:bCs/>
          <w:sz w:val="21"/>
          <w:szCs w:val="21"/>
        </w:rPr>
        <w:t>2.3</w:t>
      </w:r>
      <w:r>
        <w:rPr>
          <w:rFonts w:hint="eastAsia" w:ascii="宋体" w:hAnsi="宋体"/>
          <w:bCs/>
          <w:sz w:val="21"/>
          <w:szCs w:val="21"/>
        </w:rPr>
        <w:t>.1.4浪涌保护器和后备保护器采用品牌参照或相当于</w:t>
      </w:r>
      <w:r>
        <w:rPr>
          <w:rFonts w:hint="eastAsia" w:ascii="宋体" w:hAnsi="宋体"/>
          <w:b/>
          <w:sz w:val="21"/>
          <w:szCs w:val="21"/>
        </w:rPr>
        <w:t>厦门大恒科技VA和C11系列，施耐德万高iPRF1和i SCB1系列，ABB OVR T1和POD系列</w:t>
      </w:r>
      <w:r>
        <w:rPr>
          <w:rFonts w:hint="eastAsia" w:ascii="宋体" w:hAnsi="宋体"/>
          <w:bCs/>
          <w:sz w:val="21"/>
          <w:szCs w:val="21"/>
        </w:rPr>
        <w:t>。选用4极的后备保护器和4极的浪涌保护器。</w:t>
      </w:r>
    </w:p>
    <w:p w14:paraId="35312BDA">
      <w:pPr>
        <w:adjustRightInd w:val="0"/>
        <w:snapToGrid w:val="0"/>
        <w:spacing w:line="288" w:lineRule="auto"/>
        <w:jc w:val="left"/>
        <w:rPr>
          <w:rFonts w:ascii="宋体" w:hAnsi="宋体"/>
          <w:bCs/>
          <w:sz w:val="21"/>
          <w:szCs w:val="21"/>
        </w:rPr>
      </w:pPr>
      <w:r>
        <w:rPr>
          <w:rFonts w:hint="eastAsia" w:ascii="宋体" w:hAnsi="宋体"/>
          <w:bCs/>
          <w:sz w:val="21"/>
          <w:szCs w:val="21"/>
        </w:rPr>
        <w:t>浪涌保护器应为不低于15节放电间隙的开关型保护器，应满足以下技术要求：</w:t>
      </w:r>
    </w:p>
    <w:p w14:paraId="791145E5">
      <w:pPr>
        <w:adjustRightInd w:val="0"/>
        <w:snapToGrid w:val="0"/>
        <w:spacing w:line="288" w:lineRule="auto"/>
        <w:jc w:val="left"/>
        <w:rPr>
          <w:rFonts w:ascii="宋体" w:hAnsi="宋体"/>
          <w:bCs/>
          <w:sz w:val="21"/>
          <w:szCs w:val="21"/>
        </w:rPr>
      </w:pPr>
      <w:r>
        <w:rPr>
          <w:rFonts w:hint="eastAsia" w:ascii="宋体" w:hAnsi="宋体"/>
          <w:bCs/>
          <w:sz w:val="21"/>
          <w:szCs w:val="21"/>
        </w:rPr>
        <w:t>1）最大持续工作电压Uc：AC275V，50Hz；</w:t>
      </w:r>
    </w:p>
    <w:p w14:paraId="38646E1B">
      <w:pPr>
        <w:adjustRightInd w:val="0"/>
        <w:snapToGrid w:val="0"/>
        <w:spacing w:line="288" w:lineRule="auto"/>
        <w:jc w:val="left"/>
        <w:rPr>
          <w:rFonts w:ascii="宋体" w:hAnsi="宋体"/>
          <w:bCs/>
          <w:sz w:val="21"/>
          <w:szCs w:val="21"/>
        </w:rPr>
      </w:pPr>
      <w:r>
        <w:rPr>
          <w:rFonts w:hint="eastAsia" w:ascii="宋体" w:hAnsi="宋体"/>
          <w:bCs/>
          <w:sz w:val="21"/>
          <w:szCs w:val="21"/>
        </w:rPr>
        <w:t>2）电压保护水平Up：2.3kV；</w:t>
      </w:r>
    </w:p>
    <w:p w14:paraId="2A9423D2">
      <w:pPr>
        <w:adjustRightInd w:val="0"/>
        <w:snapToGrid w:val="0"/>
        <w:spacing w:line="288" w:lineRule="auto"/>
        <w:jc w:val="left"/>
        <w:rPr>
          <w:rFonts w:ascii="宋体" w:hAnsi="宋体"/>
          <w:bCs/>
          <w:sz w:val="21"/>
          <w:szCs w:val="21"/>
        </w:rPr>
      </w:pPr>
      <w:r>
        <w:rPr>
          <w:rFonts w:hint="eastAsia" w:ascii="宋体" w:hAnsi="宋体"/>
          <w:bCs/>
          <w:sz w:val="21"/>
          <w:szCs w:val="21"/>
        </w:rPr>
        <w:t>3）最大冲击电流(脉冲电流)Iimp(10/350Ias)：(峰值)=25kA；</w:t>
      </w:r>
    </w:p>
    <w:p w14:paraId="46AB4FBF">
      <w:pPr>
        <w:adjustRightInd w:val="0"/>
        <w:snapToGrid w:val="0"/>
        <w:spacing w:line="288" w:lineRule="auto"/>
        <w:jc w:val="left"/>
        <w:rPr>
          <w:rFonts w:ascii="宋体" w:hAnsi="宋体"/>
          <w:bCs/>
          <w:sz w:val="21"/>
          <w:szCs w:val="21"/>
        </w:rPr>
      </w:pPr>
      <w:r>
        <w:rPr>
          <w:rFonts w:hint="eastAsia" w:ascii="宋体" w:hAnsi="宋体"/>
          <w:bCs/>
          <w:sz w:val="21"/>
          <w:szCs w:val="21"/>
        </w:rPr>
        <w:t>4）响应时间：≤100ns；</w:t>
      </w:r>
    </w:p>
    <w:p w14:paraId="793F807F">
      <w:pPr>
        <w:adjustRightInd w:val="0"/>
        <w:snapToGrid w:val="0"/>
        <w:spacing w:line="288" w:lineRule="auto"/>
        <w:jc w:val="left"/>
        <w:rPr>
          <w:rFonts w:ascii="宋体" w:hAnsi="宋体"/>
          <w:bCs/>
          <w:sz w:val="21"/>
          <w:szCs w:val="21"/>
        </w:rPr>
      </w:pPr>
      <w:r>
        <w:rPr>
          <w:rFonts w:hint="eastAsia" w:ascii="宋体" w:hAnsi="宋体"/>
          <w:bCs/>
          <w:sz w:val="21"/>
          <w:szCs w:val="21"/>
        </w:rPr>
        <w:t>5）阻燃等级：V0级；</w:t>
      </w:r>
    </w:p>
    <w:p w14:paraId="5747DFFC">
      <w:pPr>
        <w:adjustRightInd w:val="0"/>
        <w:snapToGrid w:val="0"/>
        <w:spacing w:line="288" w:lineRule="auto"/>
        <w:jc w:val="left"/>
        <w:rPr>
          <w:rFonts w:ascii="宋体" w:hAnsi="宋体"/>
          <w:bCs/>
          <w:sz w:val="21"/>
          <w:szCs w:val="21"/>
        </w:rPr>
      </w:pPr>
      <w:r>
        <w:rPr>
          <w:rFonts w:hint="eastAsia" w:ascii="宋体" w:hAnsi="宋体"/>
          <w:bCs/>
          <w:sz w:val="21"/>
          <w:szCs w:val="21"/>
        </w:rPr>
        <w:t>配备的浪涌保护器后备保护装置技术要求：</w:t>
      </w:r>
    </w:p>
    <w:p w14:paraId="57793325">
      <w:pPr>
        <w:adjustRightInd w:val="0"/>
        <w:snapToGrid w:val="0"/>
        <w:spacing w:line="288" w:lineRule="auto"/>
        <w:jc w:val="left"/>
        <w:rPr>
          <w:rFonts w:ascii="宋体" w:hAnsi="宋体"/>
          <w:bCs/>
          <w:sz w:val="21"/>
          <w:szCs w:val="21"/>
        </w:rPr>
      </w:pPr>
      <w:r>
        <w:rPr>
          <w:rFonts w:hint="eastAsia" w:ascii="宋体" w:hAnsi="宋体"/>
          <w:bCs/>
          <w:sz w:val="21"/>
          <w:szCs w:val="21"/>
        </w:rPr>
        <w:t>1）能够分断SPD安装电路的预期短路电流（Ics）的能力不低于50kA；</w:t>
      </w:r>
    </w:p>
    <w:p w14:paraId="2D6AA86B">
      <w:pPr>
        <w:adjustRightInd w:val="0"/>
        <w:snapToGrid w:val="0"/>
        <w:spacing w:line="288" w:lineRule="auto"/>
        <w:jc w:val="left"/>
        <w:rPr>
          <w:rFonts w:ascii="宋体" w:hAnsi="宋体"/>
          <w:bCs/>
          <w:sz w:val="21"/>
          <w:szCs w:val="21"/>
        </w:rPr>
      </w:pPr>
      <w:r>
        <w:rPr>
          <w:rFonts w:hint="eastAsia" w:ascii="宋体" w:hAnsi="宋体"/>
          <w:bCs/>
          <w:sz w:val="21"/>
          <w:szCs w:val="21"/>
        </w:rPr>
        <w:t>2）通过Iimp=15kA(10/350us)冲击电流不断开；</w:t>
      </w:r>
    </w:p>
    <w:p w14:paraId="19D56EBD">
      <w:pPr>
        <w:adjustRightInd w:val="0"/>
        <w:snapToGrid w:val="0"/>
        <w:spacing w:line="288" w:lineRule="auto"/>
        <w:jc w:val="left"/>
        <w:rPr>
          <w:rFonts w:ascii="宋体" w:hAnsi="宋体"/>
          <w:bCs/>
          <w:sz w:val="21"/>
          <w:szCs w:val="21"/>
        </w:rPr>
      </w:pPr>
      <w:r>
        <w:rPr>
          <w:rFonts w:hint="eastAsia" w:ascii="宋体" w:hAnsi="宋体"/>
          <w:bCs/>
          <w:sz w:val="21"/>
          <w:szCs w:val="21"/>
        </w:rPr>
        <w:t>3）通过不大于5A工频电流能够速断(阻止电源出现暂态过电压或SPD出现劣化导致SPD起火)。</w:t>
      </w:r>
    </w:p>
    <w:p w14:paraId="6AA06F86">
      <w:pPr>
        <w:adjustRightInd w:val="0"/>
        <w:snapToGrid w:val="0"/>
        <w:spacing w:line="288" w:lineRule="auto"/>
        <w:jc w:val="left"/>
        <w:rPr>
          <w:rFonts w:ascii="宋体" w:hAnsi="宋体"/>
          <w:bCs/>
          <w:sz w:val="21"/>
          <w:szCs w:val="21"/>
        </w:rPr>
      </w:pPr>
      <w:r>
        <w:rPr>
          <w:rFonts w:ascii="宋体" w:hAnsi="宋体"/>
          <w:bCs/>
          <w:sz w:val="21"/>
          <w:szCs w:val="21"/>
        </w:rPr>
        <w:t>2.3</w:t>
      </w:r>
      <w:r>
        <w:rPr>
          <w:rFonts w:hint="eastAsia" w:ascii="宋体" w:hAnsi="宋体"/>
          <w:bCs/>
          <w:sz w:val="21"/>
          <w:szCs w:val="21"/>
        </w:rPr>
        <w:t>.1.5电力仪表采用品牌参照或相当于</w:t>
      </w:r>
      <w:r>
        <w:rPr>
          <w:rFonts w:hint="eastAsia" w:ascii="宋体" w:hAnsi="宋体"/>
          <w:b/>
          <w:sz w:val="21"/>
          <w:szCs w:val="21"/>
        </w:rPr>
        <w:t>江阴斯菲尔、苏州奥丁、杭州中深系列</w:t>
      </w:r>
      <w:r>
        <w:rPr>
          <w:rFonts w:hint="eastAsia" w:ascii="宋体" w:hAnsi="宋体"/>
          <w:bCs/>
          <w:sz w:val="21"/>
          <w:szCs w:val="21"/>
        </w:rPr>
        <w:t>。进线柜电力仪表可测量电流、电压、有功功率、无功功率、功率因数、频率、有功电能、无功电能、视在功率全电量。电容柜电力仪表可测量电流、电压、有功功率、功率因数。出线回路电力仪表可测量电流、电压、有功电能、无功电能。</w:t>
      </w:r>
      <w:r>
        <w:rPr>
          <w:rFonts w:hint="eastAsia" w:ascii="宋体" w:hAnsi="宋体"/>
          <w:b/>
          <w:sz w:val="21"/>
          <w:szCs w:val="21"/>
        </w:rPr>
        <w:t>表计采用液晶显示，具备通讯功能，带RS485接口。</w:t>
      </w:r>
    </w:p>
    <w:p w14:paraId="4437352D">
      <w:pPr>
        <w:adjustRightInd w:val="0"/>
        <w:snapToGrid w:val="0"/>
        <w:spacing w:line="288" w:lineRule="auto"/>
        <w:jc w:val="left"/>
        <w:rPr>
          <w:rFonts w:ascii="宋体" w:hAnsi="宋体"/>
          <w:bCs/>
          <w:sz w:val="21"/>
          <w:szCs w:val="21"/>
        </w:rPr>
      </w:pPr>
      <w:r>
        <w:rPr>
          <w:rFonts w:ascii="宋体" w:hAnsi="宋体"/>
          <w:bCs/>
          <w:sz w:val="21"/>
          <w:szCs w:val="21"/>
        </w:rPr>
        <w:t>2.3</w:t>
      </w:r>
      <w:r>
        <w:rPr>
          <w:rFonts w:hint="eastAsia" w:ascii="宋体" w:hAnsi="宋体"/>
          <w:bCs/>
          <w:sz w:val="21"/>
          <w:szCs w:val="21"/>
        </w:rPr>
        <w:t>.1.6电容柜内的控制器，电容电抗器组，接触器，晶闸管，熔断器组采用品牌参照或相当于</w:t>
      </w:r>
      <w:r>
        <w:rPr>
          <w:rFonts w:hint="eastAsia" w:ascii="宋体" w:hAnsi="宋体"/>
          <w:b/>
          <w:sz w:val="21"/>
          <w:szCs w:val="21"/>
        </w:rPr>
        <w:t>柯贝尔（KBR）、易控（ELKON）、贝鲁科（BLK）</w:t>
      </w:r>
      <w:r>
        <w:rPr>
          <w:rFonts w:hint="eastAsia" w:ascii="宋体" w:hAnsi="宋体"/>
          <w:bCs/>
          <w:sz w:val="21"/>
          <w:szCs w:val="21"/>
        </w:rPr>
        <w:t>。电容柜电抗率14%，控制器带</w:t>
      </w:r>
      <w:r>
        <w:rPr>
          <w:rFonts w:hint="eastAsia" w:ascii="宋体" w:hAnsi="宋体"/>
          <w:b/>
          <w:sz w:val="21"/>
          <w:szCs w:val="21"/>
        </w:rPr>
        <w:t>RS485接口</w:t>
      </w:r>
      <w:r>
        <w:rPr>
          <w:rFonts w:hint="eastAsia" w:ascii="宋体" w:hAnsi="宋体"/>
          <w:bCs/>
          <w:sz w:val="21"/>
          <w:szCs w:val="21"/>
        </w:rPr>
        <w:t>，电容柜内补偿容量及配置要符合设计要求。</w:t>
      </w:r>
    </w:p>
    <w:p w14:paraId="52A327F9">
      <w:pPr>
        <w:adjustRightInd w:val="0"/>
        <w:snapToGrid w:val="0"/>
        <w:spacing w:line="288" w:lineRule="auto"/>
        <w:jc w:val="left"/>
        <w:rPr>
          <w:rFonts w:ascii="宋体" w:hAnsi="宋体"/>
          <w:bCs/>
          <w:sz w:val="21"/>
          <w:szCs w:val="21"/>
        </w:rPr>
      </w:pPr>
      <w:r>
        <w:rPr>
          <w:rFonts w:hint="eastAsia" w:ascii="宋体" w:hAnsi="宋体"/>
          <w:bCs/>
          <w:sz w:val="21"/>
          <w:szCs w:val="21"/>
        </w:rPr>
        <w:t>▲</w:t>
      </w:r>
      <w:r>
        <w:rPr>
          <w:rFonts w:ascii="宋体" w:hAnsi="宋体"/>
          <w:bCs/>
          <w:sz w:val="21"/>
          <w:szCs w:val="21"/>
        </w:rPr>
        <w:t>2.3</w:t>
      </w:r>
      <w:r>
        <w:rPr>
          <w:rFonts w:hint="eastAsia" w:ascii="宋体" w:hAnsi="宋体"/>
          <w:bCs/>
          <w:sz w:val="21"/>
          <w:szCs w:val="21"/>
        </w:rPr>
        <w:t>.2低压柜柜体为固定分隔柜，并提供固定分隔柜的</w:t>
      </w:r>
      <w:r>
        <w:rPr>
          <w:rFonts w:hint="eastAsia" w:ascii="宋体" w:hAnsi="宋体"/>
          <w:b/>
          <w:sz w:val="21"/>
          <w:szCs w:val="21"/>
        </w:rPr>
        <w:t>型式试验报告及强制性认证产品符合性自我声明</w:t>
      </w:r>
      <w:r>
        <w:rPr>
          <w:rFonts w:hint="eastAsia" w:ascii="宋体" w:hAnsi="宋体"/>
          <w:bCs/>
          <w:sz w:val="21"/>
          <w:szCs w:val="21"/>
        </w:rPr>
        <w:t>。</w:t>
      </w:r>
    </w:p>
    <w:p w14:paraId="08145B05">
      <w:pPr>
        <w:adjustRightInd w:val="0"/>
        <w:snapToGrid w:val="0"/>
        <w:spacing w:line="288" w:lineRule="auto"/>
        <w:jc w:val="left"/>
        <w:rPr>
          <w:rFonts w:ascii="宋体" w:hAnsi="宋体"/>
          <w:bCs/>
          <w:sz w:val="21"/>
          <w:szCs w:val="21"/>
        </w:rPr>
      </w:pPr>
      <w:r>
        <w:rPr>
          <w:rFonts w:hint="eastAsia" w:ascii="宋体" w:hAnsi="宋体"/>
          <w:bCs/>
          <w:sz w:val="21"/>
          <w:szCs w:val="21"/>
        </w:rPr>
        <w:t>2.3.3低压固定面板式结构的配电装置应有金属板制成的间隔和门，其位置设置应便于电器元件的安装、试验、操作、检修或更换。互感器的安装需考虑日后出线接线方便，合理布局。</w:t>
      </w:r>
    </w:p>
    <w:p w14:paraId="2DA19B4D">
      <w:pPr>
        <w:adjustRightInd w:val="0"/>
        <w:snapToGrid w:val="0"/>
        <w:spacing w:line="288" w:lineRule="auto"/>
        <w:jc w:val="left"/>
        <w:rPr>
          <w:rFonts w:ascii="宋体" w:hAnsi="宋体"/>
          <w:bCs/>
          <w:sz w:val="21"/>
          <w:szCs w:val="21"/>
        </w:rPr>
      </w:pPr>
      <w:r>
        <w:rPr>
          <w:rFonts w:hint="eastAsia" w:ascii="宋体" w:hAnsi="宋体"/>
          <w:bCs/>
          <w:sz w:val="21"/>
          <w:szCs w:val="21"/>
        </w:rPr>
        <w:t xml:space="preserve">2.3.4低压配电装置的连线均应有明显的相别标记。低压主母线和分支线必须包热缩绝缘套管，尽量减少低压裸露带电部分。 </w:t>
      </w:r>
    </w:p>
    <w:p w14:paraId="6E6D8E65">
      <w:pPr>
        <w:adjustRightInd w:val="0"/>
        <w:snapToGrid w:val="0"/>
        <w:spacing w:line="288" w:lineRule="auto"/>
        <w:jc w:val="left"/>
        <w:rPr>
          <w:rFonts w:ascii="宋体" w:hAnsi="宋体"/>
          <w:bCs/>
          <w:sz w:val="21"/>
          <w:szCs w:val="21"/>
        </w:rPr>
      </w:pPr>
      <w:r>
        <w:rPr>
          <w:rFonts w:hint="eastAsia" w:ascii="宋体" w:hAnsi="宋体"/>
          <w:bCs/>
          <w:sz w:val="21"/>
          <w:szCs w:val="21"/>
        </w:rPr>
        <w:t>2.3.5低压室门的内侧应标出主回路的线路图，信号灯及仪表的装设位置应易于观察和安全地更换。</w:t>
      </w:r>
    </w:p>
    <w:p w14:paraId="64FCD522">
      <w:pPr>
        <w:adjustRightInd w:val="0"/>
        <w:snapToGrid w:val="0"/>
        <w:spacing w:line="288" w:lineRule="auto"/>
        <w:jc w:val="left"/>
        <w:rPr>
          <w:rFonts w:ascii="宋体" w:hAnsi="宋体"/>
          <w:bCs/>
          <w:sz w:val="21"/>
          <w:szCs w:val="21"/>
        </w:rPr>
      </w:pPr>
      <w:r>
        <w:rPr>
          <w:rFonts w:hint="eastAsia" w:ascii="宋体" w:hAnsi="宋体"/>
          <w:bCs/>
          <w:sz w:val="21"/>
          <w:szCs w:val="21"/>
        </w:rPr>
        <w:t>2.4.接地</w:t>
      </w:r>
    </w:p>
    <w:p w14:paraId="4FE401C4">
      <w:pPr>
        <w:adjustRightInd w:val="0"/>
        <w:snapToGrid w:val="0"/>
        <w:spacing w:line="288" w:lineRule="auto"/>
        <w:jc w:val="left"/>
        <w:rPr>
          <w:rFonts w:ascii="宋体" w:hAnsi="宋体"/>
          <w:bCs/>
          <w:sz w:val="21"/>
          <w:szCs w:val="21"/>
        </w:rPr>
      </w:pPr>
      <w:r>
        <w:rPr>
          <w:rFonts w:hint="eastAsia" w:ascii="宋体" w:hAnsi="宋体"/>
          <w:bCs/>
          <w:sz w:val="21"/>
          <w:szCs w:val="21"/>
        </w:rPr>
        <w:t>2.4.1接地系统应符合 GB/T 50065-2011“交流电气装置的接地”的要求。</w:t>
      </w:r>
    </w:p>
    <w:p w14:paraId="2B2B3718">
      <w:pPr>
        <w:adjustRightInd w:val="0"/>
        <w:snapToGrid w:val="0"/>
        <w:spacing w:line="288" w:lineRule="auto"/>
        <w:jc w:val="left"/>
        <w:rPr>
          <w:rFonts w:ascii="宋体" w:hAnsi="宋体"/>
          <w:bCs/>
          <w:sz w:val="21"/>
          <w:szCs w:val="21"/>
        </w:rPr>
      </w:pPr>
      <w:r>
        <w:rPr>
          <w:rFonts w:hint="eastAsia" w:ascii="宋体" w:hAnsi="宋体"/>
          <w:bCs/>
          <w:sz w:val="21"/>
          <w:szCs w:val="21"/>
        </w:rPr>
        <w:t>2.4.2高、低压配电设备应设专用接地导体，该接地导体上应设有与接地网相连的固定连接端子，其数量不少于两个，并应有明显的接地标志。接地端子为直径不小于12mm的铜质螺栓。接地导体应采用铜带，其电流密度应不大于</w:t>
      </w:r>
      <w:r>
        <w:rPr>
          <w:rFonts w:hint="eastAsia" w:ascii="宋体" w:hAnsi="宋体"/>
          <w:bCs/>
          <w:sz w:val="21"/>
          <w:szCs w:val="21"/>
          <w:lang w:val="zh-CN"/>
        </w:rPr>
        <w:t>2A/mm2</w:t>
      </w:r>
      <w:r>
        <w:rPr>
          <w:rFonts w:hint="eastAsia" w:ascii="宋体" w:hAnsi="宋体"/>
          <w:bCs/>
          <w:sz w:val="21"/>
          <w:szCs w:val="21"/>
        </w:rPr>
        <w:t>，截面不小于300</w:t>
      </w:r>
      <w:r>
        <w:rPr>
          <w:rFonts w:hint="eastAsia" w:ascii="宋体" w:hAnsi="宋体"/>
          <w:bCs/>
          <w:sz w:val="21"/>
          <w:szCs w:val="21"/>
          <w:lang w:val="zh-CN"/>
        </w:rPr>
        <w:t>mm2</w:t>
      </w:r>
      <w:r>
        <w:rPr>
          <w:rFonts w:hint="eastAsia" w:ascii="宋体" w:hAnsi="宋体"/>
          <w:bCs/>
          <w:sz w:val="21"/>
          <w:szCs w:val="21"/>
        </w:rPr>
        <w:t>，并保证流过最大短路电流时不发生过热或影响周围物体的安全。</w:t>
      </w:r>
    </w:p>
    <w:p w14:paraId="2FC48D56">
      <w:pPr>
        <w:adjustRightInd w:val="0"/>
        <w:snapToGrid w:val="0"/>
        <w:spacing w:line="288" w:lineRule="auto"/>
        <w:jc w:val="left"/>
        <w:rPr>
          <w:rFonts w:ascii="宋体" w:hAnsi="宋体"/>
          <w:bCs/>
          <w:sz w:val="21"/>
          <w:szCs w:val="21"/>
        </w:rPr>
      </w:pPr>
      <w:r>
        <w:rPr>
          <w:rFonts w:hint="eastAsia" w:ascii="宋体" w:hAnsi="宋体"/>
          <w:bCs/>
          <w:sz w:val="21"/>
          <w:szCs w:val="21"/>
        </w:rPr>
        <w:t>2.4.3专用接地导体所承受的动、热稳定电流应与高压配电装置的接地方式相配合。</w:t>
      </w:r>
    </w:p>
    <w:p w14:paraId="32E804EE">
      <w:pPr>
        <w:adjustRightInd w:val="0"/>
        <w:snapToGrid w:val="0"/>
        <w:spacing w:line="288" w:lineRule="auto"/>
        <w:jc w:val="left"/>
        <w:rPr>
          <w:rFonts w:ascii="宋体" w:hAnsi="宋体"/>
          <w:bCs/>
          <w:sz w:val="21"/>
          <w:szCs w:val="21"/>
        </w:rPr>
      </w:pPr>
      <w:r>
        <w:rPr>
          <w:rFonts w:hint="eastAsia" w:ascii="宋体" w:hAnsi="宋体"/>
          <w:bCs/>
          <w:sz w:val="21"/>
          <w:szCs w:val="21"/>
        </w:rPr>
        <w:t>2.4.4高低压变配电设备的金属骨架，高压配电装置、低压配电装置和变压器的金属支架均应有符合技术条件的接地端子。</w:t>
      </w:r>
    </w:p>
    <w:p w14:paraId="78A7C0C1">
      <w:pPr>
        <w:adjustRightInd w:val="0"/>
        <w:snapToGrid w:val="0"/>
        <w:spacing w:line="288" w:lineRule="auto"/>
        <w:jc w:val="left"/>
        <w:rPr>
          <w:rFonts w:ascii="宋体" w:hAnsi="宋体"/>
          <w:bCs/>
          <w:sz w:val="21"/>
          <w:szCs w:val="21"/>
        </w:rPr>
      </w:pPr>
      <w:r>
        <w:rPr>
          <w:rFonts w:hint="eastAsia" w:ascii="宋体" w:hAnsi="宋体"/>
          <w:bCs/>
          <w:sz w:val="21"/>
          <w:szCs w:val="21"/>
        </w:rPr>
        <w:t>2.4.5高、低压设备的非带电金属裸露部分均应可靠接地，门和在正常运行条件下抽出部分的接地，就保证在打开或隔离位置时，仍可靠接地。</w:t>
      </w:r>
    </w:p>
    <w:p w14:paraId="1DB74C17">
      <w:pPr>
        <w:adjustRightInd w:val="0"/>
        <w:snapToGrid w:val="0"/>
        <w:spacing w:line="288" w:lineRule="auto"/>
        <w:jc w:val="left"/>
        <w:rPr>
          <w:rFonts w:ascii="宋体" w:hAnsi="宋体"/>
          <w:bCs/>
          <w:sz w:val="21"/>
          <w:szCs w:val="21"/>
        </w:rPr>
      </w:pPr>
      <w:r>
        <w:rPr>
          <w:rFonts w:hint="eastAsia" w:ascii="宋体" w:hAnsi="宋体"/>
          <w:bCs/>
          <w:sz w:val="21"/>
          <w:szCs w:val="21"/>
        </w:rPr>
        <w:t>2.4.6当低压配电装置的接地采用TN -S接地形式时，可以采用同一接地体，接地导体应按中性线的截面和材质选择。</w:t>
      </w:r>
    </w:p>
    <w:p w14:paraId="4870C4ED">
      <w:pPr>
        <w:adjustRightInd w:val="0"/>
        <w:snapToGrid w:val="0"/>
        <w:spacing w:line="288" w:lineRule="auto"/>
      </w:pPr>
      <w:r>
        <w:rPr>
          <w:rFonts w:hint="eastAsia" w:ascii="宋体" w:hAnsi="宋体"/>
          <w:b/>
          <w:bCs/>
          <w:spacing w:val="-4"/>
          <w:sz w:val="21"/>
          <w:szCs w:val="21"/>
        </w:rPr>
        <w:t>（三）配置清单</w:t>
      </w:r>
    </w:p>
    <w:tbl>
      <w:tblPr>
        <w:tblStyle w:val="2"/>
        <w:tblW w:w="9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869"/>
        <w:gridCol w:w="693"/>
        <w:gridCol w:w="722"/>
        <w:gridCol w:w="5489"/>
      </w:tblGrid>
      <w:tr w14:paraId="1BDF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15" w:type="dxa"/>
            <w:vAlign w:val="center"/>
          </w:tcPr>
          <w:p w14:paraId="0AD2851E">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序号</w:t>
            </w:r>
          </w:p>
        </w:tc>
        <w:tc>
          <w:tcPr>
            <w:tcW w:w="1869" w:type="dxa"/>
            <w:vAlign w:val="center"/>
          </w:tcPr>
          <w:p w14:paraId="2D8E25E6">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名称</w:t>
            </w:r>
          </w:p>
        </w:tc>
        <w:tc>
          <w:tcPr>
            <w:tcW w:w="693" w:type="dxa"/>
            <w:vAlign w:val="center"/>
          </w:tcPr>
          <w:p w14:paraId="514A18E1">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数量</w:t>
            </w:r>
          </w:p>
        </w:tc>
        <w:tc>
          <w:tcPr>
            <w:tcW w:w="722" w:type="dxa"/>
            <w:vAlign w:val="center"/>
          </w:tcPr>
          <w:p w14:paraId="6BD64591">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单位</w:t>
            </w:r>
          </w:p>
        </w:tc>
        <w:tc>
          <w:tcPr>
            <w:tcW w:w="5489" w:type="dxa"/>
            <w:vAlign w:val="center"/>
          </w:tcPr>
          <w:p w14:paraId="4B748FBC">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（功能或者目标）、质量、安全、技术规格、物理特性等要求</w:t>
            </w:r>
          </w:p>
        </w:tc>
      </w:tr>
      <w:tr w14:paraId="4A456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5" w:type="dxa"/>
            <w:vAlign w:val="center"/>
          </w:tcPr>
          <w:p w14:paraId="01C74309">
            <w:pPr>
              <w:spacing w:line="288" w:lineRule="auto"/>
              <w:jc w:val="center"/>
              <w:rPr>
                <w:rFonts w:ascii="宋体" w:hAnsi="宋体" w:cs="宋体"/>
                <w:sz w:val="21"/>
                <w:szCs w:val="21"/>
              </w:rPr>
            </w:pPr>
            <w:r>
              <w:rPr>
                <w:rFonts w:ascii="宋体" w:hAnsi="宋体" w:cs="宋体"/>
                <w:sz w:val="21"/>
                <w:szCs w:val="21"/>
              </w:rPr>
              <w:t>1</w:t>
            </w:r>
          </w:p>
        </w:tc>
        <w:tc>
          <w:tcPr>
            <w:tcW w:w="1869" w:type="dxa"/>
            <w:vAlign w:val="center"/>
          </w:tcPr>
          <w:p w14:paraId="185B007B">
            <w:pPr>
              <w:widowControl/>
              <w:jc w:val="center"/>
              <w:textAlignment w:val="center"/>
              <w:rPr>
                <w:rFonts w:hint="eastAsia" w:ascii="宋体" w:hAnsi="宋体" w:cs="宋体"/>
                <w:b/>
                <w:bCs/>
                <w:color w:val="000000"/>
                <w:kern w:val="0"/>
                <w:sz w:val="21"/>
                <w:szCs w:val="21"/>
              </w:rPr>
            </w:pPr>
            <w:r>
              <w:rPr>
                <w:rFonts w:hint="eastAsia" w:ascii="宋体" w:hAnsi="宋体" w:cs="宋体"/>
                <w:b/>
                <w:bCs/>
                <w:color w:val="000000"/>
                <w:kern w:val="0"/>
                <w:sz w:val="21"/>
                <w:szCs w:val="21"/>
              </w:rPr>
              <w:t>高压环网柜</w:t>
            </w:r>
          </w:p>
          <w:p w14:paraId="4641C200">
            <w:pPr>
              <w:widowControl/>
              <w:jc w:val="center"/>
              <w:textAlignment w:val="center"/>
              <w:rPr>
                <w:rFonts w:hint="default" w:ascii="宋体" w:hAnsi="宋体" w:eastAsia="宋体" w:cs="宋体"/>
                <w:color w:val="000000"/>
                <w:kern w:val="0"/>
                <w:sz w:val="21"/>
                <w:szCs w:val="21"/>
                <w:lang w:val="en-US" w:eastAsia="zh-CN"/>
              </w:rPr>
            </w:pPr>
            <w:r>
              <w:rPr>
                <w:rFonts w:hint="eastAsia" w:ascii="宋体" w:hAnsi="宋体" w:cs="宋体"/>
                <w:b/>
                <w:bCs/>
                <w:color w:val="000000"/>
                <w:kern w:val="0"/>
                <w:sz w:val="21"/>
                <w:szCs w:val="21"/>
                <w:lang w:val="en-US" w:eastAsia="zh-CN"/>
              </w:rPr>
              <w:t>（核心产品）</w:t>
            </w:r>
          </w:p>
        </w:tc>
        <w:tc>
          <w:tcPr>
            <w:tcW w:w="693" w:type="dxa"/>
            <w:vAlign w:val="center"/>
          </w:tcPr>
          <w:p w14:paraId="6C00174A">
            <w:pPr>
              <w:widowControl/>
              <w:jc w:val="center"/>
              <w:textAlignment w:val="center"/>
              <w:rPr>
                <w:rFonts w:ascii="宋体" w:hAnsi="宋体" w:cs="宋体"/>
                <w:kern w:val="0"/>
                <w:sz w:val="21"/>
                <w:szCs w:val="21"/>
              </w:rPr>
            </w:pPr>
            <w:r>
              <w:rPr>
                <w:rFonts w:hint="eastAsia" w:ascii="宋体" w:hAnsi="宋体" w:cs="宋体"/>
                <w:color w:val="000000"/>
                <w:kern w:val="0"/>
                <w:sz w:val="21"/>
                <w:szCs w:val="21"/>
              </w:rPr>
              <w:t>6</w:t>
            </w:r>
          </w:p>
        </w:tc>
        <w:tc>
          <w:tcPr>
            <w:tcW w:w="722" w:type="dxa"/>
            <w:vAlign w:val="center"/>
          </w:tcPr>
          <w:p w14:paraId="4370A7EE">
            <w:pPr>
              <w:widowControl/>
              <w:jc w:val="center"/>
              <w:textAlignment w:val="center"/>
              <w:rPr>
                <w:rFonts w:ascii="宋体" w:hAnsi="宋体" w:cs="宋体"/>
                <w:sz w:val="21"/>
                <w:szCs w:val="21"/>
              </w:rPr>
            </w:pPr>
            <w:r>
              <w:rPr>
                <w:rFonts w:hint="eastAsia" w:ascii="宋体" w:hAnsi="宋体" w:cs="宋体"/>
                <w:sz w:val="21"/>
                <w:szCs w:val="21"/>
              </w:rPr>
              <w:t>台</w:t>
            </w:r>
          </w:p>
        </w:tc>
        <w:tc>
          <w:tcPr>
            <w:tcW w:w="5489" w:type="dxa"/>
            <w:vAlign w:val="center"/>
          </w:tcPr>
          <w:p w14:paraId="71141390">
            <w:pPr>
              <w:widowControl/>
              <w:adjustRightInd w:val="0"/>
              <w:snapToGrid w:val="0"/>
              <w:spacing w:line="288" w:lineRule="auto"/>
              <w:jc w:val="left"/>
              <w:textAlignment w:val="center"/>
              <w:rPr>
                <w:rFonts w:ascii="宋体" w:hAnsi="宋体"/>
                <w:bCs/>
                <w:sz w:val="21"/>
                <w:szCs w:val="21"/>
              </w:rPr>
            </w:pPr>
            <w:r>
              <w:rPr>
                <w:rFonts w:hint="eastAsia" w:ascii="宋体" w:hAnsi="宋体" w:cs="宋体"/>
                <w:kern w:val="0"/>
                <w:sz w:val="21"/>
                <w:szCs w:val="21"/>
              </w:rPr>
              <w:t>设计图示规格型号为</w:t>
            </w:r>
            <w:r>
              <w:rPr>
                <w:rFonts w:ascii="宋体" w:hAnsi="宋体" w:cs="宋体"/>
                <w:kern w:val="0"/>
                <w:sz w:val="21"/>
                <w:szCs w:val="21"/>
              </w:rPr>
              <w:t>SM6，</w:t>
            </w:r>
            <w:r>
              <w:rPr>
                <w:rFonts w:hint="eastAsia" w:ascii="宋体" w:hAnsi="宋体" w:cs="宋体"/>
                <w:kern w:val="0"/>
                <w:sz w:val="21"/>
                <w:szCs w:val="21"/>
              </w:rPr>
              <w:t>符合设计要求：</w:t>
            </w:r>
            <w:r>
              <w:rPr>
                <w:rFonts w:hint="eastAsia" w:ascii="宋体" w:hAnsi="宋体"/>
                <w:bCs/>
                <w:sz w:val="21"/>
                <w:szCs w:val="21"/>
              </w:rPr>
              <w:t>品牌参照或相当于</w:t>
            </w:r>
            <w:r>
              <w:rPr>
                <w:rFonts w:hint="eastAsia" w:ascii="宋体" w:hAnsi="宋体" w:cs="宋体"/>
                <w:kern w:val="0"/>
                <w:sz w:val="21"/>
                <w:szCs w:val="21"/>
              </w:rPr>
              <w:t>施耐德SM6、ABB UniS</w:t>
            </w:r>
            <w:r>
              <w:rPr>
                <w:rFonts w:ascii="宋体" w:hAnsi="宋体" w:cs="宋体"/>
                <w:kern w:val="0"/>
                <w:sz w:val="21"/>
                <w:szCs w:val="21"/>
              </w:rPr>
              <w:t>EC</w:t>
            </w:r>
            <w:r>
              <w:rPr>
                <w:rFonts w:hint="eastAsia" w:ascii="宋体" w:hAnsi="宋体" w:cs="宋体"/>
                <w:kern w:val="0"/>
                <w:sz w:val="21"/>
                <w:szCs w:val="21"/>
              </w:rPr>
              <w:t>、西门子Simosec。</w:t>
            </w:r>
          </w:p>
        </w:tc>
      </w:tr>
      <w:tr w14:paraId="5A4D8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5" w:type="dxa"/>
            <w:vAlign w:val="center"/>
          </w:tcPr>
          <w:p w14:paraId="019DBE2E">
            <w:pPr>
              <w:spacing w:line="288" w:lineRule="auto"/>
              <w:jc w:val="center"/>
              <w:rPr>
                <w:rFonts w:ascii="宋体" w:hAnsi="宋体" w:cs="宋体"/>
                <w:sz w:val="21"/>
                <w:szCs w:val="21"/>
              </w:rPr>
            </w:pPr>
            <w:r>
              <w:rPr>
                <w:rFonts w:hint="eastAsia" w:ascii="宋体" w:hAnsi="宋体" w:cs="宋体"/>
                <w:sz w:val="21"/>
                <w:szCs w:val="21"/>
              </w:rPr>
              <w:t>2</w:t>
            </w:r>
          </w:p>
        </w:tc>
        <w:tc>
          <w:tcPr>
            <w:tcW w:w="1869" w:type="dxa"/>
            <w:vAlign w:val="center"/>
          </w:tcPr>
          <w:p w14:paraId="5073156A">
            <w:pPr>
              <w:widowControl/>
              <w:jc w:val="center"/>
              <w:textAlignment w:val="center"/>
              <w:rPr>
                <w:rFonts w:ascii="宋体" w:hAnsi="宋体" w:cs="宋体"/>
                <w:sz w:val="21"/>
                <w:szCs w:val="21"/>
                <w:lang w:val="zh-CN"/>
              </w:rPr>
            </w:pPr>
            <w:r>
              <w:rPr>
                <w:rFonts w:hint="eastAsia" w:ascii="宋体" w:hAnsi="宋体" w:cs="宋体"/>
                <w:kern w:val="0"/>
                <w:sz w:val="21"/>
                <w:szCs w:val="21"/>
              </w:rPr>
              <w:t>干式变压器</w:t>
            </w:r>
          </w:p>
        </w:tc>
        <w:tc>
          <w:tcPr>
            <w:tcW w:w="693" w:type="dxa"/>
            <w:vAlign w:val="center"/>
          </w:tcPr>
          <w:p w14:paraId="556AAB6D">
            <w:pPr>
              <w:widowControl/>
              <w:jc w:val="center"/>
              <w:textAlignment w:val="center"/>
              <w:rPr>
                <w:rFonts w:ascii="宋体" w:hAnsi="宋体" w:cs="宋体"/>
                <w:kern w:val="0"/>
                <w:sz w:val="21"/>
                <w:szCs w:val="21"/>
              </w:rPr>
            </w:pPr>
            <w:r>
              <w:rPr>
                <w:rFonts w:hint="eastAsia" w:ascii="宋体" w:hAnsi="宋体" w:cs="宋体"/>
                <w:kern w:val="0"/>
                <w:sz w:val="21"/>
                <w:szCs w:val="21"/>
              </w:rPr>
              <w:t>2</w:t>
            </w:r>
          </w:p>
        </w:tc>
        <w:tc>
          <w:tcPr>
            <w:tcW w:w="722" w:type="dxa"/>
            <w:vAlign w:val="center"/>
          </w:tcPr>
          <w:p w14:paraId="36EAC981">
            <w:pPr>
              <w:widowControl/>
              <w:jc w:val="center"/>
              <w:textAlignment w:val="center"/>
              <w:rPr>
                <w:rFonts w:ascii="宋体" w:hAnsi="宋体" w:cs="宋体"/>
                <w:sz w:val="21"/>
                <w:szCs w:val="21"/>
              </w:rPr>
            </w:pPr>
            <w:r>
              <w:rPr>
                <w:rFonts w:hint="eastAsia" w:ascii="宋体" w:hAnsi="宋体" w:cs="宋体"/>
                <w:sz w:val="21"/>
                <w:szCs w:val="21"/>
              </w:rPr>
              <w:t>台</w:t>
            </w:r>
          </w:p>
        </w:tc>
        <w:tc>
          <w:tcPr>
            <w:tcW w:w="5489" w:type="dxa"/>
            <w:vAlign w:val="center"/>
          </w:tcPr>
          <w:p w14:paraId="49359C84">
            <w:pPr>
              <w:widowControl/>
              <w:adjustRightInd w:val="0"/>
              <w:snapToGrid w:val="0"/>
              <w:spacing w:line="288" w:lineRule="auto"/>
              <w:jc w:val="left"/>
              <w:textAlignment w:val="center"/>
              <w:rPr>
                <w:rFonts w:ascii="宋体" w:hAnsi="宋体"/>
                <w:bCs/>
                <w:sz w:val="21"/>
                <w:szCs w:val="21"/>
              </w:rPr>
            </w:pPr>
            <w:r>
              <w:rPr>
                <w:rFonts w:hint="eastAsia" w:ascii="宋体" w:hAnsi="宋体" w:cs="宋体"/>
                <w:kern w:val="0"/>
                <w:sz w:val="21"/>
                <w:szCs w:val="21"/>
              </w:rPr>
              <w:t>设计图示规格型号为</w:t>
            </w:r>
            <w:r>
              <w:rPr>
                <w:rFonts w:ascii="宋体" w:hAnsi="宋体" w:cs="宋体"/>
                <w:kern w:val="0"/>
                <w:sz w:val="21"/>
                <w:szCs w:val="21"/>
              </w:rPr>
              <w:t>SCB1</w:t>
            </w:r>
            <w:r>
              <w:rPr>
                <w:rFonts w:hint="eastAsia" w:ascii="宋体" w:hAnsi="宋体" w:cs="宋体"/>
                <w:kern w:val="0"/>
                <w:sz w:val="21"/>
                <w:szCs w:val="21"/>
              </w:rPr>
              <w:t>4</w:t>
            </w:r>
            <w:r>
              <w:rPr>
                <w:rFonts w:ascii="宋体" w:hAnsi="宋体" w:cs="宋体"/>
                <w:kern w:val="0"/>
                <w:sz w:val="21"/>
                <w:szCs w:val="21"/>
              </w:rPr>
              <w:t>-</w:t>
            </w:r>
            <w:r>
              <w:rPr>
                <w:rFonts w:hint="eastAsia" w:ascii="宋体" w:hAnsi="宋体" w:cs="宋体"/>
                <w:kern w:val="0"/>
                <w:sz w:val="21"/>
                <w:szCs w:val="21"/>
              </w:rPr>
              <w:t>800</w:t>
            </w:r>
            <w:r>
              <w:rPr>
                <w:rFonts w:ascii="宋体" w:hAnsi="宋体" w:cs="宋体"/>
                <w:kern w:val="0"/>
                <w:sz w:val="21"/>
                <w:szCs w:val="21"/>
              </w:rPr>
              <w:t>KVA，</w:t>
            </w:r>
            <w:r>
              <w:rPr>
                <w:rFonts w:hint="eastAsia" w:ascii="宋体" w:hAnsi="宋体" w:cs="宋体"/>
                <w:kern w:val="0"/>
                <w:sz w:val="21"/>
                <w:szCs w:val="21"/>
              </w:rPr>
              <w:t>10/0.4KV，带外壳、温控及冷却风机。</w:t>
            </w:r>
          </w:p>
        </w:tc>
      </w:tr>
      <w:tr w14:paraId="5862E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5" w:type="dxa"/>
            <w:vAlign w:val="center"/>
          </w:tcPr>
          <w:p w14:paraId="7434F7BF">
            <w:pPr>
              <w:spacing w:line="288" w:lineRule="auto"/>
              <w:jc w:val="center"/>
              <w:rPr>
                <w:rFonts w:ascii="宋体" w:hAnsi="宋体" w:cs="宋体"/>
                <w:sz w:val="21"/>
                <w:szCs w:val="21"/>
              </w:rPr>
            </w:pPr>
            <w:r>
              <w:rPr>
                <w:rFonts w:hint="eastAsia" w:ascii="宋体" w:hAnsi="宋体" w:cs="宋体"/>
                <w:sz w:val="21"/>
                <w:szCs w:val="21"/>
              </w:rPr>
              <w:t>3</w:t>
            </w:r>
          </w:p>
        </w:tc>
        <w:tc>
          <w:tcPr>
            <w:tcW w:w="1869" w:type="dxa"/>
            <w:vAlign w:val="center"/>
          </w:tcPr>
          <w:p w14:paraId="428C70E7">
            <w:pPr>
              <w:widowControl/>
              <w:jc w:val="center"/>
              <w:textAlignment w:val="center"/>
              <w:rPr>
                <w:rFonts w:ascii="宋体" w:hAnsi="宋体" w:cs="宋体"/>
                <w:sz w:val="21"/>
                <w:szCs w:val="21"/>
                <w:lang w:val="zh-CN"/>
              </w:rPr>
            </w:pPr>
            <w:r>
              <w:rPr>
                <w:rFonts w:hint="eastAsia" w:ascii="宋体" w:hAnsi="宋体" w:cs="宋体"/>
                <w:sz w:val="21"/>
                <w:szCs w:val="21"/>
                <w:lang w:val="zh-CN"/>
              </w:rPr>
              <w:t>低压配电柜</w:t>
            </w:r>
          </w:p>
        </w:tc>
        <w:tc>
          <w:tcPr>
            <w:tcW w:w="693" w:type="dxa"/>
            <w:vAlign w:val="center"/>
          </w:tcPr>
          <w:p w14:paraId="5A96985C">
            <w:pPr>
              <w:widowControl/>
              <w:jc w:val="center"/>
              <w:textAlignment w:val="center"/>
              <w:rPr>
                <w:rFonts w:ascii="宋体" w:hAnsi="宋体" w:cs="宋体"/>
                <w:kern w:val="0"/>
                <w:sz w:val="21"/>
                <w:szCs w:val="21"/>
              </w:rPr>
            </w:pPr>
            <w:r>
              <w:rPr>
                <w:rFonts w:hint="eastAsia" w:ascii="宋体" w:hAnsi="宋体" w:cs="宋体"/>
                <w:kern w:val="0"/>
                <w:sz w:val="21"/>
                <w:szCs w:val="21"/>
              </w:rPr>
              <w:t>9</w:t>
            </w:r>
          </w:p>
        </w:tc>
        <w:tc>
          <w:tcPr>
            <w:tcW w:w="722" w:type="dxa"/>
            <w:vAlign w:val="center"/>
          </w:tcPr>
          <w:p w14:paraId="120354CD">
            <w:pPr>
              <w:widowControl/>
              <w:jc w:val="center"/>
              <w:textAlignment w:val="center"/>
              <w:rPr>
                <w:rFonts w:ascii="宋体" w:hAnsi="宋体" w:cs="宋体"/>
                <w:sz w:val="21"/>
                <w:szCs w:val="21"/>
              </w:rPr>
            </w:pPr>
            <w:r>
              <w:rPr>
                <w:rFonts w:hint="eastAsia" w:ascii="宋体" w:hAnsi="宋体" w:cs="宋体"/>
                <w:sz w:val="21"/>
                <w:szCs w:val="21"/>
              </w:rPr>
              <w:t>台</w:t>
            </w:r>
          </w:p>
        </w:tc>
        <w:tc>
          <w:tcPr>
            <w:tcW w:w="5489" w:type="dxa"/>
            <w:vAlign w:val="center"/>
          </w:tcPr>
          <w:p w14:paraId="15DF1424">
            <w:pPr>
              <w:widowControl/>
              <w:adjustRightInd w:val="0"/>
              <w:snapToGrid w:val="0"/>
              <w:spacing w:line="288" w:lineRule="auto"/>
              <w:jc w:val="left"/>
              <w:textAlignment w:val="center"/>
              <w:rPr>
                <w:rFonts w:ascii="宋体" w:hAnsi="宋体"/>
                <w:bCs/>
                <w:sz w:val="21"/>
                <w:szCs w:val="21"/>
              </w:rPr>
            </w:pPr>
            <w:r>
              <w:rPr>
                <w:rFonts w:hint="eastAsia" w:ascii="宋体" w:hAnsi="宋体" w:cs="宋体"/>
                <w:kern w:val="0"/>
                <w:sz w:val="21"/>
                <w:szCs w:val="21"/>
              </w:rPr>
              <w:t>设计图示规格型号为B</w:t>
            </w:r>
            <w:r>
              <w:rPr>
                <w:rFonts w:ascii="宋体" w:hAnsi="宋体" w:cs="宋体"/>
                <w:kern w:val="0"/>
                <w:sz w:val="21"/>
                <w:szCs w:val="21"/>
              </w:rPr>
              <w:t>lokset5000，</w:t>
            </w:r>
            <w:r>
              <w:rPr>
                <w:rFonts w:hint="eastAsia" w:ascii="宋体" w:hAnsi="宋体" w:cs="宋体"/>
                <w:kern w:val="0"/>
                <w:sz w:val="21"/>
                <w:szCs w:val="21"/>
              </w:rPr>
              <w:t>符合设计要求：</w:t>
            </w:r>
            <w:r>
              <w:rPr>
                <w:rFonts w:hint="eastAsia" w:ascii="宋体" w:hAnsi="宋体"/>
                <w:bCs/>
                <w:sz w:val="21"/>
                <w:szCs w:val="21"/>
              </w:rPr>
              <w:t>品牌参照或相当于</w:t>
            </w:r>
            <w:r>
              <w:rPr>
                <w:rFonts w:ascii="宋体" w:hAnsi="宋体" w:cs="宋体"/>
                <w:kern w:val="0"/>
                <w:sz w:val="21"/>
                <w:szCs w:val="21"/>
              </w:rPr>
              <w:t>Blokset</w:t>
            </w:r>
            <w:r>
              <w:rPr>
                <w:rFonts w:hint="eastAsia" w:ascii="宋体" w:hAnsi="宋体" w:cs="宋体"/>
                <w:kern w:val="0"/>
                <w:sz w:val="21"/>
                <w:szCs w:val="21"/>
              </w:rPr>
              <w:t>、</w:t>
            </w:r>
            <w:r>
              <w:rPr>
                <w:rFonts w:ascii="宋体" w:hAnsi="宋体" w:cs="宋体"/>
                <w:kern w:val="0"/>
                <w:sz w:val="21"/>
                <w:szCs w:val="21"/>
              </w:rPr>
              <w:t>MD</w:t>
            </w:r>
            <w:r>
              <w:rPr>
                <w:rFonts w:hint="eastAsia" w:ascii="宋体" w:hAnsi="宋体" w:cs="宋体"/>
                <w:kern w:val="0"/>
                <w:sz w:val="21"/>
                <w:szCs w:val="21"/>
              </w:rPr>
              <w:t>max、SIVACON 8PT。</w:t>
            </w:r>
          </w:p>
        </w:tc>
      </w:tr>
      <w:tr w14:paraId="0E2FE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5" w:type="dxa"/>
            <w:vAlign w:val="center"/>
          </w:tcPr>
          <w:p w14:paraId="74DD86A3">
            <w:pPr>
              <w:spacing w:line="288" w:lineRule="auto"/>
              <w:jc w:val="center"/>
              <w:rPr>
                <w:rFonts w:ascii="宋体" w:hAnsi="宋体" w:cs="宋体"/>
                <w:sz w:val="21"/>
                <w:szCs w:val="21"/>
              </w:rPr>
            </w:pPr>
            <w:r>
              <w:rPr>
                <w:rFonts w:hint="eastAsia" w:ascii="宋体" w:hAnsi="宋体" w:cs="宋体"/>
                <w:sz w:val="21"/>
                <w:szCs w:val="21"/>
              </w:rPr>
              <w:t>4</w:t>
            </w:r>
          </w:p>
        </w:tc>
        <w:tc>
          <w:tcPr>
            <w:tcW w:w="1869" w:type="dxa"/>
            <w:vAlign w:val="center"/>
          </w:tcPr>
          <w:p w14:paraId="7D2177DF">
            <w:pPr>
              <w:widowControl/>
              <w:jc w:val="center"/>
              <w:textAlignment w:val="center"/>
              <w:rPr>
                <w:rFonts w:ascii="宋体" w:hAnsi="宋体" w:cs="宋体"/>
                <w:sz w:val="21"/>
                <w:szCs w:val="21"/>
                <w:lang w:val="zh-CN"/>
              </w:rPr>
            </w:pPr>
            <w:r>
              <w:rPr>
                <w:rFonts w:hint="eastAsia" w:ascii="宋体" w:hAnsi="宋体" w:cs="宋体"/>
                <w:sz w:val="21"/>
                <w:szCs w:val="21"/>
                <w:lang w:val="zh-CN"/>
              </w:rPr>
              <w:t>低压配电柜</w:t>
            </w:r>
          </w:p>
          <w:p w14:paraId="60475B28">
            <w:pPr>
              <w:widowControl/>
              <w:jc w:val="center"/>
              <w:textAlignment w:val="center"/>
              <w:rPr>
                <w:rFonts w:ascii="宋体" w:hAnsi="宋体" w:cs="宋体"/>
                <w:sz w:val="21"/>
                <w:szCs w:val="21"/>
                <w:lang w:val="zh-CN"/>
              </w:rPr>
            </w:pPr>
            <w:r>
              <w:rPr>
                <w:rFonts w:hint="eastAsia" w:ascii="宋体" w:hAnsi="宋体" w:cs="宋体"/>
                <w:sz w:val="21"/>
                <w:szCs w:val="21"/>
                <w:lang w:val="zh-CN"/>
              </w:rPr>
              <w:t>（空柜）</w:t>
            </w:r>
          </w:p>
        </w:tc>
        <w:tc>
          <w:tcPr>
            <w:tcW w:w="693" w:type="dxa"/>
            <w:vAlign w:val="center"/>
          </w:tcPr>
          <w:p w14:paraId="540A2867">
            <w:pPr>
              <w:widowControl/>
              <w:jc w:val="center"/>
              <w:textAlignment w:val="center"/>
              <w:rPr>
                <w:rFonts w:ascii="宋体" w:hAnsi="宋体" w:cs="宋体"/>
                <w:kern w:val="0"/>
                <w:sz w:val="21"/>
                <w:szCs w:val="21"/>
              </w:rPr>
            </w:pPr>
            <w:r>
              <w:rPr>
                <w:rFonts w:hint="eastAsia" w:ascii="宋体" w:hAnsi="宋体" w:cs="宋体"/>
                <w:kern w:val="0"/>
                <w:sz w:val="21"/>
                <w:szCs w:val="21"/>
              </w:rPr>
              <w:t>1</w:t>
            </w:r>
          </w:p>
        </w:tc>
        <w:tc>
          <w:tcPr>
            <w:tcW w:w="722" w:type="dxa"/>
            <w:vAlign w:val="center"/>
          </w:tcPr>
          <w:p w14:paraId="561ECC88">
            <w:pPr>
              <w:widowControl/>
              <w:jc w:val="center"/>
              <w:textAlignment w:val="center"/>
              <w:rPr>
                <w:rFonts w:ascii="宋体" w:hAnsi="宋体" w:cs="宋体"/>
                <w:sz w:val="21"/>
                <w:szCs w:val="21"/>
              </w:rPr>
            </w:pPr>
            <w:r>
              <w:rPr>
                <w:rFonts w:hint="eastAsia" w:ascii="宋体" w:hAnsi="宋体" w:cs="宋体"/>
                <w:sz w:val="21"/>
                <w:szCs w:val="21"/>
              </w:rPr>
              <w:t>台</w:t>
            </w:r>
          </w:p>
        </w:tc>
        <w:tc>
          <w:tcPr>
            <w:tcW w:w="5489" w:type="dxa"/>
            <w:vAlign w:val="center"/>
          </w:tcPr>
          <w:p w14:paraId="4258825B">
            <w:pPr>
              <w:widowControl/>
              <w:adjustRightInd w:val="0"/>
              <w:snapToGrid w:val="0"/>
              <w:spacing w:line="288" w:lineRule="auto"/>
              <w:jc w:val="left"/>
              <w:textAlignment w:val="center"/>
              <w:rPr>
                <w:rFonts w:ascii="宋体" w:hAnsi="宋体"/>
                <w:bCs/>
                <w:sz w:val="21"/>
                <w:szCs w:val="21"/>
              </w:rPr>
            </w:pPr>
            <w:r>
              <w:rPr>
                <w:rFonts w:hint="eastAsia" w:ascii="宋体" w:hAnsi="宋体" w:cs="宋体"/>
                <w:kern w:val="0"/>
                <w:sz w:val="21"/>
                <w:szCs w:val="21"/>
              </w:rPr>
              <w:t>含柜体及柜内连接铜母线。</w:t>
            </w:r>
          </w:p>
        </w:tc>
      </w:tr>
    </w:tbl>
    <w:p w14:paraId="52C5B47F">
      <w:pPr>
        <w:adjustRightInd w:val="0"/>
        <w:snapToGrid w:val="0"/>
        <w:spacing w:line="288" w:lineRule="auto"/>
        <w:jc w:val="left"/>
        <w:rPr>
          <w:rFonts w:ascii="宋体" w:hAnsi="宋体"/>
          <w:bCs/>
          <w:sz w:val="21"/>
          <w:szCs w:val="21"/>
        </w:rPr>
      </w:pPr>
      <w:r>
        <w:rPr>
          <w:rFonts w:hint="eastAsia" w:ascii="宋体" w:hAnsi="宋体"/>
          <w:bCs/>
          <w:sz w:val="21"/>
          <w:szCs w:val="21"/>
        </w:rPr>
        <w:t>1.投标人应根据浙江大学华家池校区农生变变电所改造-招标图纸要求，提供符合设计图纸技术参数要求、数量的产品，详见及技术要求部分。</w:t>
      </w:r>
    </w:p>
    <w:p w14:paraId="409C430F">
      <w:pPr>
        <w:adjustRightInd w:val="0"/>
        <w:snapToGrid w:val="0"/>
        <w:spacing w:line="288" w:lineRule="auto"/>
        <w:jc w:val="left"/>
        <w:rPr>
          <w:rFonts w:ascii="宋体" w:hAnsi="宋体"/>
          <w:bCs/>
          <w:sz w:val="21"/>
          <w:szCs w:val="21"/>
        </w:rPr>
      </w:pPr>
      <w:r>
        <w:rPr>
          <w:rFonts w:hint="eastAsia" w:ascii="宋体" w:hAnsi="宋体"/>
          <w:bCs/>
          <w:sz w:val="21"/>
          <w:szCs w:val="21"/>
        </w:rPr>
        <w:t>2.招标文件附浙江大学华家池校区农生变变电所改造-招标图纸1套。技术规格及要求详见图纸及招标文件、图纸与招标文件不符，以招标文件为准。</w:t>
      </w:r>
    </w:p>
    <w:p w14:paraId="75BFDBA8">
      <w:pPr>
        <w:adjustRightInd w:val="0"/>
        <w:snapToGrid w:val="0"/>
        <w:spacing w:line="288" w:lineRule="auto"/>
        <w:jc w:val="left"/>
        <w:rPr>
          <w:rFonts w:ascii="宋体" w:hAnsi="宋体"/>
          <w:b/>
          <w:sz w:val="21"/>
          <w:szCs w:val="21"/>
        </w:rPr>
      </w:pPr>
      <w:r>
        <w:rPr>
          <w:rFonts w:hint="eastAsia" w:ascii="宋体" w:hAnsi="宋体"/>
          <w:b/>
          <w:sz w:val="21"/>
          <w:szCs w:val="21"/>
        </w:rPr>
        <w:t>▲3.投标人具有中国国家认证认可、监督管理委员会认可的低压变配电产品的强制性认证产品符合性自我声明及型式试验报告，并提供高压环网柜、变压器制造商的型式试验报告。</w:t>
      </w:r>
    </w:p>
    <w:p w14:paraId="493B7706">
      <w:pPr>
        <w:adjustRightInd w:val="0"/>
        <w:snapToGrid w:val="0"/>
        <w:spacing w:line="288" w:lineRule="auto"/>
        <w:jc w:val="left"/>
        <w:rPr>
          <w:rFonts w:ascii="宋体" w:hAnsi="宋体"/>
          <w:bCs/>
          <w:sz w:val="21"/>
          <w:szCs w:val="21"/>
        </w:rPr>
      </w:pPr>
      <w:r>
        <w:rPr>
          <w:rFonts w:hint="eastAsia" w:ascii="宋体" w:hAnsi="宋体"/>
          <w:b/>
          <w:sz w:val="21"/>
          <w:szCs w:val="21"/>
        </w:rPr>
        <w:t>（四）需提供的技术资料和图纸</w:t>
      </w:r>
    </w:p>
    <w:p w14:paraId="749D6B2B">
      <w:pPr>
        <w:adjustRightInd w:val="0"/>
        <w:snapToGrid w:val="0"/>
        <w:spacing w:line="288" w:lineRule="auto"/>
        <w:jc w:val="left"/>
        <w:rPr>
          <w:rFonts w:ascii="宋体" w:hAnsi="宋体"/>
          <w:bCs/>
          <w:sz w:val="21"/>
          <w:szCs w:val="21"/>
        </w:rPr>
      </w:pPr>
      <w:r>
        <w:rPr>
          <w:rFonts w:hint="eastAsia" w:ascii="宋体" w:hAnsi="宋体"/>
          <w:bCs/>
          <w:sz w:val="21"/>
          <w:szCs w:val="21"/>
        </w:rPr>
        <w:t>1.投标人提供变配电系统图。</w:t>
      </w:r>
    </w:p>
    <w:p w14:paraId="41129365">
      <w:pPr>
        <w:adjustRightInd w:val="0"/>
        <w:snapToGrid w:val="0"/>
        <w:spacing w:line="288" w:lineRule="auto"/>
        <w:jc w:val="left"/>
        <w:rPr>
          <w:rFonts w:ascii="宋体" w:hAnsi="宋体"/>
          <w:bCs/>
          <w:sz w:val="21"/>
          <w:szCs w:val="21"/>
        </w:rPr>
      </w:pPr>
      <w:r>
        <w:rPr>
          <w:rFonts w:hint="eastAsia" w:ascii="宋体" w:hAnsi="宋体"/>
          <w:bCs/>
          <w:sz w:val="21"/>
          <w:szCs w:val="21"/>
        </w:rPr>
        <w:t>2.投标人应提供满足合同设备性能检验/见证所需的全部技术资料。</w:t>
      </w:r>
    </w:p>
    <w:p w14:paraId="03861E3F">
      <w:pPr>
        <w:adjustRightInd w:val="0"/>
        <w:snapToGrid w:val="0"/>
        <w:spacing w:line="288" w:lineRule="auto"/>
        <w:jc w:val="left"/>
        <w:rPr>
          <w:rFonts w:ascii="宋体" w:hAnsi="宋体"/>
          <w:bCs/>
          <w:sz w:val="21"/>
          <w:szCs w:val="21"/>
        </w:rPr>
      </w:pPr>
      <w:r>
        <w:rPr>
          <w:rFonts w:hint="eastAsia" w:ascii="宋体" w:hAnsi="宋体"/>
          <w:bCs/>
          <w:sz w:val="21"/>
          <w:szCs w:val="21"/>
        </w:rPr>
        <w:t>3.变压器抗短路能力参数(计算值)、同类型产品的抗短路能力试验报告、型式试验报告、鉴定证书及产品使用说明书。</w:t>
      </w:r>
    </w:p>
    <w:p w14:paraId="3EB1A0DB">
      <w:pPr>
        <w:adjustRightInd w:val="0"/>
        <w:snapToGrid w:val="0"/>
        <w:spacing w:line="288" w:lineRule="auto"/>
        <w:jc w:val="left"/>
        <w:rPr>
          <w:rFonts w:ascii="宋体" w:hAnsi="宋体"/>
          <w:bCs/>
          <w:sz w:val="21"/>
          <w:szCs w:val="21"/>
        </w:rPr>
      </w:pPr>
      <w:r>
        <w:rPr>
          <w:rFonts w:hint="eastAsia" w:ascii="宋体" w:hAnsi="宋体"/>
          <w:bCs/>
          <w:sz w:val="21"/>
          <w:szCs w:val="21"/>
        </w:rPr>
        <w:t>4.投标文件中应提供产品生产厂的主要生产设备和试验仪器设备的厂家、主要参数、投入使用时间，以表格的型式表示。</w:t>
      </w:r>
    </w:p>
    <w:p w14:paraId="7FF4295E">
      <w:pPr>
        <w:adjustRightInd w:val="0"/>
        <w:snapToGrid w:val="0"/>
        <w:spacing w:line="288" w:lineRule="auto"/>
        <w:jc w:val="left"/>
        <w:rPr>
          <w:rFonts w:ascii="宋体" w:hAnsi="宋体"/>
          <w:bCs/>
          <w:sz w:val="21"/>
          <w:szCs w:val="21"/>
        </w:rPr>
      </w:pPr>
      <w:r>
        <w:rPr>
          <w:rFonts w:hint="eastAsia" w:ascii="宋体" w:hAnsi="宋体"/>
          <w:bCs/>
          <w:sz w:val="21"/>
          <w:szCs w:val="21"/>
        </w:rPr>
        <w:t>5.投标人提供在设计、制造时所遵循的规范、标准和规定清单。</w:t>
      </w:r>
    </w:p>
    <w:p w14:paraId="6A058F80">
      <w:pPr>
        <w:adjustRightInd w:val="0"/>
        <w:snapToGrid w:val="0"/>
        <w:spacing w:line="288" w:lineRule="auto"/>
        <w:jc w:val="left"/>
        <w:rPr>
          <w:rFonts w:ascii="宋体" w:hAnsi="宋体"/>
          <w:b/>
          <w:bCs/>
          <w:sz w:val="21"/>
          <w:szCs w:val="21"/>
        </w:rPr>
      </w:pPr>
      <w:r>
        <w:rPr>
          <w:rFonts w:hint="eastAsia" w:ascii="宋体" w:hAnsi="宋体"/>
          <w:bCs/>
          <w:sz w:val="21"/>
          <w:szCs w:val="21"/>
        </w:rPr>
        <w:t>6.详细的产品质量文件，外形尺寸和性能检验等的证明。</w:t>
      </w:r>
    </w:p>
    <w:p w14:paraId="64548920">
      <w:pPr>
        <w:rPr>
          <w:rFonts w:ascii="宋体" w:hAnsi="宋体"/>
          <w:b/>
          <w:bCs/>
          <w:sz w:val="21"/>
          <w:szCs w:val="21"/>
        </w:rPr>
      </w:pPr>
      <w:r>
        <w:rPr>
          <w:rFonts w:hint="eastAsia" w:ascii="宋体" w:hAnsi="宋体"/>
          <w:b/>
          <w:bCs/>
          <w:sz w:val="21"/>
          <w:szCs w:val="21"/>
        </w:rPr>
        <w:br w:type="page"/>
      </w:r>
    </w:p>
    <w:p w14:paraId="726B75DE">
      <w:pPr>
        <w:adjustRightInd w:val="0"/>
        <w:snapToGrid w:val="0"/>
        <w:spacing w:line="288" w:lineRule="auto"/>
        <w:rPr>
          <w:rFonts w:ascii="宋体" w:hAnsi="宋体"/>
          <w:b/>
          <w:bCs/>
          <w:sz w:val="21"/>
          <w:szCs w:val="21"/>
        </w:rPr>
      </w:pPr>
      <w:r>
        <w:rPr>
          <w:rFonts w:hint="eastAsia" w:ascii="宋体" w:hAnsi="宋体"/>
          <w:b/>
          <w:bCs/>
          <w:sz w:val="21"/>
          <w:szCs w:val="21"/>
        </w:rPr>
        <w:t>标项二：</w:t>
      </w:r>
    </w:p>
    <w:p w14:paraId="4E866BCB">
      <w:pPr>
        <w:adjustRightInd w:val="0"/>
        <w:snapToGrid w:val="0"/>
        <w:spacing w:line="288" w:lineRule="auto"/>
        <w:jc w:val="left"/>
        <w:rPr>
          <w:rFonts w:ascii="宋体" w:hAnsi="宋体" w:cs="宋体"/>
          <w:bCs/>
          <w:sz w:val="21"/>
          <w:szCs w:val="21"/>
        </w:rPr>
      </w:pPr>
      <w:r>
        <w:rPr>
          <w:rFonts w:hint="eastAsia" w:ascii="宋体" w:hAnsi="宋体" w:cs="宋体"/>
          <w:b/>
          <w:sz w:val="21"/>
          <w:szCs w:val="21"/>
        </w:rPr>
        <w:t>（一）使用环境条件</w:t>
      </w:r>
    </w:p>
    <w:p w14:paraId="0C667A3E">
      <w:pPr>
        <w:adjustRightInd w:val="0"/>
        <w:snapToGrid w:val="0"/>
        <w:spacing w:line="288" w:lineRule="auto"/>
        <w:rPr>
          <w:rFonts w:ascii="宋体" w:hAnsi="宋体" w:cs="宋体"/>
          <w:bCs/>
          <w:sz w:val="21"/>
          <w:szCs w:val="21"/>
        </w:rPr>
      </w:pPr>
      <w:r>
        <w:rPr>
          <w:rFonts w:hint="eastAsia" w:ascii="宋体" w:hAnsi="宋体" w:cs="宋体"/>
          <w:bCs/>
          <w:sz w:val="21"/>
          <w:szCs w:val="21"/>
        </w:rPr>
        <w:t>1.周围空气温度：最高气温：＋40℃；最低气温：－15℃；年平均气温：＋12.2℃；</w:t>
      </w:r>
    </w:p>
    <w:p w14:paraId="556FDDD1">
      <w:pPr>
        <w:adjustRightInd w:val="0"/>
        <w:snapToGrid w:val="0"/>
        <w:spacing w:line="288" w:lineRule="auto"/>
        <w:rPr>
          <w:rFonts w:ascii="宋体" w:hAnsi="宋体" w:cs="宋体"/>
          <w:bCs/>
          <w:sz w:val="21"/>
          <w:szCs w:val="21"/>
        </w:rPr>
      </w:pPr>
      <w:r>
        <w:rPr>
          <w:rFonts w:hint="eastAsia" w:ascii="宋体" w:hAnsi="宋体" w:cs="宋体"/>
          <w:bCs/>
          <w:sz w:val="21"/>
          <w:szCs w:val="21"/>
        </w:rPr>
        <w:t>2.海拔：不超过500m；</w:t>
      </w:r>
    </w:p>
    <w:p w14:paraId="170E2D5A">
      <w:pPr>
        <w:adjustRightInd w:val="0"/>
        <w:snapToGrid w:val="0"/>
        <w:spacing w:line="288" w:lineRule="auto"/>
        <w:rPr>
          <w:rFonts w:ascii="宋体" w:hAnsi="宋体" w:cs="宋体"/>
          <w:bCs/>
          <w:sz w:val="21"/>
          <w:szCs w:val="21"/>
        </w:rPr>
      </w:pPr>
      <w:r>
        <w:rPr>
          <w:rFonts w:hint="eastAsia" w:ascii="宋体" w:hAnsi="宋体" w:cs="宋体"/>
          <w:bCs/>
          <w:sz w:val="21"/>
          <w:szCs w:val="21"/>
        </w:rPr>
        <w:t>3.风速：不大于25m/s；</w:t>
      </w:r>
    </w:p>
    <w:p w14:paraId="3220CC2A">
      <w:pPr>
        <w:adjustRightInd w:val="0"/>
        <w:snapToGrid w:val="0"/>
        <w:spacing w:line="288" w:lineRule="auto"/>
        <w:rPr>
          <w:rFonts w:ascii="宋体" w:hAnsi="宋体" w:cs="宋体"/>
          <w:bCs/>
          <w:sz w:val="21"/>
          <w:szCs w:val="21"/>
        </w:rPr>
      </w:pPr>
      <w:r>
        <w:rPr>
          <w:rFonts w:hint="eastAsia" w:ascii="宋体" w:hAnsi="宋体" w:cs="宋体"/>
          <w:bCs/>
          <w:sz w:val="21"/>
          <w:szCs w:val="21"/>
        </w:rPr>
        <w:t>4.环境湿度：月平均值不大于90%；日平均值不大于95%；</w:t>
      </w:r>
    </w:p>
    <w:p w14:paraId="684BEA3C">
      <w:pPr>
        <w:adjustRightInd w:val="0"/>
        <w:snapToGrid w:val="0"/>
        <w:spacing w:line="288" w:lineRule="auto"/>
        <w:rPr>
          <w:rFonts w:ascii="宋体" w:hAnsi="宋体" w:cs="宋体"/>
          <w:bCs/>
          <w:sz w:val="21"/>
          <w:szCs w:val="21"/>
        </w:rPr>
      </w:pPr>
      <w:r>
        <w:rPr>
          <w:rFonts w:hint="eastAsia" w:ascii="宋体" w:hAnsi="宋体" w:cs="宋体"/>
          <w:bCs/>
          <w:sz w:val="21"/>
          <w:szCs w:val="21"/>
        </w:rPr>
        <w:t>5.耐地震能力：地震烈度：7级；地面水平加速度：0.2g；地面垂直加速度：0.1g；</w:t>
      </w:r>
    </w:p>
    <w:p w14:paraId="05F3010F">
      <w:pPr>
        <w:adjustRightInd w:val="0"/>
        <w:snapToGrid w:val="0"/>
        <w:spacing w:line="288" w:lineRule="auto"/>
        <w:rPr>
          <w:rFonts w:ascii="宋体" w:hAnsi="宋体" w:cs="宋体"/>
          <w:bCs/>
          <w:sz w:val="21"/>
          <w:szCs w:val="21"/>
        </w:rPr>
      </w:pPr>
      <w:r>
        <w:rPr>
          <w:rFonts w:hint="eastAsia" w:ascii="宋体" w:hAnsi="宋体" w:cs="宋体"/>
          <w:bCs/>
          <w:sz w:val="21"/>
          <w:szCs w:val="21"/>
        </w:rPr>
        <w:t>6.安装地点的倾斜度：不大于3°；</w:t>
      </w:r>
    </w:p>
    <w:p w14:paraId="384F5A04">
      <w:pPr>
        <w:adjustRightInd w:val="0"/>
        <w:snapToGrid w:val="0"/>
        <w:spacing w:line="288" w:lineRule="auto"/>
        <w:rPr>
          <w:rFonts w:ascii="宋体" w:hAnsi="宋体" w:cs="宋体"/>
          <w:bCs/>
          <w:sz w:val="21"/>
          <w:szCs w:val="21"/>
        </w:rPr>
      </w:pPr>
      <w:r>
        <w:rPr>
          <w:rFonts w:hint="eastAsia" w:ascii="宋体" w:hAnsi="宋体" w:cs="宋体"/>
          <w:bCs/>
          <w:sz w:val="21"/>
          <w:szCs w:val="21"/>
        </w:rPr>
        <w:t>7.考虑日照、污秽、凝露及自然腐蚀的影响；</w:t>
      </w:r>
    </w:p>
    <w:p w14:paraId="3F6B138F">
      <w:pPr>
        <w:adjustRightInd w:val="0"/>
        <w:snapToGrid w:val="0"/>
        <w:spacing w:line="288" w:lineRule="auto"/>
        <w:rPr>
          <w:rFonts w:ascii="宋体" w:hAnsi="宋体" w:cs="宋体"/>
          <w:sz w:val="21"/>
          <w:szCs w:val="21"/>
        </w:rPr>
      </w:pPr>
      <w:r>
        <w:rPr>
          <w:rFonts w:hint="eastAsia" w:ascii="宋体" w:hAnsi="宋体" w:cs="宋体"/>
          <w:bCs/>
          <w:sz w:val="21"/>
          <w:szCs w:val="21"/>
        </w:rPr>
        <w:t>8.周围空气不受腐蚀性或可燃性气体、水蒸气等明显污染，安装地点无剧烈振动。</w:t>
      </w:r>
    </w:p>
    <w:p w14:paraId="2D75C23E">
      <w:pPr>
        <w:adjustRightInd w:val="0"/>
        <w:snapToGrid w:val="0"/>
        <w:spacing w:line="288" w:lineRule="auto"/>
        <w:jc w:val="left"/>
        <w:rPr>
          <w:rFonts w:ascii="宋体" w:hAnsi="宋体" w:cs="宋体"/>
          <w:bCs/>
          <w:sz w:val="21"/>
          <w:szCs w:val="21"/>
        </w:rPr>
      </w:pPr>
      <w:r>
        <w:rPr>
          <w:rFonts w:hint="eastAsia" w:ascii="宋体" w:hAnsi="宋体" w:cs="宋体"/>
          <w:b/>
          <w:sz w:val="21"/>
          <w:szCs w:val="21"/>
        </w:rPr>
        <w:t>（二）技术参数和要求</w:t>
      </w:r>
    </w:p>
    <w:p w14:paraId="1E141BAD">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1.技术参数：</w:t>
      </w:r>
    </w:p>
    <w:p w14:paraId="34E46FCE">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1.1系统额定电压：10kV；</w:t>
      </w:r>
    </w:p>
    <w:p w14:paraId="748C3EEC">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1.2变压器高压侧额定电压：10kV；低压侧额定电压：0.4kV；</w:t>
      </w:r>
    </w:p>
    <w:p w14:paraId="48084725">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1.3额定频率：50Hz；</w:t>
      </w:r>
    </w:p>
    <w:p w14:paraId="0B8DAD1C">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1.4额定热稳定电流（20kA）；</w:t>
      </w:r>
    </w:p>
    <w:p w14:paraId="50FDD3B4">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1.5额定动稳定电流（65kA）；</w:t>
      </w:r>
    </w:p>
    <w:p w14:paraId="69F75AB4">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1.6工频耐压(42kV)；</w:t>
      </w:r>
    </w:p>
    <w:p w14:paraId="714F0C4B">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1.7雷电冲击耐压(75kV)；</w:t>
      </w:r>
    </w:p>
    <w:p w14:paraId="3724C7BD">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1.8噪音水平：不大于5dB；</w:t>
      </w:r>
    </w:p>
    <w:p w14:paraId="490A30B9">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1.9箱壳防护等级：不低于IP3X；</w:t>
      </w:r>
    </w:p>
    <w:p w14:paraId="6493AF08">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1.10允许温升：高压设备的允许温升值见 GB/T11022-2011 规定；变压器的允许温升值见 GB1094-1996 或 GB6450-1986 规定；低压设备的允许温升值见 GB7251-2013 规定；</w:t>
      </w:r>
    </w:p>
    <w:p w14:paraId="76218952">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1.11变压器采用高压熔断器保护。</w:t>
      </w:r>
    </w:p>
    <w:p w14:paraId="3587F91B">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2.结构和技术要求</w:t>
      </w:r>
    </w:p>
    <w:p w14:paraId="2257EC38">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2.1.高压配电装置：参见附件：</w:t>
      </w:r>
      <w:r>
        <w:rPr>
          <w:rFonts w:hint="eastAsia" w:ascii="宋体" w:hAnsi="宋体"/>
          <w:b/>
          <w:sz w:val="21"/>
          <w:szCs w:val="21"/>
        </w:rPr>
        <w:t>浙江大学紫金港校区医研变变电所改造-招标图纸</w:t>
      </w:r>
      <w:r>
        <w:rPr>
          <w:rFonts w:hint="eastAsia" w:ascii="宋体" w:hAnsi="宋体" w:cs="宋体"/>
          <w:b/>
          <w:sz w:val="21"/>
          <w:szCs w:val="21"/>
        </w:rPr>
        <w:t>。</w:t>
      </w:r>
    </w:p>
    <w:p w14:paraId="005E4736">
      <w:pPr>
        <w:adjustRightInd w:val="0"/>
        <w:snapToGrid w:val="0"/>
        <w:spacing w:line="288" w:lineRule="auto"/>
        <w:jc w:val="left"/>
        <w:rPr>
          <w:rFonts w:ascii="宋体" w:hAnsi="宋体" w:cs="宋体"/>
          <w:bCs/>
          <w:sz w:val="21"/>
          <w:szCs w:val="21"/>
        </w:rPr>
      </w:pPr>
      <w:r>
        <w:rPr>
          <w:rFonts w:hint="eastAsia" w:ascii="宋体" w:hAnsi="宋体"/>
          <w:bCs/>
          <w:sz w:val="21"/>
          <w:szCs w:val="21"/>
        </w:rPr>
        <w:t>高压柜采用</w:t>
      </w:r>
      <w:r>
        <w:rPr>
          <w:rFonts w:hint="eastAsia" w:ascii="宋体" w:hAnsi="宋体"/>
          <w:b/>
          <w:sz w:val="21"/>
          <w:szCs w:val="21"/>
        </w:rPr>
        <w:t>环网柜，进线柜、出线柜配SF6断路器开关</w:t>
      </w:r>
      <w:r>
        <w:rPr>
          <w:rFonts w:hint="eastAsia" w:ascii="宋体" w:hAnsi="宋体"/>
          <w:bCs/>
          <w:sz w:val="21"/>
          <w:szCs w:val="21"/>
        </w:rPr>
        <w:t>，变压器采用断路器保护。高压柜需按照电力局“五防”要求，满足医研变-招标图纸设计要求及电力局要求</w:t>
      </w:r>
      <w:r>
        <w:rPr>
          <w:rFonts w:hint="eastAsia" w:ascii="宋体" w:hAnsi="宋体" w:cs="宋体"/>
          <w:bCs/>
          <w:sz w:val="21"/>
          <w:szCs w:val="21"/>
        </w:rPr>
        <w:t>。</w:t>
      </w:r>
    </w:p>
    <w:p w14:paraId="073CE78C">
      <w:pPr>
        <w:adjustRightInd w:val="0"/>
        <w:snapToGrid w:val="0"/>
        <w:spacing w:line="288" w:lineRule="auto"/>
        <w:jc w:val="left"/>
        <w:rPr>
          <w:rFonts w:ascii="宋体" w:hAnsi="宋体"/>
          <w:bCs/>
          <w:sz w:val="21"/>
          <w:szCs w:val="21"/>
        </w:rPr>
      </w:pPr>
      <w:r>
        <w:rPr>
          <w:rFonts w:hint="eastAsia" w:ascii="宋体" w:hAnsi="宋体" w:cs="宋体"/>
          <w:bCs/>
          <w:sz w:val="21"/>
          <w:szCs w:val="21"/>
        </w:rPr>
        <w:t>2.2.变压器：</w:t>
      </w:r>
      <w:r>
        <w:rPr>
          <w:rFonts w:hint="eastAsia" w:ascii="宋体" w:hAnsi="宋体"/>
          <w:bCs/>
          <w:sz w:val="21"/>
          <w:szCs w:val="21"/>
        </w:rPr>
        <w:t>参见附件：浙江大学紫金港校区医研变变电所改造-招标图纸。</w:t>
      </w:r>
      <w:r>
        <w:rPr>
          <w:rFonts w:ascii="宋体" w:hAnsi="宋体"/>
          <w:bCs/>
          <w:sz w:val="21"/>
          <w:szCs w:val="21"/>
        </w:rPr>
        <w:t>1</w:t>
      </w:r>
      <w:r>
        <w:rPr>
          <w:rFonts w:hint="eastAsia" w:ascii="宋体" w:hAnsi="宋体"/>
          <w:bCs/>
          <w:sz w:val="21"/>
          <w:szCs w:val="21"/>
        </w:rPr>
        <w:t>台</w:t>
      </w:r>
      <w:r>
        <w:rPr>
          <w:rFonts w:ascii="宋体" w:hAnsi="宋体"/>
          <w:bCs/>
          <w:sz w:val="21"/>
          <w:szCs w:val="21"/>
        </w:rPr>
        <w:t>16</w:t>
      </w:r>
      <w:r>
        <w:rPr>
          <w:rFonts w:hint="eastAsia" w:ascii="宋体" w:hAnsi="宋体"/>
          <w:bCs/>
          <w:sz w:val="21"/>
          <w:szCs w:val="21"/>
        </w:rPr>
        <w:t>00KVA,</w:t>
      </w:r>
      <w:r>
        <w:rPr>
          <w:rFonts w:ascii="宋体" w:hAnsi="宋体"/>
          <w:bCs/>
          <w:sz w:val="21"/>
          <w:szCs w:val="21"/>
        </w:rPr>
        <w:t>1台</w:t>
      </w:r>
      <w:r>
        <w:rPr>
          <w:rFonts w:hint="eastAsia" w:ascii="宋体" w:hAnsi="宋体"/>
          <w:bCs/>
          <w:sz w:val="21"/>
          <w:szCs w:val="21"/>
        </w:rPr>
        <w:t>2</w:t>
      </w:r>
      <w:r>
        <w:rPr>
          <w:rFonts w:ascii="宋体" w:hAnsi="宋体"/>
          <w:bCs/>
          <w:sz w:val="21"/>
          <w:szCs w:val="21"/>
        </w:rPr>
        <w:t>000kVA</w:t>
      </w:r>
      <w:r>
        <w:rPr>
          <w:rFonts w:hint="eastAsia" w:ascii="宋体" w:hAnsi="宋体"/>
          <w:bCs/>
          <w:sz w:val="21"/>
          <w:szCs w:val="21"/>
        </w:rPr>
        <w:t>。</w:t>
      </w:r>
    </w:p>
    <w:p w14:paraId="3FFB4809">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变压器选用：SCB14系列 10/0.4 干式变压器。采用</w:t>
      </w:r>
      <w:r>
        <w:rPr>
          <w:rFonts w:hint="eastAsia" w:ascii="宋体" w:hAnsi="宋体"/>
          <w:bCs/>
          <w:sz w:val="21"/>
          <w:szCs w:val="21"/>
        </w:rPr>
        <w:t>品牌参照或相当于</w:t>
      </w:r>
      <w:r>
        <w:rPr>
          <w:rFonts w:hint="eastAsia" w:ascii="宋体" w:hAnsi="宋体" w:cs="宋体"/>
          <w:bCs/>
          <w:sz w:val="21"/>
          <w:szCs w:val="21"/>
        </w:rPr>
        <w:t>宁波甬嘉、顺特电气、天津特变。</w:t>
      </w:r>
    </w:p>
    <w:p w14:paraId="4A663F14">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2.2.1变压器铭牌应面向箱门，高低压线圈选用铜线；</w:t>
      </w:r>
    </w:p>
    <w:p w14:paraId="1D1A09AE">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2.2.2应具有良好的通风降温系统，变压器本体需配置温度指示仪表；</w:t>
      </w:r>
    </w:p>
    <w:p w14:paraId="6B83AAF1">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2.2.3与变压器相连接的高压进线采用电缆，低压出线采用母排连接；</w:t>
      </w:r>
    </w:p>
    <w:p w14:paraId="213B0C2C">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2.2.4变压器变比：10KV/0.4kV Uk=6% ±2*2.5。</w:t>
      </w:r>
    </w:p>
    <w:p w14:paraId="15C18932">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2.3.低压配电装置：</w:t>
      </w:r>
      <w:r>
        <w:rPr>
          <w:rFonts w:hint="eastAsia" w:ascii="宋体" w:hAnsi="宋体" w:cs="宋体"/>
          <w:b/>
          <w:sz w:val="21"/>
          <w:szCs w:val="21"/>
        </w:rPr>
        <w:t>参见附件：浙江大学紫金港校区医研变变电所改造-招标图纸。</w:t>
      </w:r>
    </w:p>
    <w:p w14:paraId="09423C05">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2.3.1元器件选择</w:t>
      </w:r>
    </w:p>
    <w:p w14:paraId="5BBDFCED">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2.3.1.1</w:t>
      </w:r>
      <w:r>
        <w:rPr>
          <w:rFonts w:hint="eastAsia" w:ascii="宋体" w:hAnsi="宋体"/>
          <w:bCs/>
          <w:sz w:val="21"/>
          <w:szCs w:val="21"/>
        </w:rPr>
        <w:t>断路器采用</w:t>
      </w:r>
      <w:r>
        <w:rPr>
          <w:rFonts w:hint="eastAsia" w:ascii="宋体" w:hAnsi="宋体" w:cs="宋体"/>
          <w:bCs/>
          <w:sz w:val="21"/>
          <w:szCs w:val="21"/>
        </w:rPr>
        <w:t>品牌参照或相当于</w:t>
      </w:r>
      <w:r>
        <w:rPr>
          <w:rFonts w:hint="eastAsia" w:ascii="宋体" w:hAnsi="宋体"/>
          <w:b/>
          <w:sz w:val="21"/>
          <w:szCs w:val="21"/>
        </w:rPr>
        <w:t>西门子3WL-ETU45B +LCD系列、施耐德MTZ-5.0X系列、ABB Emax2-T系列</w:t>
      </w:r>
      <w:r>
        <w:rPr>
          <w:rFonts w:hint="eastAsia" w:ascii="宋体" w:hAnsi="宋体"/>
          <w:bCs/>
          <w:sz w:val="21"/>
          <w:szCs w:val="21"/>
        </w:rPr>
        <w:t>。</w:t>
      </w:r>
    </w:p>
    <w:p w14:paraId="7CCC9322">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2.3.1.2</w:t>
      </w:r>
      <w:r>
        <w:rPr>
          <w:rFonts w:hint="eastAsia" w:ascii="宋体" w:hAnsi="宋体"/>
          <w:bCs/>
          <w:sz w:val="21"/>
          <w:szCs w:val="21"/>
        </w:rPr>
        <w:t>框架断路器采用</w:t>
      </w:r>
      <w:r>
        <w:rPr>
          <w:rFonts w:hint="eastAsia" w:ascii="宋体" w:hAnsi="宋体"/>
          <w:b/>
          <w:sz w:val="21"/>
          <w:szCs w:val="21"/>
        </w:rPr>
        <w:t>抽出式</w:t>
      </w:r>
      <w:r>
        <w:rPr>
          <w:rFonts w:hint="eastAsia" w:ascii="宋体" w:hAnsi="宋体"/>
          <w:bCs/>
          <w:sz w:val="21"/>
          <w:szCs w:val="21"/>
        </w:rPr>
        <w:t>，具有短路瞬时、短路短延时、过载长延时三段保护，能测量电流、电压、功率、电量、功率因数和频率，具有故障报警触点、故障指示以及维护指示器和事件记录功能。框架断路器额定极限短路分断容量及使用分断能力≥65KA（有效值），</w:t>
      </w:r>
      <w:r>
        <w:rPr>
          <w:rFonts w:hint="eastAsia" w:ascii="宋体" w:hAnsi="宋体"/>
          <w:b/>
          <w:sz w:val="21"/>
          <w:szCs w:val="21"/>
        </w:rPr>
        <w:t>投标文件中提供产品彩页。</w:t>
      </w:r>
    </w:p>
    <w:p w14:paraId="01281BE1">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2.3.1.3</w:t>
      </w:r>
      <w:r>
        <w:rPr>
          <w:rFonts w:hint="eastAsia" w:ascii="宋体" w:hAnsi="宋体"/>
          <w:bCs/>
          <w:sz w:val="21"/>
          <w:szCs w:val="21"/>
        </w:rPr>
        <w:t>塑壳断路器采用</w:t>
      </w:r>
      <w:r>
        <w:rPr>
          <w:rFonts w:hint="eastAsia" w:ascii="宋体" w:hAnsi="宋体"/>
          <w:b/>
          <w:sz w:val="21"/>
          <w:szCs w:val="21"/>
        </w:rPr>
        <w:t>插拔式断路器</w:t>
      </w:r>
      <w:r>
        <w:rPr>
          <w:rFonts w:hint="eastAsia" w:ascii="宋体" w:hAnsi="宋体"/>
          <w:bCs/>
          <w:sz w:val="21"/>
          <w:szCs w:val="21"/>
        </w:rPr>
        <w:t>，电子脱扣器，三段保护。塑壳断路器额定极限短路分断容量及使用分断能力≥36KA（有效值）。要求与框架断路器相互兼容</w:t>
      </w:r>
      <w:r>
        <w:rPr>
          <w:rFonts w:hint="eastAsia" w:ascii="宋体" w:hAnsi="宋体"/>
          <w:bCs/>
          <w:color w:val="0000FF"/>
          <w:sz w:val="21"/>
          <w:szCs w:val="21"/>
        </w:rPr>
        <w:t>，</w:t>
      </w:r>
      <w:r>
        <w:rPr>
          <w:rFonts w:hint="eastAsia" w:ascii="宋体" w:hAnsi="宋体"/>
          <w:b/>
          <w:sz w:val="21"/>
          <w:szCs w:val="21"/>
        </w:rPr>
        <w:t>投标文件中提供产品彩页。</w:t>
      </w:r>
    </w:p>
    <w:p w14:paraId="791F9BFB">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2.3.1.4浪涌保护器和后备保护器采用品牌参照或相当于ABB OVR系列、施耐德iPR系列、西门子5SD7。选用4极的后备保护器和4极的浪涌保护器；</w:t>
      </w:r>
    </w:p>
    <w:p w14:paraId="7735EB47">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浪涌保护器应为不低于15节放电间隙的开关型保护器，应满足以下技术要求：</w:t>
      </w:r>
    </w:p>
    <w:p w14:paraId="556AED8F">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1）最大持续工作电压Uc：AC275V，50Hz；</w:t>
      </w:r>
    </w:p>
    <w:p w14:paraId="37180ACB">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2）电压保护水平Up：2.3kV；</w:t>
      </w:r>
    </w:p>
    <w:p w14:paraId="521BEEB3">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3）最大冲击电流(脉冲电流)Iimp(10/350Ias)：(峰值)=25kA；</w:t>
      </w:r>
    </w:p>
    <w:p w14:paraId="4E484F83">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4）响应时间：≤100ns；</w:t>
      </w:r>
    </w:p>
    <w:p w14:paraId="46BF3FD0">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5）阻燃等级：V0级；</w:t>
      </w:r>
    </w:p>
    <w:p w14:paraId="36F16C88">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配备的浪涌保护器后备保护装置技术要求：</w:t>
      </w:r>
    </w:p>
    <w:p w14:paraId="0EA2730D">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1）能够分断SPD安装电路的预期短路电流（Ics）的能力不低于50kA；</w:t>
      </w:r>
    </w:p>
    <w:p w14:paraId="294861DA">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2）通过Iimp=15kA(10/350us)冲击电流不断开；</w:t>
      </w:r>
    </w:p>
    <w:p w14:paraId="0785D015">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3）通过不大于5A工频电流能够速断(阻止电源出现暂态过电压或SPD出现劣化导致SPD起火)。</w:t>
      </w:r>
    </w:p>
    <w:p w14:paraId="115C84A8">
      <w:pPr>
        <w:adjustRightInd w:val="0"/>
        <w:snapToGrid w:val="0"/>
        <w:spacing w:line="288" w:lineRule="auto"/>
        <w:jc w:val="left"/>
        <w:rPr>
          <w:rFonts w:ascii="宋体" w:hAnsi="宋体"/>
          <w:bCs/>
          <w:sz w:val="21"/>
          <w:szCs w:val="21"/>
        </w:rPr>
      </w:pPr>
      <w:r>
        <w:rPr>
          <w:rFonts w:hint="eastAsia" w:ascii="宋体" w:hAnsi="宋体" w:cs="宋体"/>
          <w:bCs/>
          <w:sz w:val="21"/>
          <w:szCs w:val="21"/>
        </w:rPr>
        <w:t>2.3.1.5</w:t>
      </w:r>
      <w:r>
        <w:rPr>
          <w:rFonts w:hint="eastAsia" w:ascii="宋体" w:hAnsi="宋体"/>
          <w:bCs/>
          <w:sz w:val="21"/>
          <w:szCs w:val="21"/>
        </w:rPr>
        <w:t>电力仪表采用</w:t>
      </w:r>
      <w:r>
        <w:rPr>
          <w:rFonts w:hint="eastAsia" w:ascii="宋体" w:hAnsi="宋体" w:cs="宋体"/>
          <w:bCs/>
          <w:sz w:val="21"/>
          <w:szCs w:val="21"/>
        </w:rPr>
        <w:t>品牌参照或相当于</w:t>
      </w:r>
      <w:r>
        <w:rPr>
          <w:rFonts w:hint="eastAsia" w:ascii="宋体" w:hAnsi="宋体"/>
          <w:b/>
          <w:sz w:val="21"/>
          <w:szCs w:val="21"/>
        </w:rPr>
        <w:t>施耐德、安科瑞、西门子</w:t>
      </w:r>
      <w:r>
        <w:rPr>
          <w:rFonts w:hint="eastAsia" w:ascii="宋体" w:hAnsi="宋体"/>
          <w:bCs/>
          <w:sz w:val="21"/>
          <w:szCs w:val="21"/>
        </w:rPr>
        <w:t>。进线柜电力仪表可测量电流、电压、有功功率、无功功率、功率因数、频率、有功电能、无功电能、视在功率全电量。电容柜电力仪表可测量电流、电压、有功功率、功率因数。出线回路电力仪表可测量电流、电压、有功电能、无功电能。</w:t>
      </w:r>
      <w:r>
        <w:rPr>
          <w:rFonts w:hint="eastAsia" w:ascii="宋体" w:hAnsi="宋体"/>
          <w:b/>
          <w:sz w:val="21"/>
          <w:szCs w:val="21"/>
        </w:rPr>
        <w:t>表计采用液晶显示，具备通讯功能，带RS485接口</w:t>
      </w:r>
      <w:r>
        <w:rPr>
          <w:rFonts w:hint="eastAsia" w:ascii="宋体" w:hAnsi="宋体"/>
          <w:bCs/>
          <w:sz w:val="21"/>
          <w:szCs w:val="21"/>
        </w:rPr>
        <w:t>。</w:t>
      </w:r>
    </w:p>
    <w:p w14:paraId="618AE0F7">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2.3.1.6</w:t>
      </w:r>
      <w:r>
        <w:rPr>
          <w:rFonts w:hint="eastAsia" w:ascii="宋体" w:hAnsi="宋体"/>
          <w:bCs/>
          <w:sz w:val="21"/>
          <w:szCs w:val="21"/>
        </w:rPr>
        <w:t>电容柜内的控制器，电容电抗器组，接触器，晶闸管，熔断器组采用</w:t>
      </w:r>
      <w:r>
        <w:rPr>
          <w:rFonts w:hint="eastAsia" w:ascii="宋体" w:hAnsi="宋体" w:cs="宋体"/>
          <w:bCs/>
          <w:sz w:val="21"/>
          <w:szCs w:val="21"/>
        </w:rPr>
        <w:t>品牌参照或相当于</w:t>
      </w:r>
      <w:r>
        <w:rPr>
          <w:rFonts w:hint="eastAsia" w:ascii="宋体" w:hAnsi="宋体"/>
          <w:b/>
          <w:sz w:val="21"/>
          <w:szCs w:val="21"/>
        </w:rPr>
        <w:t>ABB CLMR系列、施耐德VCK、西门子4RB系列</w:t>
      </w:r>
      <w:r>
        <w:rPr>
          <w:rFonts w:hint="eastAsia" w:ascii="宋体" w:hAnsi="宋体"/>
          <w:bCs/>
          <w:sz w:val="21"/>
          <w:szCs w:val="21"/>
        </w:rPr>
        <w:t>。电容柜电抗率14%，控制器带</w:t>
      </w:r>
      <w:r>
        <w:rPr>
          <w:rFonts w:hint="eastAsia" w:ascii="宋体" w:hAnsi="宋体"/>
          <w:b/>
          <w:sz w:val="21"/>
          <w:szCs w:val="21"/>
        </w:rPr>
        <w:t>RS485接口</w:t>
      </w:r>
      <w:r>
        <w:rPr>
          <w:rFonts w:hint="eastAsia" w:ascii="宋体" w:hAnsi="宋体"/>
          <w:bCs/>
          <w:sz w:val="21"/>
          <w:szCs w:val="21"/>
        </w:rPr>
        <w:t>，电容柜内补偿容量及配置要符合设计要求。</w:t>
      </w:r>
    </w:p>
    <w:p w14:paraId="6C31CF76">
      <w:pPr>
        <w:adjustRightInd w:val="0"/>
        <w:snapToGrid w:val="0"/>
        <w:spacing w:line="288" w:lineRule="auto"/>
        <w:jc w:val="left"/>
        <w:rPr>
          <w:rFonts w:ascii="宋体" w:hAnsi="宋体" w:cs="宋体"/>
          <w:bCs/>
          <w:sz w:val="21"/>
          <w:szCs w:val="21"/>
        </w:rPr>
      </w:pPr>
      <w:r>
        <w:rPr>
          <w:rFonts w:hint="eastAsia" w:ascii="宋体" w:hAnsi="宋体"/>
          <w:bCs/>
          <w:sz w:val="21"/>
          <w:szCs w:val="21"/>
        </w:rPr>
        <w:t>▲</w:t>
      </w:r>
      <w:r>
        <w:rPr>
          <w:rFonts w:hint="eastAsia" w:ascii="宋体" w:hAnsi="宋体" w:cs="宋体"/>
          <w:bCs/>
          <w:sz w:val="21"/>
          <w:szCs w:val="21"/>
        </w:rPr>
        <w:t>2.3.2低压柜柜体为固定分隔柜，并提供固定分隔柜的</w:t>
      </w:r>
      <w:r>
        <w:rPr>
          <w:rFonts w:hint="eastAsia" w:ascii="宋体" w:hAnsi="宋体" w:cs="宋体"/>
          <w:b/>
          <w:sz w:val="21"/>
          <w:szCs w:val="21"/>
        </w:rPr>
        <w:t>型式试验报告及强制性认证产品符合性自我声明</w:t>
      </w:r>
      <w:r>
        <w:rPr>
          <w:rFonts w:hint="eastAsia" w:ascii="宋体" w:hAnsi="宋体" w:cs="宋体"/>
          <w:bCs/>
          <w:sz w:val="21"/>
          <w:szCs w:val="21"/>
        </w:rPr>
        <w:t>。</w:t>
      </w:r>
    </w:p>
    <w:p w14:paraId="620BAF36">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2.3.3低压固定面板式结构的配电装置应有金属板制成的间隔和门，其位置设置应便于电器元件的安装、试验、操作、检修或更换。互感器的安装需考虑日后出线接线方便，合理布局。</w:t>
      </w:r>
    </w:p>
    <w:p w14:paraId="22C383CC">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 xml:space="preserve">2.3.4低压配电装置的连线均应有明显的相别标记。低压主母线和分支线必须包热缩绝缘套管，尽量减少低压裸露带电部分。 </w:t>
      </w:r>
    </w:p>
    <w:p w14:paraId="27783674">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2.3.5低压室门的内侧应标出主回路的线路图，信号灯及仪表的装设位置应易于观察和安全地更换。</w:t>
      </w:r>
    </w:p>
    <w:p w14:paraId="2DDC2750">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2.4.接地</w:t>
      </w:r>
    </w:p>
    <w:p w14:paraId="4C0BBB2F">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2.4.1接地系统应符合 GB/T 50065-2011“交流电气装置的接地”的要求。</w:t>
      </w:r>
    </w:p>
    <w:p w14:paraId="21F5B196">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2.4.2高、低压配电设备应设专用接地导体，该接地导体上应设有与接地网相连的固定连接端子，其数量不少于两个，并应有明显的接地标志。接地端子为直径不小于12mm的铜质螺栓。接地导体应采用铜带，其电流密度应不大于</w:t>
      </w:r>
      <w:r>
        <w:rPr>
          <w:rFonts w:hint="eastAsia" w:ascii="宋体" w:hAnsi="宋体" w:cs="宋体"/>
          <w:bCs/>
          <w:sz w:val="21"/>
          <w:szCs w:val="21"/>
          <w:lang w:val="zh-CN"/>
        </w:rPr>
        <w:t>2A/mm2</w:t>
      </w:r>
      <w:r>
        <w:rPr>
          <w:rFonts w:hint="eastAsia" w:ascii="宋体" w:hAnsi="宋体" w:cs="宋体"/>
          <w:bCs/>
          <w:sz w:val="21"/>
          <w:szCs w:val="21"/>
        </w:rPr>
        <w:t>，截面不小于300</w:t>
      </w:r>
      <w:r>
        <w:rPr>
          <w:rFonts w:hint="eastAsia" w:ascii="宋体" w:hAnsi="宋体" w:cs="宋体"/>
          <w:bCs/>
          <w:sz w:val="21"/>
          <w:szCs w:val="21"/>
          <w:lang w:val="zh-CN"/>
        </w:rPr>
        <w:t>mm2</w:t>
      </w:r>
      <w:r>
        <w:rPr>
          <w:rFonts w:hint="eastAsia" w:ascii="宋体" w:hAnsi="宋体" w:cs="宋体"/>
          <w:bCs/>
          <w:sz w:val="21"/>
          <w:szCs w:val="21"/>
        </w:rPr>
        <w:t>，并保证流过最大短路电流时不发生过热或影响周围物体的安全。</w:t>
      </w:r>
    </w:p>
    <w:p w14:paraId="7C5D373C">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2.4.3专用接地导体所承受的动、热稳定电流应与高压配电装置的接地方式相配合。</w:t>
      </w:r>
    </w:p>
    <w:p w14:paraId="5C772DC9">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2.4.4高低压变配电设备的金属骨架，高压配电装置、低压配电装置和变压器的金属支架均应有符合技术条件的接地端子。</w:t>
      </w:r>
    </w:p>
    <w:p w14:paraId="74F8E373">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2.4.5高、低压设备的非带电金属裸露部分均应可靠接地，门和在正常运行条件下抽出部分的接地，就保证在打开或隔离位置时，仍可靠接地。</w:t>
      </w:r>
    </w:p>
    <w:p w14:paraId="37294B8E">
      <w:pPr>
        <w:adjustRightInd w:val="0"/>
        <w:snapToGrid w:val="0"/>
        <w:spacing w:line="288" w:lineRule="auto"/>
        <w:jc w:val="left"/>
        <w:rPr>
          <w:rFonts w:ascii="宋体" w:hAnsi="宋体" w:cs="宋体"/>
          <w:bCs/>
          <w:sz w:val="21"/>
          <w:szCs w:val="21"/>
        </w:rPr>
      </w:pPr>
      <w:r>
        <w:rPr>
          <w:rFonts w:hint="eastAsia" w:ascii="宋体" w:hAnsi="宋体" w:cs="宋体"/>
          <w:bCs/>
          <w:sz w:val="21"/>
          <w:szCs w:val="21"/>
        </w:rPr>
        <w:t>2.4.6当低压配电装置的接地采用TN -S接地形式时，可以采用同一接地体，接地导体应按中性线的截面和材质选择。</w:t>
      </w:r>
    </w:p>
    <w:p w14:paraId="649FAB0D">
      <w:pPr>
        <w:adjustRightInd w:val="0"/>
        <w:snapToGrid w:val="0"/>
        <w:spacing w:line="288" w:lineRule="auto"/>
        <w:rPr>
          <w:rFonts w:ascii="宋体" w:hAnsi="宋体" w:cs="宋体"/>
          <w:b/>
          <w:bCs/>
          <w:spacing w:val="-4"/>
          <w:sz w:val="21"/>
          <w:szCs w:val="21"/>
        </w:rPr>
      </w:pPr>
      <w:r>
        <w:rPr>
          <w:rFonts w:hint="eastAsia" w:ascii="宋体" w:hAnsi="宋体" w:cs="宋体"/>
          <w:b/>
          <w:bCs/>
          <w:spacing w:val="-4"/>
          <w:sz w:val="21"/>
          <w:szCs w:val="21"/>
        </w:rPr>
        <w:t>（三）配置清单</w:t>
      </w:r>
    </w:p>
    <w:tbl>
      <w:tblPr>
        <w:tblStyle w:val="2"/>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895"/>
        <w:gridCol w:w="693"/>
        <w:gridCol w:w="722"/>
        <w:gridCol w:w="5489"/>
      </w:tblGrid>
      <w:tr w14:paraId="5F41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67" w:type="dxa"/>
            <w:vAlign w:val="center"/>
          </w:tcPr>
          <w:p w14:paraId="335D15ED">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序号</w:t>
            </w:r>
          </w:p>
        </w:tc>
        <w:tc>
          <w:tcPr>
            <w:tcW w:w="1895" w:type="dxa"/>
            <w:vAlign w:val="center"/>
          </w:tcPr>
          <w:p w14:paraId="39B1FEAC">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名称</w:t>
            </w:r>
          </w:p>
        </w:tc>
        <w:tc>
          <w:tcPr>
            <w:tcW w:w="693" w:type="dxa"/>
            <w:vAlign w:val="center"/>
          </w:tcPr>
          <w:p w14:paraId="6DEBDF20">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数量</w:t>
            </w:r>
          </w:p>
        </w:tc>
        <w:tc>
          <w:tcPr>
            <w:tcW w:w="722" w:type="dxa"/>
            <w:vAlign w:val="center"/>
          </w:tcPr>
          <w:p w14:paraId="3D947C1C">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单位</w:t>
            </w:r>
          </w:p>
        </w:tc>
        <w:tc>
          <w:tcPr>
            <w:tcW w:w="5489" w:type="dxa"/>
            <w:vAlign w:val="center"/>
          </w:tcPr>
          <w:p w14:paraId="04AD2AE3">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（功能或者目标）、质量、安全、技术规格、物理特性等要求</w:t>
            </w:r>
          </w:p>
        </w:tc>
      </w:tr>
      <w:tr w14:paraId="1A75A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7" w:type="dxa"/>
            <w:vAlign w:val="center"/>
          </w:tcPr>
          <w:p w14:paraId="6EEDB7D2">
            <w:pPr>
              <w:spacing w:line="288" w:lineRule="auto"/>
              <w:jc w:val="center"/>
              <w:rPr>
                <w:rFonts w:ascii="宋体" w:hAnsi="宋体" w:cs="宋体"/>
                <w:sz w:val="21"/>
                <w:szCs w:val="21"/>
              </w:rPr>
            </w:pPr>
            <w:r>
              <w:rPr>
                <w:rFonts w:ascii="宋体" w:hAnsi="宋体" w:cs="宋体"/>
                <w:sz w:val="21"/>
                <w:szCs w:val="21"/>
              </w:rPr>
              <w:t>1</w:t>
            </w:r>
          </w:p>
        </w:tc>
        <w:tc>
          <w:tcPr>
            <w:tcW w:w="1895" w:type="dxa"/>
            <w:vAlign w:val="center"/>
          </w:tcPr>
          <w:p w14:paraId="2FCA18F0">
            <w:pPr>
              <w:widowControl/>
              <w:jc w:val="center"/>
              <w:textAlignment w:val="center"/>
              <w:rPr>
                <w:rFonts w:hint="eastAsia" w:ascii="宋体" w:hAnsi="宋体" w:cs="宋体"/>
                <w:b/>
                <w:bCs/>
                <w:color w:val="000000"/>
                <w:kern w:val="0"/>
                <w:sz w:val="21"/>
                <w:szCs w:val="21"/>
              </w:rPr>
            </w:pPr>
            <w:r>
              <w:rPr>
                <w:rFonts w:hint="eastAsia" w:ascii="宋体" w:hAnsi="宋体" w:cs="宋体"/>
                <w:b/>
                <w:bCs/>
                <w:color w:val="000000"/>
                <w:kern w:val="0"/>
                <w:sz w:val="21"/>
                <w:szCs w:val="21"/>
              </w:rPr>
              <w:t>高压环网柜</w:t>
            </w:r>
          </w:p>
          <w:p w14:paraId="0721CD4F">
            <w:pPr>
              <w:widowControl/>
              <w:jc w:val="center"/>
              <w:textAlignment w:val="center"/>
              <w:rPr>
                <w:rFonts w:hint="eastAsia" w:ascii="宋体" w:hAnsi="宋体" w:eastAsia="宋体" w:cs="宋体"/>
                <w:color w:val="000000"/>
                <w:kern w:val="0"/>
                <w:sz w:val="21"/>
                <w:szCs w:val="21"/>
                <w:lang w:eastAsia="zh-CN"/>
              </w:rPr>
            </w:pPr>
            <w:r>
              <w:rPr>
                <w:rFonts w:hint="eastAsia" w:ascii="宋体" w:hAnsi="宋体" w:cs="宋体"/>
                <w:b/>
                <w:bCs/>
                <w:color w:val="000000"/>
                <w:kern w:val="0"/>
                <w:sz w:val="21"/>
                <w:szCs w:val="21"/>
                <w:lang w:eastAsia="zh-CN"/>
              </w:rPr>
              <w:t>（</w:t>
            </w:r>
            <w:r>
              <w:rPr>
                <w:rFonts w:hint="eastAsia" w:ascii="宋体" w:hAnsi="宋体" w:cs="宋体"/>
                <w:b/>
                <w:bCs/>
                <w:color w:val="000000"/>
                <w:kern w:val="0"/>
                <w:sz w:val="21"/>
                <w:szCs w:val="21"/>
                <w:lang w:val="en-US" w:eastAsia="zh-CN"/>
              </w:rPr>
              <w:t>核心产品</w:t>
            </w:r>
            <w:r>
              <w:rPr>
                <w:rFonts w:hint="eastAsia" w:ascii="宋体" w:hAnsi="宋体" w:cs="宋体"/>
                <w:b/>
                <w:bCs/>
                <w:color w:val="000000"/>
                <w:kern w:val="0"/>
                <w:sz w:val="21"/>
                <w:szCs w:val="21"/>
                <w:lang w:eastAsia="zh-CN"/>
              </w:rPr>
              <w:t>）</w:t>
            </w:r>
          </w:p>
        </w:tc>
        <w:tc>
          <w:tcPr>
            <w:tcW w:w="693" w:type="dxa"/>
            <w:vAlign w:val="center"/>
          </w:tcPr>
          <w:p w14:paraId="376335AC">
            <w:pPr>
              <w:widowControl/>
              <w:jc w:val="center"/>
              <w:textAlignment w:val="center"/>
              <w:rPr>
                <w:rFonts w:ascii="宋体" w:hAnsi="宋体" w:cs="宋体"/>
                <w:sz w:val="21"/>
                <w:szCs w:val="21"/>
              </w:rPr>
            </w:pPr>
            <w:r>
              <w:rPr>
                <w:rFonts w:hint="eastAsia" w:ascii="宋体" w:hAnsi="宋体" w:cs="宋体"/>
                <w:color w:val="000000"/>
                <w:kern w:val="0"/>
                <w:sz w:val="21"/>
                <w:szCs w:val="21"/>
              </w:rPr>
              <w:t>6</w:t>
            </w:r>
          </w:p>
        </w:tc>
        <w:tc>
          <w:tcPr>
            <w:tcW w:w="722" w:type="dxa"/>
            <w:vAlign w:val="center"/>
          </w:tcPr>
          <w:p w14:paraId="3057D913">
            <w:pPr>
              <w:widowControl/>
              <w:jc w:val="center"/>
              <w:textAlignment w:val="center"/>
              <w:rPr>
                <w:rFonts w:ascii="宋体" w:hAnsi="宋体" w:cs="宋体"/>
                <w:sz w:val="21"/>
                <w:szCs w:val="21"/>
              </w:rPr>
            </w:pPr>
            <w:r>
              <w:rPr>
                <w:rFonts w:hint="eastAsia" w:ascii="宋体" w:hAnsi="宋体" w:cs="宋体"/>
                <w:sz w:val="21"/>
                <w:szCs w:val="21"/>
              </w:rPr>
              <w:t>台</w:t>
            </w:r>
          </w:p>
        </w:tc>
        <w:tc>
          <w:tcPr>
            <w:tcW w:w="5489" w:type="dxa"/>
            <w:vAlign w:val="center"/>
          </w:tcPr>
          <w:p w14:paraId="1AC808AB">
            <w:pPr>
              <w:widowControl/>
              <w:adjustRightInd w:val="0"/>
              <w:snapToGrid w:val="0"/>
              <w:spacing w:line="288" w:lineRule="auto"/>
              <w:jc w:val="left"/>
              <w:textAlignment w:val="center"/>
              <w:rPr>
                <w:rFonts w:ascii="宋体" w:hAnsi="宋体" w:cs="宋体"/>
                <w:kern w:val="0"/>
                <w:sz w:val="21"/>
                <w:szCs w:val="21"/>
              </w:rPr>
            </w:pPr>
            <w:r>
              <w:rPr>
                <w:rFonts w:hint="eastAsia" w:ascii="宋体" w:hAnsi="宋体" w:cs="宋体"/>
                <w:kern w:val="0"/>
                <w:sz w:val="21"/>
                <w:szCs w:val="21"/>
              </w:rPr>
              <w:t>设计图示规格型号为</w:t>
            </w:r>
            <w:r>
              <w:rPr>
                <w:rFonts w:ascii="宋体" w:hAnsi="宋体" w:cs="宋体"/>
                <w:kern w:val="0"/>
                <w:sz w:val="21"/>
                <w:szCs w:val="21"/>
              </w:rPr>
              <w:t>SM6，</w:t>
            </w:r>
            <w:r>
              <w:rPr>
                <w:rFonts w:hint="eastAsia" w:ascii="宋体" w:hAnsi="宋体" w:cs="宋体"/>
                <w:kern w:val="0"/>
                <w:sz w:val="21"/>
                <w:szCs w:val="21"/>
              </w:rPr>
              <w:t>符合设计要求：</w:t>
            </w:r>
            <w:r>
              <w:rPr>
                <w:rFonts w:hint="eastAsia" w:ascii="宋体" w:hAnsi="宋体" w:cs="宋体"/>
                <w:bCs/>
                <w:sz w:val="21"/>
                <w:szCs w:val="21"/>
              </w:rPr>
              <w:t>品牌参照或相当于</w:t>
            </w:r>
            <w:r>
              <w:rPr>
                <w:rFonts w:hint="eastAsia" w:ascii="宋体" w:hAnsi="宋体" w:cs="宋体"/>
                <w:kern w:val="0"/>
                <w:sz w:val="21"/>
                <w:szCs w:val="21"/>
              </w:rPr>
              <w:t>施耐德SM6、ABB UniS</w:t>
            </w:r>
            <w:r>
              <w:rPr>
                <w:rFonts w:ascii="宋体" w:hAnsi="宋体" w:cs="宋体"/>
                <w:kern w:val="0"/>
                <w:sz w:val="21"/>
                <w:szCs w:val="21"/>
              </w:rPr>
              <w:t>EC</w:t>
            </w:r>
            <w:r>
              <w:rPr>
                <w:rFonts w:hint="eastAsia" w:ascii="宋体" w:hAnsi="宋体" w:cs="宋体"/>
                <w:kern w:val="0"/>
                <w:sz w:val="21"/>
                <w:szCs w:val="21"/>
              </w:rPr>
              <w:t>、西门子Simosec。</w:t>
            </w:r>
          </w:p>
        </w:tc>
      </w:tr>
      <w:tr w14:paraId="5EF99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67" w:type="dxa"/>
            <w:vAlign w:val="center"/>
          </w:tcPr>
          <w:p w14:paraId="0C89F12D">
            <w:pPr>
              <w:spacing w:line="288" w:lineRule="auto"/>
              <w:jc w:val="center"/>
              <w:rPr>
                <w:rFonts w:ascii="宋体" w:hAnsi="宋体" w:cs="宋体"/>
                <w:sz w:val="21"/>
                <w:szCs w:val="21"/>
              </w:rPr>
            </w:pPr>
            <w:r>
              <w:rPr>
                <w:rFonts w:hint="eastAsia" w:ascii="宋体" w:hAnsi="宋体" w:cs="宋体"/>
                <w:sz w:val="21"/>
                <w:szCs w:val="21"/>
              </w:rPr>
              <w:t>2</w:t>
            </w:r>
          </w:p>
        </w:tc>
        <w:tc>
          <w:tcPr>
            <w:tcW w:w="1895" w:type="dxa"/>
            <w:vAlign w:val="center"/>
          </w:tcPr>
          <w:p w14:paraId="21767E64">
            <w:pPr>
              <w:widowControl/>
              <w:jc w:val="center"/>
              <w:textAlignment w:val="center"/>
              <w:rPr>
                <w:rFonts w:ascii="宋体" w:hAnsi="宋体" w:cs="宋体"/>
                <w:sz w:val="21"/>
                <w:szCs w:val="21"/>
              </w:rPr>
            </w:pPr>
            <w:r>
              <w:rPr>
                <w:rFonts w:hint="eastAsia" w:ascii="宋体" w:hAnsi="宋体" w:cs="宋体"/>
                <w:kern w:val="0"/>
                <w:sz w:val="21"/>
                <w:szCs w:val="21"/>
              </w:rPr>
              <w:t>干式变压器</w:t>
            </w:r>
          </w:p>
        </w:tc>
        <w:tc>
          <w:tcPr>
            <w:tcW w:w="693" w:type="dxa"/>
            <w:vAlign w:val="center"/>
          </w:tcPr>
          <w:p w14:paraId="1FCA2C84">
            <w:pPr>
              <w:widowControl/>
              <w:jc w:val="center"/>
              <w:textAlignment w:val="center"/>
              <w:rPr>
                <w:rFonts w:ascii="宋体" w:hAnsi="宋体" w:cs="宋体"/>
                <w:sz w:val="21"/>
                <w:szCs w:val="21"/>
              </w:rPr>
            </w:pPr>
            <w:r>
              <w:rPr>
                <w:rFonts w:hint="eastAsia" w:ascii="宋体" w:hAnsi="宋体" w:cs="宋体"/>
                <w:kern w:val="0"/>
                <w:sz w:val="21"/>
                <w:szCs w:val="21"/>
              </w:rPr>
              <w:t>2</w:t>
            </w:r>
          </w:p>
        </w:tc>
        <w:tc>
          <w:tcPr>
            <w:tcW w:w="722" w:type="dxa"/>
            <w:vAlign w:val="center"/>
          </w:tcPr>
          <w:p w14:paraId="254D2C92">
            <w:pPr>
              <w:widowControl/>
              <w:jc w:val="center"/>
              <w:textAlignment w:val="center"/>
              <w:rPr>
                <w:rFonts w:ascii="宋体" w:hAnsi="宋体" w:cs="宋体"/>
                <w:sz w:val="21"/>
                <w:szCs w:val="21"/>
              </w:rPr>
            </w:pPr>
            <w:r>
              <w:rPr>
                <w:rFonts w:hint="eastAsia" w:ascii="宋体" w:hAnsi="宋体" w:cs="宋体"/>
                <w:sz w:val="21"/>
                <w:szCs w:val="21"/>
              </w:rPr>
              <w:t>台</w:t>
            </w:r>
          </w:p>
        </w:tc>
        <w:tc>
          <w:tcPr>
            <w:tcW w:w="5489" w:type="dxa"/>
            <w:vAlign w:val="center"/>
          </w:tcPr>
          <w:p w14:paraId="5CA7CC9F">
            <w:pPr>
              <w:widowControl/>
              <w:adjustRightInd w:val="0"/>
              <w:snapToGrid w:val="0"/>
              <w:spacing w:line="288" w:lineRule="auto"/>
              <w:jc w:val="left"/>
              <w:textAlignment w:val="center"/>
              <w:rPr>
                <w:rFonts w:ascii="宋体" w:hAnsi="宋体" w:cs="宋体"/>
                <w:kern w:val="0"/>
                <w:sz w:val="21"/>
                <w:szCs w:val="21"/>
              </w:rPr>
            </w:pPr>
            <w:r>
              <w:rPr>
                <w:rFonts w:hint="eastAsia" w:ascii="宋体" w:hAnsi="宋体" w:cs="宋体"/>
                <w:kern w:val="0"/>
                <w:sz w:val="21"/>
                <w:szCs w:val="21"/>
              </w:rPr>
              <w:t>设计图示规格型号为</w:t>
            </w:r>
            <w:r>
              <w:rPr>
                <w:rFonts w:ascii="宋体" w:hAnsi="宋体" w:cs="宋体"/>
                <w:kern w:val="0"/>
                <w:sz w:val="21"/>
                <w:szCs w:val="21"/>
              </w:rPr>
              <w:t>SCB1</w:t>
            </w:r>
            <w:r>
              <w:rPr>
                <w:rFonts w:hint="eastAsia" w:ascii="宋体" w:hAnsi="宋体" w:cs="宋体"/>
                <w:kern w:val="0"/>
                <w:sz w:val="21"/>
                <w:szCs w:val="21"/>
              </w:rPr>
              <w:t>4</w:t>
            </w:r>
            <w:r>
              <w:rPr>
                <w:rFonts w:ascii="宋体" w:hAnsi="宋体" w:cs="宋体"/>
                <w:kern w:val="0"/>
                <w:sz w:val="21"/>
                <w:szCs w:val="21"/>
              </w:rPr>
              <w:t>-16</w:t>
            </w:r>
            <w:r>
              <w:rPr>
                <w:rFonts w:hint="eastAsia" w:ascii="宋体" w:hAnsi="宋体" w:cs="宋体"/>
                <w:kern w:val="0"/>
                <w:sz w:val="21"/>
                <w:szCs w:val="21"/>
              </w:rPr>
              <w:t>00</w:t>
            </w:r>
            <w:r>
              <w:rPr>
                <w:rFonts w:ascii="宋体" w:hAnsi="宋体" w:cs="宋体"/>
                <w:kern w:val="0"/>
                <w:sz w:val="21"/>
                <w:szCs w:val="21"/>
              </w:rPr>
              <w:t>KVA，SCB1</w:t>
            </w:r>
            <w:r>
              <w:rPr>
                <w:rFonts w:hint="eastAsia" w:ascii="宋体" w:hAnsi="宋体" w:cs="宋体"/>
                <w:kern w:val="0"/>
                <w:sz w:val="21"/>
                <w:szCs w:val="21"/>
              </w:rPr>
              <w:t>4</w:t>
            </w:r>
            <w:r>
              <w:rPr>
                <w:rFonts w:ascii="宋体" w:hAnsi="宋体" w:cs="宋体"/>
                <w:kern w:val="0"/>
                <w:sz w:val="21"/>
                <w:szCs w:val="21"/>
              </w:rPr>
              <w:t>-20</w:t>
            </w:r>
            <w:r>
              <w:rPr>
                <w:rFonts w:hint="eastAsia" w:ascii="宋体" w:hAnsi="宋体" w:cs="宋体"/>
                <w:kern w:val="0"/>
                <w:sz w:val="21"/>
                <w:szCs w:val="21"/>
              </w:rPr>
              <w:t>00</w:t>
            </w:r>
            <w:r>
              <w:rPr>
                <w:rFonts w:ascii="宋体" w:hAnsi="宋体" w:cs="宋体"/>
                <w:kern w:val="0"/>
                <w:sz w:val="21"/>
                <w:szCs w:val="21"/>
              </w:rPr>
              <w:t xml:space="preserve">KVA </w:t>
            </w:r>
            <w:r>
              <w:rPr>
                <w:rFonts w:hint="eastAsia" w:ascii="宋体" w:hAnsi="宋体" w:cs="宋体"/>
                <w:kern w:val="0"/>
                <w:sz w:val="21"/>
                <w:szCs w:val="21"/>
              </w:rPr>
              <w:t>10/0.4KV，带外壳、温控及冷却风机。</w:t>
            </w:r>
          </w:p>
        </w:tc>
      </w:tr>
      <w:tr w14:paraId="4702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7" w:type="dxa"/>
            <w:vAlign w:val="center"/>
          </w:tcPr>
          <w:p w14:paraId="40E16725">
            <w:pPr>
              <w:spacing w:line="288" w:lineRule="auto"/>
              <w:jc w:val="center"/>
              <w:rPr>
                <w:rFonts w:ascii="宋体" w:hAnsi="宋体" w:cs="宋体"/>
                <w:sz w:val="21"/>
                <w:szCs w:val="21"/>
              </w:rPr>
            </w:pPr>
            <w:r>
              <w:rPr>
                <w:rFonts w:hint="eastAsia" w:ascii="宋体" w:hAnsi="宋体" w:cs="宋体"/>
                <w:sz w:val="21"/>
                <w:szCs w:val="21"/>
              </w:rPr>
              <w:t>3</w:t>
            </w:r>
          </w:p>
        </w:tc>
        <w:tc>
          <w:tcPr>
            <w:tcW w:w="1895" w:type="dxa"/>
            <w:vAlign w:val="center"/>
          </w:tcPr>
          <w:p w14:paraId="2101C0C2">
            <w:pPr>
              <w:widowControl/>
              <w:jc w:val="center"/>
              <w:textAlignment w:val="center"/>
              <w:rPr>
                <w:rFonts w:ascii="宋体" w:hAnsi="宋体" w:cs="宋体"/>
                <w:kern w:val="0"/>
                <w:sz w:val="21"/>
                <w:szCs w:val="21"/>
              </w:rPr>
            </w:pPr>
            <w:r>
              <w:rPr>
                <w:rFonts w:hint="eastAsia" w:ascii="宋体" w:hAnsi="宋体" w:cs="宋体"/>
                <w:sz w:val="21"/>
                <w:szCs w:val="21"/>
                <w:lang w:val="zh-CN"/>
              </w:rPr>
              <w:t>低压配电柜</w:t>
            </w:r>
          </w:p>
        </w:tc>
        <w:tc>
          <w:tcPr>
            <w:tcW w:w="693" w:type="dxa"/>
            <w:vAlign w:val="center"/>
          </w:tcPr>
          <w:p w14:paraId="21D83901">
            <w:pPr>
              <w:widowControl/>
              <w:jc w:val="center"/>
              <w:textAlignment w:val="center"/>
              <w:rPr>
                <w:rFonts w:ascii="宋体" w:hAnsi="宋体" w:cs="宋体"/>
                <w:kern w:val="0"/>
                <w:sz w:val="21"/>
                <w:szCs w:val="21"/>
              </w:rPr>
            </w:pPr>
            <w:r>
              <w:rPr>
                <w:rFonts w:ascii="宋体" w:hAnsi="宋体" w:cs="宋体"/>
                <w:kern w:val="0"/>
                <w:sz w:val="21"/>
                <w:szCs w:val="21"/>
              </w:rPr>
              <w:t>6</w:t>
            </w:r>
          </w:p>
        </w:tc>
        <w:tc>
          <w:tcPr>
            <w:tcW w:w="722" w:type="dxa"/>
            <w:vAlign w:val="center"/>
          </w:tcPr>
          <w:p w14:paraId="70143FEC">
            <w:pPr>
              <w:widowControl/>
              <w:jc w:val="center"/>
              <w:textAlignment w:val="center"/>
              <w:rPr>
                <w:rFonts w:ascii="宋体" w:hAnsi="宋体" w:cs="宋体"/>
                <w:sz w:val="21"/>
                <w:szCs w:val="21"/>
              </w:rPr>
            </w:pPr>
            <w:r>
              <w:rPr>
                <w:rFonts w:hint="eastAsia" w:ascii="宋体" w:hAnsi="宋体" w:cs="宋体"/>
                <w:sz w:val="21"/>
                <w:szCs w:val="21"/>
              </w:rPr>
              <w:t>台</w:t>
            </w:r>
          </w:p>
        </w:tc>
        <w:tc>
          <w:tcPr>
            <w:tcW w:w="5489" w:type="dxa"/>
            <w:vAlign w:val="center"/>
          </w:tcPr>
          <w:p w14:paraId="3A886907">
            <w:pPr>
              <w:widowControl/>
              <w:adjustRightInd w:val="0"/>
              <w:snapToGrid w:val="0"/>
              <w:spacing w:line="288" w:lineRule="auto"/>
              <w:jc w:val="left"/>
              <w:textAlignment w:val="center"/>
              <w:rPr>
                <w:rFonts w:ascii="宋体" w:hAnsi="宋体" w:cs="宋体"/>
                <w:kern w:val="0"/>
                <w:sz w:val="21"/>
                <w:szCs w:val="21"/>
              </w:rPr>
            </w:pPr>
            <w:r>
              <w:rPr>
                <w:rFonts w:hint="eastAsia" w:ascii="宋体" w:hAnsi="宋体" w:cs="宋体"/>
                <w:kern w:val="0"/>
                <w:sz w:val="21"/>
                <w:szCs w:val="21"/>
              </w:rPr>
              <w:t>设计图示规格型号为B</w:t>
            </w:r>
            <w:r>
              <w:rPr>
                <w:rFonts w:ascii="宋体" w:hAnsi="宋体" w:cs="宋体"/>
                <w:kern w:val="0"/>
                <w:sz w:val="21"/>
                <w:szCs w:val="21"/>
              </w:rPr>
              <w:t>lokset5000，</w:t>
            </w:r>
            <w:r>
              <w:rPr>
                <w:rFonts w:hint="eastAsia" w:ascii="宋体" w:hAnsi="宋体" w:cs="宋体"/>
                <w:kern w:val="0"/>
                <w:sz w:val="21"/>
                <w:szCs w:val="21"/>
              </w:rPr>
              <w:t>符合设计要求：</w:t>
            </w:r>
            <w:r>
              <w:rPr>
                <w:rFonts w:hint="eastAsia" w:ascii="宋体" w:hAnsi="宋体" w:cs="宋体"/>
                <w:bCs/>
                <w:sz w:val="21"/>
                <w:szCs w:val="21"/>
              </w:rPr>
              <w:t>品牌参照或相当于</w:t>
            </w:r>
            <w:r>
              <w:rPr>
                <w:rFonts w:ascii="宋体" w:hAnsi="宋体" w:cs="宋体"/>
                <w:kern w:val="0"/>
                <w:sz w:val="21"/>
                <w:szCs w:val="21"/>
              </w:rPr>
              <w:t>Blokset</w:t>
            </w:r>
            <w:r>
              <w:rPr>
                <w:rFonts w:hint="eastAsia" w:ascii="宋体" w:hAnsi="宋体" w:cs="宋体"/>
                <w:kern w:val="0"/>
                <w:sz w:val="21"/>
                <w:szCs w:val="21"/>
              </w:rPr>
              <w:t>、</w:t>
            </w:r>
            <w:r>
              <w:rPr>
                <w:rFonts w:ascii="宋体" w:hAnsi="宋体" w:cs="宋体"/>
                <w:kern w:val="0"/>
                <w:sz w:val="21"/>
                <w:szCs w:val="21"/>
              </w:rPr>
              <w:t>MD</w:t>
            </w:r>
            <w:r>
              <w:rPr>
                <w:rFonts w:hint="eastAsia" w:ascii="宋体" w:hAnsi="宋体" w:cs="宋体"/>
                <w:kern w:val="0"/>
                <w:sz w:val="21"/>
                <w:szCs w:val="21"/>
              </w:rPr>
              <w:t>max、SIVACON 8PT。</w:t>
            </w:r>
          </w:p>
        </w:tc>
      </w:tr>
    </w:tbl>
    <w:p w14:paraId="0419C6AD">
      <w:pPr>
        <w:adjustRightInd w:val="0"/>
        <w:snapToGrid w:val="0"/>
        <w:spacing w:line="288" w:lineRule="auto"/>
        <w:jc w:val="left"/>
        <w:rPr>
          <w:rFonts w:ascii="宋体" w:hAnsi="宋体"/>
          <w:bCs/>
          <w:sz w:val="21"/>
          <w:szCs w:val="21"/>
        </w:rPr>
      </w:pPr>
      <w:r>
        <w:rPr>
          <w:rFonts w:hint="eastAsia" w:ascii="宋体" w:hAnsi="宋体"/>
          <w:bCs/>
          <w:sz w:val="21"/>
          <w:szCs w:val="21"/>
        </w:rPr>
        <w:t>2.1.投标人应根据浙江大学紫金港校区医研变变电所改造-招标图纸要求，提供符合设计图纸技术参数要求、数量的产品，详见及技术要求部分。</w:t>
      </w:r>
    </w:p>
    <w:p w14:paraId="3074C3DE">
      <w:pPr>
        <w:adjustRightInd w:val="0"/>
        <w:snapToGrid w:val="0"/>
        <w:spacing w:line="288" w:lineRule="auto"/>
        <w:jc w:val="left"/>
        <w:rPr>
          <w:rFonts w:ascii="宋体" w:hAnsi="宋体"/>
          <w:bCs/>
          <w:sz w:val="21"/>
          <w:szCs w:val="21"/>
        </w:rPr>
      </w:pPr>
      <w:r>
        <w:rPr>
          <w:rFonts w:hint="eastAsia" w:ascii="宋体" w:hAnsi="宋体"/>
          <w:bCs/>
          <w:sz w:val="21"/>
          <w:szCs w:val="21"/>
        </w:rPr>
        <w:t>2.2.招标文件附浙江大学紫金港校区医研变变电所改造-招标图纸1套。技术规格及要求详见图纸及招标文件、图纸与招标文件不符，以招标文件为准。</w:t>
      </w:r>
    </w:p>
    <w:p w14:paraId="237F6B87">
      <w:pPr>
        <w:adjustRightInd w:val="0"/>
        <w:snapToGrid w:val="0"/>
        <w:spacing w:line="288" w:lineRule="auto"/>
        <w:jc w:val="left"/>
        <w:rPr>
          <w:rFonts w:ascii="宋体" w:hAnsi="宋体"/>
          <w:b/>
          <w:sz w:val="21"/>
          <w:szCs w:val="21"/>
        </w:rPr>
      </w:pPr>
      <w:r>
        <w:rPr>
          <w:rFonts w:hint="eastAsia" w:ascii="宋体" w:hAnsi="宋体"/>
          <w:b/>
          <w:sz w:val="21"/>
          <w:szCs w:val="21"/>
        </w:rPr>
        <w:t>▲2.3.</w:t>
      </w:r>
      <w:r>
        <w:rPr>
          <w:rFonts w:hint="eastAsia" w:ascii="宋体" w:hAnsi="宋体"/>
          <w:sz w:val="21"/>
          <w:szCs w:val="21"/>
        </w:rPr>
        <w:t>投标人具有</w:t>
      </w:r>
      <w:r>
        <w:rPr>
          <w:rFonts w:hint="eastAsia" w:ascii="宋体" w:hAnsi="宋体"/>
          <w:b/>
          <w:bCs/>
          <w:sz w:val="21"/>
          <w:szCs w:val="21"/>
        </w:rPr>
        <w:t>中国国家认证认可、监督管理委员会认可</w:t>
      </w:r>
      <w:r>
        <w:rPr>
          <w:rFonts w:hint="eastAsia" w:ascii="宋体" w:hAnsi="宋体"/>
          <w:sz w:val="21"/>
          <w:szCs w:val="21"/>
        </w:rPr>
        <w:t>的</w:t>
      </w:r>
      <w:r>
        <w:rPr>
          <w:rFonts w:hint="eastAsia" w:ascii="宋体" w:hAnsi="宋体"/>
          <w:b/>
          <w:bCs/>
          <w:sz w:val="21"/>
          <w:szCs w:val="21"/>
        </w:rPr>
        <w:t>低压变配电产品的强制性认证产品符合性自我声明及型式试验报告</w:t>
      </w:r>
      <w:r>
        <w:rPr>
          <w:rFonts w:hint="eastAsia" w:ascii="宋体" w:hAnsi="宋体"/>
          <w:sz w:val="21"/>
          <w:szCs w:val="21"/>
        </w:rPr>
        <w:t>，</w:t>
      </w:r>
      <w:r>
        <w:rPr>
          <w:rFonts w:hint="eastAsia" w:ascii="宋体" w:hAnsi="宋体"/>
          <w:b/>
          <w:bCs/>
          <w:sz w:val="21"/>
          <w:szCs w:val="21"/>
        </w:rPr>
        <w:t>并提供高压环网柜、变压器制造商的型式试验报告</w:t>
      </w:r>
      <w:r>
        <w:rPr>
          <w:rFonts w:hint="eastAsia" w:ascii="宋体" w:hAnsi="宋体"/>
          <w:b/>
          <w:sz w:val="21"/>
          <w:szCs w:val="21"/>
        </w:rPr>
        <w:t>。</w:t>
      </w:r>
    </w:p>
    <w:p w14:paraId="7F60E027">
      <w:pPr>
        <w:adjustRightInd w:val="0"/>
        <w:snapToGrid w:val="0"/>
        <w:spacing w:line="288" w:lineRule="auto"/>
        <w:jc w:val="left"/>
        <w:rPr>
          <w:rFonts w:ascii="宋体" w:hAnsi="宋体"/>
          <w:bCs/>
          <w:sz w:val="21"/>
          <w:szCs w:val="21"/>
        </w:rPr>
      </w:pPr>
      <w:r>
        <w:rPr>
          <w:rFonts w:hint="eastAsia" w:ascii="宋体" w:hAnsi="宋体"/>
          <w:b/>
          <w:sz w:val="21"/>
          <w:szCs w:val="21"/>
        </w:rPr>
        <w:t>（四）需提供的技术资料和图纸</w:t>
      </w:r>
    </w:p>
    <w:p w14:paraId="19E1F335">
      <w:pPr>
        <w:adjustRightInd w:val="0"/>
        <w:snapToGrid w:val="0"/>
        <w:spacing w:line="288" w:lineRule="auto"/>
        <w:rPr>
          <w:rFonts w:ascii="宋体" w:hAnsi="宋体"/>
          <w:bCs/>
          <w:sz w:val="21"/>
          <w:szCs w:val="21"/>
        </w:rPr>
      </w:pPr>
      <w:r>
        <w:rPr>
          <w:rFonts w:hint="eastAsia" w:ascii="宋体" w:hAnsi="宋体"/>
          <w:bCs/>
          <w:sz w:val="21"/>
          <w:szCs w:val="21"/>
        </w:rPr>
        <w:t>1.投标人提供变配电系统图。</w:t>
      </w:r>
    </w:p>
    <w:p w14:paraId="27D146E6">
      <w:pPr>
        <w:adjustRightInd w:val="0"/>
        <w:snapToGrid w:val="0"/>
        <w:spacing w:line="288" w:lineRule="auto"/>
        <w:rPr>
          <w:rFonts w:ascii="宋体" w:hAnsi="宋体"/>
          <w:bCs/>
          <w:sz w:val="21"/>
          <w:szCs w:val="21"/>
        </w:rPr>
      </w:pPr>
      <w:r>
        <w:rPr>
          <w:rFonts w:hint="eastAsia" w:ascii="宋体" w:hAnsi="宋体"/>
          <w:bCs/>
          <w:sz w:val="21"/>
          <w:szCs w:val="21"/>
        </w:rPr>
        <w:t>2.投标人应提供满足合同设备性能检验/见证所需的全部技术资料。</w:t>
      </w:r>
    </w:p>
    <w:p w14:paraId="449E6886">
      <w:pPr>
        <w:adjustRightInd w:val="0"/>
        <w:snapToGrid w:val="0"/>
        <w:spacing w:line="288" w:lineRule="auto"/>
        <w:rPr>
          <w:rFonts w:ascii="宋体" w:hAnsi="宋体"/>
          <w:bCs/>
          <w:sz w:val="21"/>
          <w:szCs w:val="21"/>
        </w:rPr>
      </w:pPr>
      <w:r>
        <w:rPr>
          <w:rFonts w:hint="eastAsia" w:ascii="宋体" w:hAnsi="宋体"/>
          <w:bCs/>
          <w:sz w:val="21"/>
          <w:szCs w:val="21"/>
        </w:rPr>
        <w:t>3.变压器抗短路能力参数(计算值)、同类型产品的抗短路能力试验报告、型式试验报告、鉴定证书及产品使用说明书。</w:t>
      </w:r>
    </w:p>
    <w:p w14:paraId="20ED57CA">
      <w:pPr>
        <w:adjustRightInd w:val="0"/>
        <w:snapToGrid w:val="0"/>
        <w:spacing w:line="288" w:lineRule="auto"/>
        <w:rPr>
          <w:rFonts w:ascii="宋体" w:hAnsi="宋体"/>
          <w:bCs/>
          <w:sz w:val="21"/>
          <w:szCs w:val="21"/>
        </w:rPr>
      </w:pPr>
      <w:r>
        <w:rPr>
          <w:rFonts w:hint="eastAsia" w:ascii="宋体" w:hAnsi="宋体"/>
          <w:bCs/>
          <w:sz w:val="21"/>
          <w:szCs w:val="21"/>
        </w:rPr>
        <w:t>4.投标文件中应提供产品生产厂的主要生产设备和试验仪器设备的厂家、主要参数、投入使用时间，以表格的型式表示。</w:t>
      </w:r>
    </w:p>
    <w:p w14:paraId="77467A1F">
      <w:pPr>
        <w:adjustRightInd w:val="0"/>
        <w:snapToGrid w:val="0"/>
        <w:spacing w:line="288" w:lineRule="auto"/>
        <w:rPr>
          <w:rFonts w:ascii="宋体" w:hAnsi="宋体"/>
          <w:bCs/>
          <w:sz w:val="21"/>
          <w:szCs w:val="21"/>
        </w:rPr>
      </w:pPr>
      <w:r>
        <w:rPr>
          <w:rFonts w:hint="eastAsia" w:ascii="宋体" w:hAnsi="宋体"/>
          <w:bCs/>
          <w:sz w:val="21"/>
          <w:szCs w:val="21"/>
        </w:rPr>
        <w:t>5.投标人提供在设计、制造时所遵循的规范、标准和规定清单。</w:t>
      </w:r>
    </w:p>
    <w:p w14:paraId="6BFD0F2F">
      <w:pPr>
        <w:adjustRightInd w:val="0"/>
        <w:snapToGrid w:val="0"/>
        <w:spacing w:line="288" w:lineRule="auto"/>
        <w:rPr>
          <w:rFonts w:ascii="宋体" w:hAnsi="宋体"/>
          <w:sz w:val="21"/>
          <w:szCs w:val="21"/>
        </w:rPr>
      </w:pPr>
      <w:r>
        <w:rPr>
          <w:rFonts w:hint="eastAsia" w:ascii="宋体" w:hAnsi="宋体"/>
          <w:bCs/>
          <w:sz w:val="21"/>
          <w:szCs w:val="21"/>
        </w:rPr>
        <w:t>6.详细的产品质量文件，外形尺寸和性能检验等的证明。</w:t>
      </w:r>
    </w:p>
    <w:p w14:paraId="4B485A2A">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NmE3Zjc2YjhlM2EyNmZlNjdjM2VjZGM0YmQzMjAifQ=="/>
  </w:docVars>
  <w:rsids>
    <w:rsidRoot w:val="58EA56D2"/>
    <w:rsid w:val="58EA56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2024-07-24T07:15:00Z</dcterms:created>
  <dc:creator>qszbrenshixingzheng</dc:creator>
  <cp:lastModifiedBy>qszbrenshixingzheng</cp:lastModifiedBy>
  <dcterms:modified xsi:type="dcterms:W3CDTF">2024-07-24T07:16:23Z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FF633A5938794292B75949BAAD946D59_11</vt:lpwstr>
  </property>
</Properties>
</file>