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F14E60">
      <w:pPr>
        <w:spacing w:line="432" w:lineRule="auto"/>
        <w:jc w:val="center"/>
        <w:rPr>
          <w:rFonts w:ascii="黑体" w:hAnsi="华文细黑" w:eastAsia="黑体"/>
          <w:sz w:val="32"/>
          <w:szCs w:val="32"/>
        </w:rPr>
      </w:pPr>
      <w:r>
        <w:rPr>
          <w:rFonts w:hint="eastAsia" w:ascii="黑体" w:hAnsi="黑体" w:eastAsia="黑体"/>
          <w:b/>
          <w:sz w:val="44"/>
          <w:szCs w:val="44"/>
        </w:rPr>
        <w:t>竞价项目供应商须知</w:t>
      </w:r>
    </w:p>
    <w:p w14:paraId="61B3F841">
      <w:pPr>
        <w:spacing w:line="440" w:lineRule="exact"/>
        <w:ind w:left="357" w:hanging="357"/>
        <w:rPr>
          <w:rFonts w:ascii="黑体" w:hAnsi="华文细黑" w:eastAsia="黑体"/>
          <w:sz w:val="24"/>
        </w:rPr>
      </w:pPr>
      <w:r>
        <w:rPr>
          <w:rFonts w:hint="eastAsia" w:ascii="黑体" w:hAnsi="华文细黑" w:eastAsia="黑体"/>
          <w:sz w:val="24"/>
        </w:rPr>
        <w:t>一、说明</w:t>
      </w:r>
    </w:p>
    <w:p w14:paraId="44CA3255">
      <w:pPr>
        <w:spacing w:line="440" w:lineRule="exact"/>
        <w:rPr>
          <w:rFonts w:ascii="黑体" w:hAnsi="华文细黑" w:eastAsia="黑体"/>
          <w:sz w:val="24"/>
        </w:rPr>
      </w:pPr>
      <w:r>
        <w:rPr>
          <w:rFonts w:hint="eastAsia" w:ascii="黑体" w:hAnsi="华文细黑" w:eastAsia="黑体"/>
          <w:sz w:val="24"/>
        </w:rPr>
        <w:t>1.资金来源</w:t>
      </w:r>
    </w:p>
    <w:p w14:paraId="076C7171">
      <w:pPr>
        <w:spacing w:line="440" w:lineRule="exact"/>
        <w:ind w:left="510" w:hanging="510"/>
        <w:rPr>
          <w:rFonts w:ascii="宋体" w:hAnsi="华文细黑"/>
          <w:sz w:val="24"/>
        </w:rPr>
      </w:pPr>
      <w:r>
        <w:rPr>
          <w:rFonts w:ascii="宋体" w:hAnsi="华文细黑"/>
          <w:sz w:val="24"/>
        </w:rPr>
        <w:t>1.1</w:t>
      </w:r>
      <w:r>
        <w:rPr>
          <w:rFonts w:hint="eastAsia" w:ascii="宋体" w:hAnsi="华文细黑"/>
          <w:sz w:val="24"/>
        </w:rPr>
        <w:t>本采购文件中所述的采购人已拥有一笔资金，并计划将一部分资金用于支付本次采购货物合同项下的款项。</w:t>
      </w:r>
    </w:p>
    <w:p w14:paraId="7C3C6082">
      <w:pPr>
        <w:spacing w:line="440" w:lineRule="exact"/>
        <w:ind w:left="567" w:hanging="567"/>
        <w:rPr>
          <w:rFonts w:ascii="黑体" w:hAnsi="华文细黑" w:eastAsia="黑体"/>
          <w:sz w:val="24"/>
        </w:rPr>
      </w:pPr>
      <w:r>
        <w:rPr>
          <w:rFonts w:hint="eastAsia" w:ascii="黑体" w:hAnsi="华文细黑" w:eastAsia="黑体"/>
          <w:sz w:val="24"/>
        </w:rPr>
        <w:t>2</w:t>
      </w:r>
      <w:r>
        <w:rPr>
          <w:rFonts w:ascii="黑体" w:hAnsi="华文细黑" w:eastAsia="黑体"/>
          <w:sz w:val="24"/>
        </w:rPr>
        <w:t>.</w:t>
      </w:r>
      <w:r>
        <w:rPr>
          <w:rFonts w:hint="eastAsia" w:ascii="黑体" w:hAnsi="华文细黑" w:eastAsia="黑体"/>
          <w:sz w:val="24"/>
        </w:rPr>
        <w:t>合格的供应商</w:t>
      </w:r>
    </w:p>
    <w:p w14:paraId="6836891D">
      <w:pPr>
        <w:spacing w:line="440" w:lineRule="exact"/>
        <w:ind w:left="510" w:hanging="510"/>
        <w:rPr>
          <w:rFonts w:ascii="宋体" w:hAnsi="华文细黑"/>
          <w:sz w:val="24"/>
        </w:rPr>
      </w:pPr>
      <w:r>
        <w:rPr>
          <w:rFonts w:hint="eastAsia" w:ascii="宋体" w:hAnsi="华文细黑"/>
          <w:sz w:val="24"/>
        </w:rPr>
        <w:t>2.1供应商需具备中华人民共和国境内的独立法人资格，本次采购不接受联合体参与报价，不允许将项目分包或转包。</w:t>
      </w:r>
    </w:p>
    <w:p w14:paraId="36DD3A7B">
      <w:pPr>
        <w:spacing w:line="440" w:lineRule="exact"/>
        <w:ind w:left="510" w:hanging="510"/>
        <w:rPr>
          <w:rFonts w:ascii="宋体" w:hAnsi="华文细黑"/>
          <w:sz w:val="24"/>
        </w:rPr>
      </w:pPr>
      <w:r>
        <w:rPr>
          <w:rFonts w:hint="eastAsia" w:ascii="宋体" w:hAnsi="华文细黑"/>
          <w:sz w:val="24"/>
        </w:rPr>
        <w:t>2.2供应商需具备下列条件：</w:t>
      </w:r>
    </w:p>
    <w:p w14:paraId="150D5E7C">
      <w:pPr>
        <w:spacing w:line="440" w:lineRule="exact"/>
        <w:ind w:firstLine="420" w:firstLineChars="175"/>
        <w:rPr>
          <w:rFonts w:ascii="宋体" w:hAnsi="宋体" w:cs="宋体"/>
          <w:sz w:val="24"/>
          <w:szCs w:val="22"/>
        </w:rPr>
      </w:pPr>
      <w:r>
        <w:rPr>
          <w:rFonts w:hint="eastAsia" w:ascii="宋体" w:hAnsi="宋体" w:cs="宋体"/>
          <w:sz w:val="24"/>
          <w:szCs w:val="22"/>
        </w:rPr>
        <w:t>（1）具有独立承担民事责任的能力；</w:t>
      </w:r>
    </w:p>
    <w:p w14:paraId="0D571CB8">
      <w:pPr>
        <w:spacing w:line="440" w:lineRule="exact"/>
        <w:ind w:firstLine="420" w:firstLineChars="175"/>
        <w:rPr>
          <w:rFonts w:ascii="宋体" w:hAnsi="宋体" w:cs="宋体"/>
          <w:sz w:val="24"/>
          <w:szCs w:val="22"/>
        </w:rPr>
      </w:pPr>
      <w:r>
        <w:rPr>
          <w:rFonts w:hint="eastAsia" w:ascii="宋体" w:hAnsi="宋体" w:cs="宋体"/>
          <w:sz w:val="24"/>
          <w:szCs w:val="22"/>
        </w:rPr>
        <w:t>（2）具有良好的商业信誉和健全的财务会计制度；</w:t>
      </w:r>
    </w:p>
    <w:p w14:paraId="027C7979">
      <w:pPr>
        <w:spacing w:line="440" w:lineRule="exact"/>
        <w:ind w:firstLine="420" w:firstLineChars="175"/>
        <w:rPr>
          <w:rFonts w:ascii="宋体" w:hAnsi="宋体" w:cs="宋体"/>
          <w:sz w:val="24"/>
          <w:szCs w:val="22"/>
        </w:rPr>
      </w:pPr>
      <w:r>
        <w:rPr>
          <w:rFonts w:hint="eastAsia" w:ascii="宋体" w:hAnsi="宋体" w:cs="宋体"/>
          <w:sz w:val="24"/>
          <w:szCs w:val="22"/>
        </w:rPr>
        <w:t>（3）具有履行合同所必需的设备和专业技术能力；</w:t>
      </w:r>
    </w:p>
    <w:p w14:paraId="0D0DFD8C">
      <w:pPr>
        <w:spacing w:line="440" w:lineRule="exact"/>
        <w:ind w:firstLine="420" w:firstLineChars="175"/>
        <w:rPr>
          <w:rFonts w:ascii="宋体" w:hAnsi="宋体" w:cs="宋体"/>
          <w:sz w:val="24"/>
          <w:szCs w:val="22"/>
        </w:rPr>
      </w:pPr>
      <w:r>
        <w:rPr>
          <w:rFonts w:hint="eastAsia" w:ascii="宋体" w:hAnsi="宋体" w:cs="宋体"/>
          <w:sz w:val="24"/>
          <w:szCs w:val="22"/>
        </w:rPr>
        <w:t>（4）有依法缴纳税收和社会保障资金的良好记录；</w:t>
      </w:r>
    </w:p>
    <w:p w14:paraId="358E8991">
      <w:pPr>
        <w:spacing w:line="440" w:lineRule="exact"/>
        <w:ind w:firstLine="420" w:firstLineChars="175"/>
        <w:rPr>
          <w:rFonts w:ascii="宋体" w:hAnsi="宋体" w:cs="宋体"/>
          <w:sz w:val="24"/>
          <w:szCs w:val="22"/>
        </w:rPr>
      </w:pPr>
      <w:r>
        <w:rPr>
          <w:rFonts w:hint="eastAsia" w:ascii="宋体" w:hAnsi="宋体" w:cs="宋体"/>
          <w:sz w:val="24"/>
          <w:szCs w:val="22"/>
        </w:rPr>
        <w:t>（5）参加采购活动前三年内，在经营活动中没有重大违法记录；</w:t>
      </w:r>
    </w:p>
    <w:p w14:paraId="6D2B7945">
      <w:pPr>
        <w:spacing w:line="440" w:lineRule="exact"/>
        <w:ind w:firstLine="420" w:firstLineChars="175"/>
        <w:rPr>
          <w:rFonts w:ascii="宋体" w:hAnsi="华文细黑"/>
          <w:sz w:val="24"/>
        </w:rPr>
      </w:pPr>
      <w:r>
        <w:rPr>
          <w:rFonts w:hint="eastAsia" w:ascii="宋体" w:hAnsi="宋体" w:cs="宋体"/>
          <w:sz w:val="24"/>
          <w:szCs w:val="22"/>
        </w:rPr>
        <w:t>（6）规定的其他条件。</w:t>
      </w:r>
    </w:p>
    <w:p w14:paraId="2BBD3507">
      <w:pPr>
        <w:spacing w:line="440" w:lineRule="exact"/>
        <w:ind w:left="510" w:hanging="510"/>
        <w:rPr>
          <w:rFonts w:ascii="宋体" w:hAnsi="华文细黑"/>
          <w:sz w:val="24"/>
        </w:rPr>
      </w:pPr>
      <w:r>
        <w:rPr>
          <w:rFonts w:hint="eastAsia" w:ascii="宋体" w:hAnsi="华文细黑"/>
          <w:sz w:val="24"/>
        </w:rPr>
        <w:t>2.3供应商不得直接或间接地与采购人为本次采购的</w:t>
      </w:r>
      <w:r>
        <w:rPr>
          <w:rFonts w:hint="eastAsia" w:ascii="宋体" w:hAnsi="华文细黑"/>
          <w:sz w:val="24"/>
          <w:lang w:val="en-US" w:eastAsia="zh-CN"/>
        </w:rPr>
        <w:t>项目</w:t>
      </w:r>
      <w:r>
        <w:rPr>
          <w:rFonts w:hint="eastAsia" w:ascii="宋体" w:hAnsi="华文细黑"/>
          <w:sz w:val="24"/>
        </w:rPr>
        <w:t>进行设计、编制规范和其他文件所委托的咨询公司或其附属机构有任何关联。</w:t>
      </w:r>
    </w:p>
    <w:p w14:paraId="051585DA">
      <w:pPr>
        <w:spacing w:line="440" w:lineRule="exact"/>
        <w:ind w:left="510" w:hanging="510"/>
        <w:rPr>
          <w:rFonts w:hint="eastAsia" w:ascii="宋体" w:hAnsi="华文细黑"/>
          <w:sz w:val="24"/>
        </w:rPr>
      </w:pPr>
      <w:r>
        <w:rPr>
          <w:rFonts w:hint="eastAsia" w:ascii="宋体" w:hAnsi="华文细黑"/>
          <w:sz w:val="24"/>
        </w:rPr>
        <w:t>2.4只有在法律和财务上独立、合法运作并独立于采购机构和采购人的供货人才能参加报价。</w:t>
      </w:r>
    </w:p>
    <w:p w14:paraId="65F60A4D">
      <w:pPr>
        <w:spacing w:line="440" w:lineRule="exact"/>
        <w:ind w:left="510" w:hanging="510"/>
        <w:rPr>
          <w:rFonts w:hint="eastAsia" w:ascii="宋体" w:hAnsi="华文细黑"/>
          <w:sz w:val="24"/>
        </w:rPr>
      </w:pPr>
      <w:r>
        <w:rPr>
          <w:rFonts w:hint="eastAsia" w:ascii="宋体" w:hAnsi="华文细黑"/>
          <w:sz w:val="24"/>
        </w:rPr>
        <w:t>2.5法定代表人为同一个人的两个及两个以上法人，母公司、全资子公司及其控股公司，都不得在同一货物采购中同时报价。</w:t>
      </w:r>
    </w:p>
    <w:p w14:paraId="0F590854">
      <w:pPr>
        <w:spacing w:line="440" w:lineRule="exact"/>
        <w:ind w:left="567" w:hanging="567"/>
        <w:rPr>
          <w:rFonts w:ascii="黑体" w:hAnsi="华文细黑" w:eastAsia="黑体"/>
          <w:sz w:val="24"/>
        </w:rPr>
      </w:pPr>
      <w:r>
        <w:rPr>
          <w:rFonts w:hint="eastAsia" w:ascii="黑体" w:hAnsi="华文细黑" w:eastAsia="黑体"/>
          <w:sz w:val="24"/>
        </w:rPr>
        <w:t>3</w:t>
      </w:r>
      <w:r>
        <w:rPr>
          <w:rFonts w:ascii="黑体" w:hAnsi="华文细黑" w:eastAsia="黑体"/>
          <w:sz w:val="24"/>
        </w:rPr>
        <w:t>.</w:t>
      </w:r>
      <w:r>
        <w:rPr>
          <w:rFonts w:hint="eastAsia" w:ascii="黑体" w:hAnsi="华文细黑" w:eastAsia="黑体"/>
          <w:sz w:val="24"/>
        </w:rPr>
        <w:t>报价费用</w:t>
      </w:r>
    </w:p>
    <w:p w14:paraId="6703A8E4">
      <w:pPr>
        <w:spacing w:line="440" w:lineRule="exact"/>
        <w:ind w:left="454" w:hanging="454"/>
        <w:rPr>
          <w:rFonts w:ascii="宋体" w:hAnsi="华文细黑"/>
          <w:sz w:val="24"/>
        </w:rPr>
      </w:pPr>
      <w:r>
        <w:rPr>
          <w:rFonts w:hint="eastAsia" w:ascii="宋体" w:hAnsi="华文细黑"/>
          <w:sz w:val="24"/>
        </w:rPr>
        <w:t>3</w:t>
      </w:r>
      <w:r>
        <w:rPr>
          <w:rFonts w:ascii="宋体" w:hAnsi="华文细黑"/>
          <w:sz w:val="24"/>
        </w:rPr>
        <w:t>.1</w:t>
      </w:r>
      <w:r>
        <w:rPr>
          <w:rFonts w:hint="eastAsia" w:ascii="宋体" w:hAnsi="华文细黑"/>
          <w:sz w:val="24"/>
        </w:rPr>
        <w:t>本项目所用的线上平台“云彩通”是第三方平台，本项目报价环节为免费服务。</w:t>
      </w:r>
    </w:p>
    <w:p w14:paraId="7E2EC899">
      <w:pPr>
        <w:spacing w:line="440" w:lineRule="exact"/>
        <w:ind w:left="454" w:hanging="454"/>
        <w:rPr>
          <w:rFonts w:ascii="宋体" w:hAnsi="华文细黑"/>
          <w:sz w:val="24"/>
        </w:rPr>
      </w:pPr>
      <w:r>
        <w:rPr>
          <w:rFonts w:ascii="宋体" w:hAnsi="华文细黑"/>
          <w:sz w:val="24"/>
        </w:rPr>
        <w:t>3.2</w:t>
      </w:r>
      <w:r>
        <w:rPr>
          <w:rFonts w:hint="eastAsia" w:ascii="宋体" w:hAnsi="华文细黑"/>
          <w:sz w:val="24"/>
        </w:rPr>
        <w:t xml:space="preserve">不论报价的结果如何，供应商应自行承担所有与准备和参加报价有关的全部费用。 </w:t>
      </w:r>
    </w:p>
    <w:p w14:paraId="1FFC9A03">
      <w:pPr>
        <w:spacing w:line="440" w:lineRule="exact"/>
        <w:ind w:left="624" w:hanging="624"/>
        <w:rPr>
          <w:rFonts w:ascii="宋体" w:hAnsi="华文细黑"/>
          <w:sz w:val="24"/>
        </w:rPr>
      </w:pPr>
      <w:r>
        <w:rPr>
          <w:rFonts w:hint="eastAsia" w:ascii="黑体" w:hAnsi="华文细黑" w:eastAsia="黑体"/>
          <w:sz w:val="24"/>
          <w:lang w:val="en-US" w:eastAsia="zh-CN"/>
        </w:rPr>
        <w:t>二</w:t>
      </w:r>
      <w:r>
        <w:rPr>
          <w:rFonts w:hint="eastAsia" w:ascii="黑体" w:hAnsi="华文细黑" w:eastAsia="黑体"/>
          <w:sz w:val="24"/>
        </w:rPr>
        <w:t>、报价</w:t>
      </w:r>
    </w:p>
    <w:p w14:paraId="2A338EC5">
      <w:pPr>
        <w:spacing w:line="440" w:lineRule="exact"/>
        <w:ind w:left="567" w:hanging="567"/>
        <w:rPr>
          <w:rFonts w:ascii="黑体" w:hAnsi="华文细黑" w:eastAsia="黑体"/>
          <w:sz w:val="24"/>
        </w:rPr>
      </w:pPr>
      <w:r>
        <w:rPr>
          <w:rFonts w:hint="eastAsia" w:ascii="黑体" w:hAnsi="华文细黑" w:eastAsia="黑体"/>
          <w:sz w:val="24"/>
          <w:lang w:val="en-US" w:eastAsia="zh-CN"/>
        </w:rPr>
        <w:t>4</w:t>
      </w:r>
      <w:r>
        <w:rPr>
          <w:rFonts w:ascii="黑体" w:hAnsi="华文细黑" w:eastAsia="黑体"/>
          <w:sz w:val="24"/>
        </w:rPr>
        <w:t>.</w:t>
      </w:r>
      <w:r>
        <w:rPr>
          <w:rFonts w:hint="eastAsia" w:ascii="黑体" w:hAnsi="华文细黑" w:eastAsia="黑体"/>
          <w:sz w:val="24"/>
        </w:rPr>
        <w:t>报价</w:t>
      </w:r>
    </w:p>
    <w:p w14:paraId="28EE2633">
      <w:pPr>
        <w:spacing w:line="440" w:lineRule="exact"/>
        <w:ind w:left="624" w:hanging="624"/>
        <w:rPr>
          <w:rFonts w:ascii="宋体" w:hAnsi="华文细黑"/>
          <w:sz w:val="24"/>
        </w:rPr>
      </w:pPr>
      <w:r>
        <w:rPr>
          <w:rFonts w:hint="eastAsia" w:ascii="宋体" w:hAnsi="华文细黑"/>
          <w:sz w:val="24"/>
          <w:lang w:val="en-US" w:eastAsia="zh-CN"/>
        </w:rPr>
        <w:t>4</w:t>
      </w:r>
      <w:r>
        <w:rPr>
          <w:rFonts w:hint="eastAsia" w:ascii="宋体" w:hAnsi="华文细黑"/>
          <w:sz w:val="24"/>
        </w:rPr>
        <w:t>.1国产货物或服务以人民币报价，进口货物按照“报价资料表”要求的币种关税前进行报价（哈尔滨到岸价），并按照评审当日0时汇率换算，以折合人民币金额作为此项目最终人民币报价，作为成交结果。</w:t>
      </w:r>
    </w:p>
    <w:p w14:paraId="2BE26829">
      <w:pPr>
        <w:spacing w:line="440" w:lineRule="exact"/>
        <w:ind w:left="624" w:hanging="624"/>
        <w:rPr>
          <w:rFonts w:ascii="宋体" w:hAnsi="华文细黑"/>
          <w:sz w:val="24"/>
        </w:rPr>
      </w:pPr>
      <w:r>
        <w:rPr>
          <w:rFonts w:hint="eastAsia" w:ascii="宋体" w:hAnsi="华文细黑"/>
          <w:sz w:val="24"/>
          <w:lang w:val="en-US" w:eastAsia="zh-CN"/>
        </w:rPr>
        <w:t>4</w:t>
      </w:r>
      <w:r>
        <w:rPr>
          <w:rFonts w:hint="eastAsia" w:ascii="宋体" w:hAnsi="华文细黑"/>
          <w:sz w:val="24"/>
        </w:rPr>
        <w:t>.2</w:t>
      </w:r>
      <w:r>
        <w:rPr>
          <w:rFonts w:hint="eastAsia" w:ascii="宋体" w:hAnsi="华文细黑"/>
          <w:color w:val="000000" w:themeColor="text1"/>
          <w:sz w:val="24"/>
          <w14:textFill>
            <w14:solidFill>
              <w14:schemeClr w14:val="tx1"/>
            </w14:solidFill>
          </w14:textFill>
        </w:rPr>
        <w:t>供应商要按</w:t>
      </w:r>
      <w:r>
        <w:rPr>
          <w:rFonts w:hint="eastAsia" w:ascii="宋体" w:hAnsi="华文细黑"/>
          <w:color w:val="000000" w:themeColor="text1"/>
          <w:sz w:val="24"/>
          <w:lang w:eastAsia="zh-CN"/>
          <w14:textFill>
            <w14:solidFill>
              <w14:schemeClr w14:val="tx1"/>
            </w14:solidFill>
          </w14:textFill>
        </w:rPr>
        <w:t>系统</w:t>
      </w:r>
      <w:r>
        <w:rPr>
          <w:rFonts w:hint="eastAsia" w:ascii="宋体" w:hAnsi="华文细黑"/>
          <w:color w:val="000000" w:themeColor="text1"/>
          <w:sz w:val="24"/>
          <w14:textFill>
            <w14:solidFill>
              <w14:schemeClr w14:val="tx1"/>
            </w14:solidFill>
          </w14:textFill>
        </w:rPr>
        <w:t>（统一格式）的内容填写货物单价、总价及其他事项，</w:t>
      </w:r>
      <w:r>
        <w:rPr>
          <w:rFonts w:hint="eastAsia" w:ascii="宋体" w:hAnsi="华文细黑"/>
          <w:color w:val="000000" w:themeColor="text1"/>
          <w:sz w:val="24"/>
          <w:lang w:eastAsia="zh-CN"/>
          <w14:textFill>
            <w14:solidFill>
              <w14:schemeClr w14:val="tx1"/>
            </w14:solidFill>
          </w14:textFill>
        </w:rPr>
        <w:t>需要上传特定报价单的项目应加盖单位公章或按该项目特定要求</w:t>
      </w:r>
      <w:r>
        <w:rPr>
          <w:rFonts w:hint="eastAsia" w:ascii="宋体" w:hAnsi="华文细黑"/>
          <w:sz w:val="24"/>
        </w:rPr>
        <w:t>。</w:t>
      </w:r>
      <w:bookmarkStart w:id="0" w:name="_GoBack"/>
      <w:bookmarkEnd w:id="0"/>
    </w:p>
    <w:p w14:paraId="256D09A0">
      <w:pPr>
        <w:spacing w:line="440" w:lineRule="exact"/>
        <w:ind w:left="567" w:hanging="567"/>
        <w:rPr>
          <w:rFonts w:ascii="宋体" w:hAnsi="华文细黑"/>
          <w:sz w:val="24"/>
        </w:rPr>
      </w:pPr>
      <w:r>
        <w:rPr>
          <w:rFonts w:hint="eastAsia" w:ascii="宋体" w:hAnsi="华文细黑"/>
          <w:sz w:val="24"/>
          <w:lang w:val="en-US" w:eastAsia="zh-CN"/>
        </w:rPr>
        <w:t>4</w:t>
      </w:r>
      <w:r>
        <w:rPr>
          <w:rFonts w:hint="eastAsia" w:ascii="宋体" w:hAnsi="华文细黑"/>
          <w:sz w:val="24"/>
        </w:rPr>
        <w:t>.3对于非标准货物的报价，还应填报报价明细表（报价明细表格式由供应商自行设计）。</w:t>
      </w:r>
    </w:p>
    <w:p w14:paraId="3A5E3ED2">
      <w:pPr>
        <w:spacing w:line="440" w:lineRule="exact"/>
        <w:ind w:left="567" w:hanging="567"/>
        <w:rPr>
          <w:rFonts w:ascii="宋体" w:hAnsi="华文细黑"/>
          <w:sz w:val="24"/>
        </w:rPr>
      </w:pPr>
      <w:r>
        <w:rPr>
          <w:rFonts w:hint="eastAsia" w:ascii="宋体" w:hAnsi="华文细黑"/>
          <w:sz w:val="24"/>
          <w:lang w:val="en-US" w:eastAsia="zh-CN"/>
        </w:rPr>
        <w:t>4</w:t>
      </w:r>
      <w:r>
        <w:rPr>
          <w:rFonts w:hint="eastAsia" w:ascii="宋体" w:hAnsi="华文细黑"/>
          <w:sz w:val="24"/>
        </w:rPr>
        <w:t>.4供应商如需用外汇购入某些报价货物，除按照要求的币种进行报价外还须折合人民币作为参考。</w:t>
      </w:r>
    </w:p>
    <w:p w14:paraId="7C3C9285">
      <w:pPr>
        <w:spacing w:line="440" w:lineRule="exact"/>
        <w:ind w:left="567" w:hanging="567"/>
        <w:rPr>
          <w:rFonts w:ascii="宋体" w:hAnsi="华文细黑"/>
          <w:sz w:val="24"/>
        </w:rPr>
      </w:pPr>
      <w:r>
        <w:rPr>
          <w:rFonts w:hint="eastAsia" w:ascii="宋体" w:hAnsi="华文细黑"/>
          <w:sz w:val="24"/>
          <w:lang w:val="en-US" w:eastAsia="zh-CN"/>
        </w:rPr>
        <w:t>4</w:t>
      </w:r>
      <w:r>
        <w:rPr>
          <w:rFonts w:hint="eastAsia" w:ascii="宋体" w:hAnsi="华文细黑"/>
          <w:sz w:val="24"/>
        </w:rPr>
        <w:t>.5除非“报价资料表”中另有规定，供应商所报的报价在合同执行过程中是固定不变的，不得以任何理由予以变更。任何包含价格调整要求的报价被认为是非实质性响应报价而予以否决。</w:t>
      </w:r>
    </w:p>
    <w:p w14:paraId="3B9A24A0">
      <w:pPr>
        <w:spacing w:line="440" w:lineRule="exact"/>
        <w:ind w:left="567" w:hanging="567"/>
        <w:rPr>
          <w:rFonts w:ascii="宋体" w:hAnsi="华文细黑"/>
          <w:sz w:val="24"/>
        </w:rPr>
      </w:pPr>
      <w:r>
        <w:rPr>
          <w:rFonts w:hint="eastAsia" w:ascii="宋体" w:hAnsi="华文细黑"/>
          <w:sz w:val="24"/>
          <w:lang w:val="en-US" w:eastAsia="zh-CN"/>
        </w:rPr>
        <w:t>4</w:t>
      </w:r>
      <w:r>
        <w:rPr>
          <w:rFonts w:hint="eastAsia" w:ascii="宋体" w:hAnsi="华文细黑"/>
          <w:sz w:val="24"/>
        </w:rPr>
        <w:t>.6除“报价资料表”中允许有备选方案外，本次采购不接受选择性报价。供应商对每一种货物只允许有一个报价，否则将导致其报价被否决。</w:t>
      </w:r>
    </w:p>
    <w:p w14:paraId="135369C6">
      <w:pPr>
        <w:spacing w:line="440" w:lineRule="exact"/>
        <w:ind w:left="567" w:hanging="567"/>
        <w:rPr>
          <w:rFonts w:ascii="宋体" w:hAnsi="华文细黑"/>
          <w:sz w:val="24"/>
        </w:rPr>
      </w:pPr>
      <w:r>
        <w:rPr>
          <w:rFonts w:hint="eastAsia" w:ascii="宋体" w:hAnsi="华文细黑"/>
          <w:sz w:val="24"/>
          <w:lang w:val="en-US" w:eastAsia="zh-CN"/>
        </w:rPr>
        <w:t>4</w:t>
      </w:r>
      <w:r>
        <w:rPr>
          <w:rFonts w:hint="eastAsia" w:ascii="宋体" w:hAnsi="华文细黑"/>
          <w:sz w:val="24"/>
        </w:rPr>
        <w:t>.7最低报价不能作为成交的保证。</w:t>
      </w:r>
    </w:p>
    <w:p w14:paraId="772E1FFB">
      <w:pPr>
        <w:spacing w:line="440" w:lineRule="exact"/>
        <w:rPr>
          <w:rFonts w:ascii="黑体" w:hAnsi="华文细黑" w:eastAsia="黑体"/>
          <w:sz w:val="24"/>
        </w:rPr>
      </w:pPr>
      <w:r>
        <w:rPr>
          <w:rFonts w:hint="eastAsia" w:ascii="黑体" w:hAnsi="华文细黑" w:eastAsia="黑体"/>
          <w:sz w:val="24"/>
          <w:lang w:val="en-US" w:eastAsia="zh-CN"/>
        </w:rPr>
        <w:t>5</w:t>
      </w:r>
      <w:r>
        <w:rPr>
          <w:rFonts w:ascii="黑体" w:hAnsi="华文细黑" w:eastAsia="黑体"/>
          <w:sz w:val="24"/>
        </w:rPr>
        <w:t>.</w:t>
      </w:r>
      <w:r>
        <w:rPr>
          <w:rFonts w:hint="eastAsia" w:ascii="黑体" w:hAnsi="华文细黑" w:eastAsia="黑体"/>
          <w:sz w:val="24"/>
        </w:rPr>
        <w:t>报价保证金及资料服务费</w:t>
      </w:r>
    </w:p>
    <w:p w14:paraId="0BAD194D">
      <w:pPr>
        <w:spacing w:line="440" w:lineRule="exact"/>
        <w:ind w:left="567" w:hanging="567"/>
        <w:rPr>
          <w:rFonts w:ascii="宋体" w:hAnsi="华文细黑"/>
          <w:sz w:val="24"/>
        </w:rPr>
      </w:pPr>
      <w:r>
        <w:rPr>
          <w:rFonts w:hint="eastAsia" w:ascii="宋体" w:hAnsi="华文细黑"/>
          <w:sz w:val="24"/>
          <w:lang w:val="en-US" w:eastAsia="zh-CN"/>
        </w:rPr>
        <w:t>5</w:t>
      </w:r>
      <w:r>
        <w:rPr>
          <w:rFonts w:ascii="宋体" w:hAnsi="华文细黑"/>
          <w:sz w:val="24"/>
        </w:rPr>
        <w:t>.1</w:t>
      </w:r>
      <w:r>
        <w:rPr>
          <w:rFonts w:hint="eastAsia" w:ascii="宋体" w:hAnsi="华文细黑"/>
          <w:sz w:val="24"/>
        </w:rPr>
        <w:t>网上竞价</w:t>
      </w:r>
      <w:r>
        <w:rPr>
          <w:rFonts w:hint="eastAsia" w:ascii="宋体" w:hAnsi="华文细黑"/>
          <w:b/>
          <w:color w:val="FF0000"/>
          <w:sz w:val="24"/>
        </w:rPr>
        <w:t>不需要</w:t>
      </w:r>
      <w:r>
        <w:rPr>
          <w:rFonts w:hint="eastAsia" w:ascii="宋体" w:hAnsi="华文细黑"/>
          <w:b/>
          <w:sz w:val="24"/>
        </w:rPr>
        <w:t>供应商缴纳</w:t>
      </w:r>
      <w:r>
        <w:rPr>
          <w:rFonts w:hint="eastAsia" w:ascii="宋体" w:hAnsi="华文细黑"/>
          <w:b/>
          <w:color w:val="FF0000"/>
          <w:sz w:val="24"/>
        </w:rPr>
        <w:t>报价保证金</w:t>
      </w:r>
      <w:r>
        <w:rPr>
          <w:rFonts w:hint="eastAsia" w:ascii="宋体" w:hAnsi="华文细黑"/>
          <w:b/>
          <w:sz w:val="24"/>
        </w:rPr>
        <w:t>和</w:t>
      </w:r>
      <w:r>
        <w:rPr>
          <w:rFonts w:hint="eastAsia" w:ascii="宋体" w:hAnsi="华文细黑"/>
          <w:b/>
          <w:color w:val="FF0000"/>
          <w:sz w:val="24"/>
        </w:rPr>
        <w:t>资料服务费</w:t>
      </w:r>
      <w:r>
        <w:rPr>
          <w:rFonts w:hint="eastAsia" w:ascii="宋体" w:hAnsi="华文细黑"/>
          <w:sz w:val="24"/>
        </w:rPr>
        <w:t>。</w:t>
      </w:r>
    </w:p>
    <w:p w14:paraId="3708AB7E">
      <w:pPr>
        <w:spacing w:line="440" w:lineRule="exact"/>
        <w:ind w:left="567" w:hanging="567"/>
        <w:rPr>
          <w:rFonts w:ascii="黑体" w:hAnsi="华文细黑" w:eastAsia="黑体"/>
          <w:sz w:val="24"/>
        </w:rPr>
      </w:pPr>
      <w:r>
        <w:rPr>
          <w:rFonts w:hint="eastAsia" w:ascii="黑体" w:hAnsi="华文细黑" w:eastAsia="黑体"/>
          <w:sz w:val="24"/>
          <w:lang w:val="en-US" w:eastAsia="zh-CN"/>
        </w:rPr>
        <w:t>6</w:t>
      </w:r>
      <w:r>
        <w:rPr>
          <w:rFonts w:hint="eastAsia" w:ascii="黑体" w:hAnsi="华文细黑" w:eastAsia="黑体"/>
          <w:sz w:val="24"/>
        </w:rPr>
        <w:t>.与采购机构、采购人和评审委员会接触</w:t>
      </w:r>
    </w:p>
    <w:p w14:paraId="2589E7C0">
      <w:pPr>
        <w:spacing w:line="440" w:lineRule="exact"/>
        <w:ind w:left="567" w:hanging="567"/>
        <w:rPr>
          <w:rFonts w:ascii="宋体" w:hAnsi="华文细黑"/>
          <w:sz w:val="24"/>
        </w:rPr>
      </w:pPr>
      <w:r>
        <w:rPr>
          <w:rFonts w:hint="eastAsia" w:ascii="宋体" w:hAnsi="华文细黑"/>
          <w:sz w:val="24"/>
          <w:lang w:val="en-US" w:eastAsia="zh-CN"/>
        </w:rPr>
        <w:t>6</w:t>
      </w:r>
      <w:r>
        <w:rPr>
          <w:rFonts w:ascii="宋体" w:hAnsi="华文细黑"/>
          <w:sz w:val="24"/>
        </w:rPr>
        <w:t>.1</w:t>
      </w:r>
      <w:r>
        <w:rPr>
          <w:rFonts w:hint="eastAsia" w:ascii="宋体" w:hAnsi="华文细黑"/>
          <w:sz w:val="24"/>
        </w:rPr>
        <w:t>从报价之日起至</w:t>
      </w:r>
      <w:r>
        <w:rPr>
          <w:rFonts w:hint="eastAsia" w:ascii="宋体" w:hAnsi="华文细黑"/>
          <w:sz w:val="24"/>
          <w:lang w:val="en-US" w:eastAsia="zh-CN"/>
        </w:rPr>
        <w:t>报价结束</w:t>
      </w:r>
      <w:r>
        <w:rPr>
          <w:rFonts w:hint="eastAsia" w:ascii="宋体" w:hAnsi="华文细黑"/>
          <w:sz w:val="24"/>
        </w:rPr>
        <w:t>为止，供应商不得就与其报价有关的事项与采购机构、采购人接触。</w:t>
      </w:r>
    </w:p>
    <w:p w14:paraId="5E01E40A">
      <w:pPr>
        <w:spacing w:line="440" w:lineRule="exact"/>
        <w:ind w:left="567" w:hanging="567"/>
        <w:rPr>
          <w:rFonts w:ascii="宋体" w:hAnsi="华文细黑"/>
          <w:sz w:val="24"/>
        </w:rPr>
      </w:pPr>
      <w:r>
        <w:rPr>
          <w:rFonts w:hint="eastAsia" w:ascii="宋体" w:hAnsi="华文细黑"/>
          <w:sz w:val="24"/>
          <w:lang w:val="en-US" w:eastAsia="zh-CN"/>
        </w:rPr>
        <w:t>6</w:t>
      </w:r>
      <w:r>
        <w:rPr>
          <w:rFonts w:ascii="宋体" w:hAnsi="华文细黑"/>
          <w:sz w:val="24"/>
        </w:rPr>
        <w:t>.2</w:t>
      </w:r>
      <w:r>
        <w:rPr>
          <w:rFonts w:hint="eastAsia" w:ascii="宋体" w:hAnsi="华文细黑"/>
          <w:sz w:val="24"/>
        </w:rPr>
        <w:t>供应商试图对采购机构、采购人</w:t>
      </w:r>
      <w:r>
        <w:rPr>
          <w:rFonts w:hint="eastAsia" w:ascii="宋体" w:hAnsi="华文细黑"/>
          <w:sz w:val="24"/>
          <w:lang w:eastAsia="zh-CN"/>
        </w:rPr>
        <w:t>、</w:t>
      </w:r>
      <w:r>
        <w:rPr>
          <w:rFonts w:hint="eastAsia" w:ascii="宋体" w:hAnsi="华文细黑"/>
          <w:sz w:val="24"/>
        </w:rPr>
        <w:t>评委的评审或授予合同的决定进行影响，都可能导致其报价被否决。</w:t>
      </w:r>
    </w:p>
    <w:p w14:paraId="66F5ADC9">
      <w:pPr>
        <w:spacing w:line="440" w:lineRule="exact"/>
        <w:ind w:left="357" w:hanging="357"/>
        <w:rPr>
          <w:rFonts w:ascii="黑体" w:hAnsi="华文细黑" w:eastAsia="黑体"/>
          <w:sz w:val="24"/>
        </w:rPr>
      </w:pPr>
      <w:r>
        <w:rPr>
          <w:rFonts w:hint="eastAsia" w:ascii="黑体" w:hAnsi="华文细黑" w:eastAsia="黑体"/>
          <w:sz w:val="24"/>
          <w:lang w:val="en-US" w:eastAsia="zh-CN"/>
        </w:rPr>
        <w:t>三</w:t>
      </w:r>
      <w:r>
        <w:rPr>
          <w:rFonts w:hint="eastAsia" w:ascii="黑体" w:hAnsi="华文细黑" w:eastAsia="黑体"/>
          <w:sz w:val="24"/>
        </w:rPr>
        <w:t>、授予合同</w:t>
      </w:r>
    </w:p>
    <w:p w14:paraId="057671FE">
      <w:pPr>
        <w:spacing w:line="440" w:lineRule="exact"/>
        <w:ind w:left="357" w:hanging="357"/>
        <w:rPr>
          <w:rFonts w:ascii="黑体" w:eastAsia="黑体"/>
          <w:sz w:val="24"/>
        </w:rPr>
      </w:pPr>
      <w:r>
        <w:rPr>
          <w:rFonts w:hint="eastAsia" w:ascii="黑体" w:hAnsi="华文细黑" w:eastAsia="黑体"/>
          <w:sz w:val="24"/>
          <w:lang w:val="en-US" w:eastAsia="zh-CN"/>
        </w:rPr>
        <w:t>7</w:t>
      </w:r>
      <w:r>
        <w:rPr>
          <w:rFonts w:ascii="黑体" w:hAnsi="华文细黑" w:eastAsia="黑体"/>
          <w:sz w:val="24"/>
        </w:rPr>
        <w:t>.</w:t>
      </w:r>
      <w:r>
        <w:rPr>
          <w:rFonts w:hint="eastAsia" w:ascii="黑体" w:eastAsia="黑体"/>
          <w:sz w:val="24"/>
        </w:rPr>
        <w:t>履约能力审查</w:t>
      </w:r>
    </w:p>
    <w:p w14:paraId="3A5E0D6B">
      <w:pPr>
        <w:spacing w:line="440" w:lineRule="exact"/>
        <w:ind w:left="357" w:hanging="357"/>
        <w:rPr>
          <w:rFonts w:ascii="宋体"/>
          <w:sz w:val="24"/>
        </w:rPr>
      </w:pPr>
      <w:r>
        <w:rPr>
          <w:rFonts w:hint="eastAsia" w:ascii="宋体"/>
          <w:sz w:val="24"/>
          <w:lang w:val="en-US" w:eastAsia="zh-CN"/>
        </w:rPr>
        <w:t>7</w:t>
      </w:r>
      <w:r>
        <w:rPr>
          <w:rFonts w:hint="eastAsia" w:ascii="宋体"/>
          <w:sz w:val="24"/>
        </w:rPr>
        <w:t>.1成交候选人的经营、财务状况发生较大变化或者存在违法行为，采购人认为可能影响其履约能力的，将在发出成交</w:t>
      </w:r>
      <w:r>
        <w:rPr>
          <w:rFonts w:hint="eastAsia" w:ascii="宋体"/>
          <w:sz w:val="24"/>
          <w:lang w:val="en-US" w:eastAsia="zh-CN"/>
        </w:rPr>
        <w:t>公告</w:t>
      </w:r>
      <w:r>
        <w:rPr>
          <w:rFonts w:hint="eastAsia" w:ascii="宋体"/>
          <w:sz w:val="24"/>
        </w:rPr>
        <w:t>前由</w:t>
      </w:r>
      <w:r>
        <w:rPr>
          <w:rFonts w:hint="eastAsia" w:ascii="宋体"/>
          <w:sz w:val="24"/>
          <w:lang w:val="en-US" w:eastAsia="zh-CN"/>
        </w:rPr>
        <w:t>采购机构、采购人、评委</w:t>
      </w:r>
      <w:r>
        <w:rPr>
          <w:rFonts w:hint="eastAsia" w:ascii="宋体"/>
          <w:sz w:val="24"/>
        </w:rPr>
        <w:t>按照工作需要和采购需求的标准和方法审查确认。</w:t>
      </w:r>
    </w:p>
    <w:p w14:paraId="6EB8DB63">
      <w:pPr>
        <w:autoSpaceDE w:val="0"/>
        <w:autoSpaceDN w:val="0"/>
        <w:spacing w:line="440" w:lineRule="exact"/>
        <w:ind w:left="315" w:hanging="315"/>
        <w:jc w:val="left"/>
        <w:rPr>
          <w:rFonts w:ascii="华文中宋" w:eastAsia="华文中宋"/>
          <w:sz w:val="24"/>
        </w:rPr>
      </w:pPr>
      <w:r>
        <w:rPr>
          <w:rFonts w:hint="eastAsia" w:ascii="宋体"/>
          <w:sz w:val="24"/>
          <w:lang w:val="en-US" w:eastAsia="zh-CN"/>
        </w:rPr>
        <w:t>7</w:t>
      </w:r>
      <w:r>
        <w:rPr>
          <w:rFonts w:hint="eastAsia" w:ascii="宋体"/>
          <w:sz w:val="24"/>
        </w:rPr>
        <w:t>.2如果审查通过，采购人将把合同授予该供应商；如果审查没有通过，将否决其报价，并按成交候选人的推荐顺序对下一个最优的供应商能否令人满意地履行合同作类似的审查。</w:t>
      </w:r>
    </w:p>
    <w:p w14:paraId="12710BAA">
      <w:pPr>
        <w:spacing w:line="440" w:lineRule="exact"/>
        <w:ind w:left="567" w:hanging="567"/>
        <w:rPr>
          <w:rFonts w:ascii="黑体" w:hAnsi="华文细黑" w:eastAsia="黑体"/>
          <w:sz w:val="24"/>
        </w:rPr>
      </w:pPr>
      <w:r>
        <w:rPr>
          <w:rFonts w:hint="eastAsia" w:ascii="黑体" w:hAnsi="华文细黑" w:eastAsia="黑体"/>
          <w:sz w:val="24"/>
          <w:lang w:val="en-US" w:eastAsia="zh-CN"/>
        </w:rPr>
        <w:t>8</w:t>
      </w:r>
      <w:r>
        <w:rPr>
          <w:rFonts w:hint="eastAsia" w:ascii="黑体" w:hAnsi="华文细黑" w:eastAsia="黑体"/>
          <w:sz w:val="24"/>
        </w:rPr>
        <w:t>.</w:t>
      </w:r>
      <w:r>
        <w:rPr>
          <w:rFonts w:hint="eastAsia" w:ascii="黑体" w:hAnsi="华文细黑" w:eastAsia="黑体"/>
          <w:sz w:val="24"/>
          <w:lang w:val="en-US" w:eastAsia="zh-CN"/>
        </w:rPr>
        <w:t>供应商选定</w:t>
      </w:r>
      <w:r>
        <w:rPr>
          <w:rFonts w:hint="eastAsia" w:ascii="黑体" w:hAnsi="华文细黑" w:eastAsia="黑体"/>
          <w:sz w:val="24"/>
        </w:rPr>
        <w:t>方式</w:t>
      </w:r>
    </w:p>
    <w:p w14:paraId="5336B3E6">
      <w:pPr>
        <w:spacing w:line="440" w:lineRule="exact"/>
        <w:ind w:left="567" w:hanging="567"/>
        <w:rPr>
          <w:rFonts w:ascii="宋体"/>
          <w:sz w:val="24"/>
        </w:rPr>
      </w:pPr>
      <w:r>
        <w:rPr>
          <w:rFonts w:hint="eastAsia" w:ascii="宋体"/>
          <w:sz w:val="24"/>
          <w:lang w:val="en-US" w:eastAsia="zh-CN"/>
        </w:rPr>
        <w:t>8</w:t>
      </w:r>
      <w:r>
        <w:rPr>
          <w:rFonts w:hint="eastAsia" w:ascii="宋体"/>
          <w:sz w:val="24"/>
        </w:rPr>
        <w:t>.1采购人依据</w:t>
      </w:r>
      <w:r>
        <w:rPr>
          <w:rFonts w:hint="eastAsia" w:ascii="宋体"/>
          <w:sz w:val="24"/>
          <w:lang w:val="en-US" w:eastAsia="zh-CN"/>
        </w:rPr>
        <w:t>低价优先的原则，选定符合采购需求、具备履约能力、价格最低的成交候选人为本项目</w:t>
      </w:r>
      <w:r>
        <w:rPr>
          <w:rFonts w:hint="eastAsia" w:ascii="宋体"/>
          <w:sz w:val="24"/>
        </w:rPr>
        <w:t>成交人。</w:t>
      </w:r>
    </w:p>
    <w:p w14:paraId="33250B19">
      <w:pPr>
        <w:spacing w:line="440" w:lineRule="exact"/>
        <w:ind w:left="567" w:hanging="567"/>
        <w:rPr>
          <w:rFonts w:ascii="黑体" w:hAnsi="华文细黑" w:eastAsia="黑体"/>
          <w:sz w:val="24"/>
        </w:rPr>
      </w:pPr>
      <w:r>
        <w:rPr>
          <w:rFonts w:hint="eastAsia" w:ascii="黑体" w:hAnsi="华文细黑" w:eastAsia="黑体"/>
          <w:sz w:val="24"/>
          <w:lang w:val="en-US" w:eastAsia="zh-CN"/>
        </w:rPr>
        <w:t>9</w:t>
      </w:r>
      <w:r>
        <w:rPr>
          <w:rFonts w:hint="eastAsia" w:ascii="黑体" w:hAnsi="华文细黑" w:eastAsia="黑体"/>
          <w:sz w:val="24"/>
        </w:rPr>
        <w:t>.否决任何或所有报价的权利</w:t>
      </w:r>
    </w:p>
    <w:p w14:paraId="4032B2A3">
      <w:pPr>
        <w:spacing w:line="440" w:lineRule="exact"/>
        <w:ind w:left="567" w:hanging="567"/>
        <w:rPr>
          <w:rFonts w:ascii="宋体" w:hAnsi="华文细黑"/>
          <w:sz w:val="24"/>
        </w:rPr>
      </w:pPr>
      <w:r>
        <w:rPr>
          <w:rFonts w:hint="eastAsia" w:ascii="宋体" w:hAnsi="华文细黑"/>
          <w:sz w:val="24"/>
          <w:lang w:val="en-US" w:eastAsia="zh-CN"/>
        </w:rPr>
        <w:t>9</w:t>
      </w:r>
      <w:r>
        <w:rPr>
          <w:rFonts w:ascii="宋体" w:hAnsi="华文细黑"/>
          <w:sz w:val="24"/>
        </w:rPr>
        <w:t>.1</w:t>
      </w:r>
      <w:r>
        <w:rPr>
          <w:rFonts w:hint="eastAsia" w:ascii="宋体" w:hAnsi="华文细黑"/>
          <w:sz w:val="24"/>
        </w:rPr>
        <w:t>在特殊情况下，</w:t>
      </w:r>
      <w:r>
        <w:rPr>
          <w:rFonts w:hint="eastAsia"/>
          <w:spacing w:val="-2"/>
          <w:sz w:val="24"/>
        </w:rPr>
        <w:t>采购机构和采购人</w:t>
      </w:r>
      <w:r>
        <w:rPr>
          <w:rFonts w:hint="eastAsia" w:ascii="宋体" w:hAnsi="华文细黑"/>
          <w:sz w:val="24"/>
        </w:rPr>
        <w:t>保留在</w:t>
      </w:r>
      <w:r>
        <w:rPr>
          <w:rFonts w:hint="eastAsia" w:ascii="宋体" w:hAnsi="华文细黑"/>
          <w:sz w:val="24"/>
          <w:lang w:val="en-US" w:eastAsia="zh-CN"/>
        </w:rPr>
        <w:t>成交前</w:t>
      </w:r>
      <w:r>
        <w:rPr>
          <w:rFonts w:hint="eastAsia" w:ascii="宋体" w:hAnsi="华文细黑"/>
          <w:sz w:val="24"/>
        </w:rPr>
        <w:t>否决任何报价以及宣布采购程序无效或否决所有报价的权利。</w:t>
      </w:r>
    </w:p>
    <w:p w14:paraId="5AA01846">
      <w:pPr>
        <w:spacing w:line="440" w:lineRule="exact"/>
        <w:ind w:left="567" w:hanging="567"/>
        <w:rPr>
          <w:rFonts w:ascii="黑体" w:hAnsi="华文细黑" w:eastAsia="黑体"/>
          <w:sz w:val="24"/>
        </w:rPr>
      </w:pPr>
      <w:r>
        <w:rPr>
          <w:rFonts w:hint="eastAsia" w:ascii="黑体" w:hAnsi="华文细黑" w:eastAsia="黑体"/>
          <w:sz w:val="24"/>
          <w:lang w:val="en-US" w:eastAsia="zh-CN"/>
        </w:rPr>
        <w:t>10</w:t>
      </w:r>
      <w:r>
        <w:rPr>
          <w:rFonts w:hint="eastAsia" w:ascii="黑体" w:hAnsi="华文细黑" w:eastAsia="黑体"/>
          <w:sz w:val="24"/>
        </w:rPr>
        <w:t>.成交通知</w:t>
      </w:r>
    </w:p>
    <w:p w14:paraId="26A70919">
      <w:pPr>
        <w:spacing w:line="440" w:lineRule="exact"/>
        <w:ind w:left="567" w:hanging="567"/>
        <w:rPr>
          <w:rFonts w:ascii="宋体" w:hAnsi="华文细黑"/>
          <w:sz w:val="24"/>
        </w:rPr>
      </w:pPr>
      <w:r>
        <w:rPr>
          <w:rFonts w:hint="eastAsia" w:ascii="宋体" w:hAnsi="华文细黑"/>
          <w:sz w:val="24"/>
          <w:lang w:val="en-US" w:eastAsia="zh-CN"/>
        </w:rPr>
        <w:t>10</w:t>
      </w:r>
      <w:r>
        <w:rPr>
          <w:rFonts w:ascii="宋体" w:hAnsi="华文细黑"/>
          <w:sz w:val="24"/>
        </w:rPr>
        <w:t>.1</w:t>
      </w:r>
      <w:r>
        <w:rPr>
          <w:rFonts w:hint="eastAsia" w:ascii="宋体" w:hAnsi="华文细黑"/>
          <w:sz w:val="24"/>
        </w:rPr>
        <w:t>成交人确定后，采购机构在报价有效期内网站公告形式向成交人发出《成交结果公告》</w:t>
      </w:r>
      <w:r>
        <w:rPr>
          <w:rFonts w:hint="eastAsia" w:ascii="宋体" w:hAnsi="华文细黑"/>
          <w:sz w:val="24"/>
          <w:lang w:eastAsia="zh-CN"/>
        </w:rPr>
        <w:t>，</w:t>
      </w:r>
      <w:r>
        <w:rPr>
          <w:rFonts w:hint="eastAsia" w:ascii="宋体" w:hAnsi="华文细黑"/>
          <w:sz w:val="24"/>
        </w:rPr>
        <w:t>可在网站在线打印，未成交的供应商也可看到成交公告。</w:t>
      </w:r>
    </w:p>
    <w:p w14:paraId="0A84E852">
      <w:pPr>
        <w:spacing w:line="440" w:lineRule="exact"/>
        <w:ind w:left="567" w:hanging="567"/>
        <w:rPr>
          <w:rFonts w:ascii="宋体" w:hAnsi="华文细黑"/>
          <w:sz w:val="24"/>
        </w:rPr>
      </w:pPr>
      <w:r>
        <w:rPr>
          <w:rFonts w:hint="eastAsia" w:ascii="宋体" w:hAnsi="华文细黑"/>
          <w:sz w:val="24"/>
          <w:lang w:val="en-US" w:eastAsia="zh-CN"/>
        </w:rPr>
        <w:t>10</w:t>
      </w:r>
      <w:r>
        <w:rPr>
          <w:rFonts w:ascii="宋体" w:hAnsi="华文细黑"/>
          <w:sz w:val="24"/>
        </w:rPr>
        <w:t>.2</w:t>
      </w:r>
      <w:r>
        <w:rPr>
          <w:rFonts w:hint="eastAsia" w:ascii="宋体" w:hAnsi="华文细黑"/>
          <w:sz w:val="24"/>
        </w:rPr>
        <w:t>《成交结果公告》是合同的一个组成部分。</w:t>
      </w:r>
    </w:p>
    <w:p w14:paraId="06C9920A">
      <w:pPr>
        <w:spacing w:line="440" w:lineRule="exact"/>
        <w:ind w:left="567" w:hanging="567"/>
        <w:rPr>
          <w:rFonts w:ascii="黑体" w:hAnsi="华文细黑" w:eastAsia="黑体"/>
          <w:sz w:val="24"/>
        </w:rPr>
      </w:pPr>
      <w:r>
        <w:rPr>
          <w:rFonts w:hint="eastAsia" w:ascii="黑体" w:hAnsi="华文细黑" w:eastAsia="黑体"/>
          <w:sz w:val="24"/>
          <w:lang w:val="en-US" w:eastAsia="zh-CN"/>
        </w:rPr>
        <w:t>11</w:t>
      </w:r>
      <w:r>
        <w:rPr>
          <w:rFonts w:hint="eastAsia" w:ascii="黑体" w:hAnsi="华文细黑" w:eastAsia="黑体"/>
          <w:sz w:val="24"/>
        </w:rPr>
        <w:t>.签订合同</w:t>
      </w:r>
    </w:p>
    <w:p w14:paraId="6AD936F3">
      <w:pPr>
        <w:spacing w:line="440" w:lineRule="exact"/>
        <w:ind w:left="519" w:hanging="519"/>
        <w:rPr>
          <w:rFonts w:ascii="宋体"/>
          <w:sz w:val="24"/>
        </w:rPr>
      </w:pPr>
      <w:r>
        <w:rPr>
          <w:rFonts w:hint="eastAsia" w:ascii="宋体"/>
          <w:sz w:val="24"/>
          <w:lang w:val="en-US" w:eastAsia="zh-CN"/>
        </w:rPr>
        <w:t>11</w:t>
      </w:r>
      <w:r>
        <w:rPr>
          <w:rFonts w:ascii="宋体"/>
          <w:sz w:val="24"/>
        </w:rPr>
        <w:t>.1</w:t>
      </w:r>
      <w:r>
        <w:rPr>
          <w:rFonts w:hint="eastAsia" w:ascii="宋体"/>
          <w:sz w:val="24"/>
        </w:rPr>
        <w:t>采购人和成交人应当在报价有效期内并在采购公告要求的时间（日期）之内，按照采购</w:t>
      </w:r>
      <w:r>
        <w:rPr>
          <w:rFonts w:hint="eastAsia" w:ascii="宋体"/>
          <w:sz w:val="24"/>
          <w:lang w:val="en-US" w:eastAsia="zh-CN"/>
        </w:rPr>
        <w:t>需求</w:t>
      </w:r>
      <w:r>
        <w:rPr>
          <w:rFonts w:hint="eastAsia" w:ascii="宋体"/>
          <w:sz w:val="24"/>
        </w:rPr>
        <w:t>和成交人</w:t>
      </w:r>
      <w:r>
        <w:rPr>
          <w:rFonts w:hint="eastAsia" w:ascii="宋体"/>
          <w:sz w:val="24"/>
          <w:lang w:val="en-US" w:eastAsia="zh-CN"/>
        </w:rPr>
        <w:t>提交的报价情况</w:t>
      </w:r>
      <w:r>
        <w:rPr>
          <w:rFonts w:hint="eastAsia" w:ascii="宋体"/>
          <w:sz w:val="24"/>
        </w:rPr>
        <w:t>订立书面合同。采购人与成交人不得再行订立背离合同实质性内容的其他协议。</w:t>
      </w:r>
    </w:p>
    <w:p w14:paraId="7A2F9FF4">
      <w:pPr>
        <w:spacing w:line="440" w:lineRule="exact"/>
        <w:ind w:left="519" w:hanging="519"/>
        <w:rPr>
          <w:rFonts w:ascii="宋体"/>
          <w:sz w:val="24"/>
        </w:rPr>
      </w:pPr>
      <w:r>
        <w:rPr>
          <w:rFonts w:hint="eastAsia" w:ascii="宋体"/>
          <w:sz w:val="24"/>
          <w:lang w:val="en-US" w:eastAsia="zh-CN"/>
        </w:rPr>
        <w:t>11</w:t>
      </w:r>
      <w:r>
        <w:rPr>
          <w:rFonts w:hint="eastAsia" w:ascii="宋体"/>
          <w:sz w:val="24"/>
        </w:rPr>
        <w:t>.2成交</w:t>
      </w:r>
      <w:r>
        <w:rPr>
          <w:rFonts w:hint="eastAsia" w:ascii="宋体"/>
          <w:sz w:val="24"/>
          <w:lang w:val="en-US" w:eastAsia="zh-CN"/>
        </w:rPr>
        <w:t>公告</w:t>
      </w:r>
      <w:r>
        <w:rPr>
          <w:rFonts w:hint="eastAsia" w:ascii="宋体"/>
          <w:sz w:val="24"/>
        </w:rPr>
        <w:t>对采购人和成交人具有法律约束力。成交</w:t>
      </w:r>
      <w:r>
        <w:rPr>
          <w:rFonts w:hint="eastAsia" w:ascii="宋体"/>
          <w:sz w:val="24"/>
          <w:lang w:val="en-US" w:eastAsia="zh-CN"/>
        </w:rPr>
        <w:t>公告</w:t>
      </w:r>
      <w:r>
        <w:rPr>
          <w:rFonts w:hint="eastAsia" w:ascii="宋体"/>
          <w:sz w:val="24"/>
        </w:rPr>
        <w:t>发出后，采购人改变成交结果或者成交人放弃成交的，应当承担法律责任。</w:t>
      </w:r>
    </w:p>
    <w:p w14:paraId="2B1A772D">
      <w:pPr>
        <w:spacing w:line="440" w:lineRule="exact"/>
        <w:rPr>
          <w:rFonts w:ascii="黑体" w:hAnsi="华文细黑" w:eastAsia="黑体"/>
          <w:sz w:val="24"/>
        </w:rPr>
      </w:pPr>
      <w:r>
        <w:rPr>
          <w:rFonts w:hint="eastAsia" w:ascii="黑体" w:hAnsi="华文细黑" w:eastAsia="黑体"/>
          <w:sz w:val="24"/>
          <w:lang w:val="en-US" w:eastAsia="zh-CN"/>
        </w:rPr>
        <w:t>12</w:t>
      </w:r>
      <w:r>
        <w:rPr>
          <w:rFonts w:hint="eastAsia" w:ascii="黑体" w:hAnsi="华文细黑" w:eastAsia="黑体"/>
          <w:sz w:val="24"/>
        </w:rPr>
        <w:t>.履约保证金</w:t>
      </w:r>
    </w:p>
    <w:p w14:paraId="5F71B01E">
      <w:pPr>
        <w:spacing w:line="440" w:lineRule="exact"/>
        <w:ind w:left="519" w:hanging="519"/>
        <w:rPr>
          <w:rFonts w:ascii="宋体"/>
          <w:sz w:val="24"/>
        </w:rPr>
      </w:pPr>
      <w:r>
        <w:rPr>
          <w:rFonts w:hint="eastAsia" w:ascii="宋体"/>
          <w:sz w:val="24"/>
          <w:lang w:val="en-US" w:eastAsia="zh-CN"/>
        </w:rPr>
        <w:t>12</w:t>
      </w:r>
      <w:r>
        <w:rPr>
          <w:rFonts w:hint="eastAsia" w:ascii="宋体"/>
          <w:sz w:val="24"/>
        </w:rPr>
        <w:t>.1成交人</w:t>
      </w:r>
      <w:r>
        <w:rPr>
          <w:rFonts w:ascii="宋体"/>
          <w:sz w:val="24"/>
        </w:rPr>
        <w:t>应在与采购人订立合同之前提交合同总价5%的履约保证金（人民币，取整到百元）。</w:t>
      </w:r>
    </w:p>
    <w:p w14:paraId="309AA3A1">
      <w:pPr>
        <w:spacing w:line="440" w:lineRule="exact"/>
        <w:ind w:left="519" w:hanging="519"/>
        <w:rPr>
          <w:rFonts w:ascii="宋体"/>
          <w:sz w:val="24"/>
        </w:rPr>
      </w:pPr>
      <w:r>
        <w:rPr>
          <w:rFonts w:hint="eastAsia" w:ascii="宋体"/>
          <w:sz w:val="24"/>
          <w:lang w:val="en-US" w:eastAsia="zh-CN"/>
        </w:rPr>
        <w:t>12</w:t>
      </w:r>
      <w:r>
        <w:rPr>
          <w:rFonts w:ascii="宋体"/>
          <w:sz w:val="24"/>
        </w:rPr>
        <w:t>.2履约保证金</w:t>
      </w:r>
      <w:r>
        <w:rPr>
          <w:rFonts w:hint="eastAsia" w:ascii="宋体"/>
          <w:sz w:val="24"/>
        </w:rPr>
        <w:t>从基本账户电汇，签署合同时提交电汇凭证</w:t>
      </w:r>
      <w:r>
        <w:rPr>
          <w:rFonts w:ascii="宋体"/>
          <w:sz w:val="24"/>
        </w:rPr>
        <w:t>。</w:t>
      </w:r>
    </w:p>
    <w:p w14:paraId="7D5FFDCF">
      <w:pPr>
        <w:spacing w:line="440" w:lineRule="exact"/>
        <w:ind w:left="519" w:hanging="519"/>
        <w:rPr>
          <w:rFonts w:ascii="宋体"/>
          <w:sz w:val="24"/>
        </w:rPr>
      </w:pPr>
      <w:r>
        <w:rPr>
          <w:rFonts w:hint="eastAsia" w:ascii="宋体"/>
          <w:sz w:val="24"/>
          <w:lang w:val="en-US" w:eastAsia="zh-CN"/>
        </w:rPr>
        <w:t>12</w:t>
      </w:r>
      <w:r>
        <w:rPr>
          <w:rFonts w:ascii="宋体"/>
          <w:sz w:val="24"/>
        </w:rPr>
        <w:t>.3</w:t>
      </w:r>
      <w:r>
        <w:rPr>
          <w:rFonts w:hint="eastAsia" w:ascii="宋体"/>
          <w:sz w:val="24"/>
        </w:rPr>
        <w:t>履约保证金的有效期到成交供应商提交的货物经采购人验收合格交付之日止，不计利息。</w:t>
      </w:r>
    </w:p>
    <w:p w14:paraId="423E689C">
      <w:pPr>
        <w:spacing w:line="440" w:lineRule="exact"/>
        <w:rPr>
          <w:rFonts w:ascii="宋体"/>
          <w:sz w:val="24"/>
        </w:rPr>
      </w:pPr>
      <w:r>
        <w:rPr>
          <w:rFonts w:hint="eastAsia" w:ascii="宋体"/>
          <w:sz w:val="24"/>
        </w:rPr>
        <w:t>履约担保的形式：电汇或转账</w:t>
      </w:r>
    </w:p>
    <w:p w14:paraId="47958586">
      <w:pPr>
        <w:spacing w:line="440" w:lineRule="exact"/>
        <w:rPr>
          <w:rFonts w:ascii="宋体"/>
          <w:sz w:val="24"/>
        </w:rPr>
      </w:pPr>
      <w:r>
        <w:rPr>
          <w:rFonts w:hint="eastAsia" w:ascii="宋体"/>
          <w:sz w:val="24"/>
        </w:rPr>
        <w:t xml:space="preserve">履约担保的金额：合同价款的5%（合同签订前交付，验收合格后无息返还） </w:t>
      </w:r>
    </w:p>
    <w:p w14:paraId="0321AC6F">
      <w:pPr>
        <w:spacing w:line="440" w:lineRule="exact"/>
        <w:rPr>
          <w:rFonts w:ascii="宋体"/>
          <w:sz w:val="24"/>
        </w:rPr>
      </w:pPr>
      <w:r>
        <w:rPr>
          <w:rFonts w:hint="eastAsia" w:ascii="宋体"/>
          <w:sz w:val="24"/>
        </w:rPr>
        <w:t>帐户信息如下：</w:t>
      </w:r>
    </w:p>
    <w:p w14:paraId="0BFB53EA">
      <w:pPr>
        <w:spacing w:line="440" w:lineRule="exact"/>
        <w:rPr>
          <w:rFonts w:ascii="宋体"/>
          <w:sz w:val="24"/>
        </w:rPr>
      </w:pPr>
      <w:r>
        <w:rPr>
          <w:rFonts w:hint="eastAsia" w:ascii="宋体"/>
          <w:sz w:val="24"/>
        </w:rPr>
        <w:t>账户名称：哈尔滨工业大学</w:t>
      </w:r>
    </w:p>
    <w:p w14:paraId="7D83F913">
      <w:pPr>
        <w:spacing w:line="440" w:lineRule="exact"/>
        <w:rPr>
          <w:rFonts w:ascii="宋体"/>
          <w:sz w:val="24"/>
        </w:rPr>
      </w:pPr>
      <w:r>
        <w:rPr>
          <w:rFonts w:hint="eastAsia" w:ascii="宋体"/>
          <w:sz w:val="24"/>
        </w:rPr>
        <w:t>开户银行：工商银行哈尔滨市大直支行</w:t>
      </w:r>
    </w:p>
    <w:p w14:paraId="0835A65C">
      <w:pPr>
        <w:spacing w:line="440" w:lineRule="exact"/>
        <w:rPr>
          <w:rFonts w:ascii="宋体"/>
          <w:sz w:val="24"/>
        </w:rPr>
      </w:pPr>
      <w:r>
        <w:rPr>
          <w:rFonts w:hint="eastAsia" w:ascii="宋体"/>
          <w:sz w:val="24"/>
        </w:rPr>
        <w:t>帐 号：3500040109008900513</w:t>
      </w:r>
    </w:p>
    <w:p w14:paraId="45E2CF78">
      <w:pPr>
        <w:spacing w:line="440" w:lineRule="exact"/>
        <w:rPr>
          <w:rFonts w:ascii="宋体"/>
          <w:sz w:val="24"/>
        </w:rPr>
      </w:pPr>
      <w:r>
        <w:rPr>
          <w:rFonts w:hint="eastAsia" w:ascii="宋体"/>
          <w:sz w:val="24"/>
        </w:rPr>
        <w:t>如使用单位不需要成交人缴纳履约保证金的，使用单位与成交人签订合同时须提交无需缴纳履约保证金说明。</w:t>
      </w:r>
    </w:p>
    <w:p w14:paraId="4BA61D9E">
      <w:pPr>
        <w:rPr>
          <w:rFonts w:ascii="Arial" w:hAnsi="Arial" w:eastAsia="黑体"/>
          <w:bCs/>
          <w:sz w:val="28"/>
          <w:szCs w:val="28"/>
        </w:rPr>
      </w:pPr>
    </w:p>
    <w:sectPr>
      <w:headerReference r:id="rId3" w:type="default"/>
      <w:footerReference r:id="rId4" w:type="default"/>
      <w:pgSz w:w="11906" w:h="16838"/>
      <w:pgMar w:top="2098" w:right="1474" w:bottom="1985" w:left="1588" w:header="851" w:footer="158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5063238"/>
      <w:docPartObj>
        <w:docPartGallery w:val="autotext"/>
      </w:docPartObj>
    </w:sdtPr>
    <w:sdtEndPr>
      <w:rPr>
        <w:rFonts w:ascii="宋体" w:hAnsi="宋体"/>
        <w:sz w:val="28"/>
        <w:szCs w:val="28"/>
      </w:rPr>
    </w:sdtEndPr>
    <w:sdtContent>
      <w:p w14:paraId="043733B8">
        <w:pPr>
          <w:pStyle w:val="6"/>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A8E9B">
    <w:pPr>
      <w:pStyle w:val="7"/>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BhODRhOWMxZjQxNmIwNDIxNjU1NmViZmU1MGYyNGYifQ=="/>
  </w:docVars>
  <w:rsids>
    <w:rsidRoot w:val="00984719"/>
    <w:rsid w:val="0004314F"/>
    <w:rsid w:val="00141FBC"/>
    <w:rsid w:val="00227C10"/>
    <w:rsid w:val="003B5932"/>
    <w:rsid w:val="004E1616"/>
    <w:rsid w:val="00631C8D"/>
    <w:rsid w:val="006351A3"/>
    <w:rsid w:val="00692ABB"/>
    <w:rsid w:val="006B05B8"/>
    <w:rsid w:val="006D67C5"/>
    <w:rsid w:val="006F1DDE"/>
    <w:rsid w:val="0074256B"/>
    <w:rsid w:val="00793987"/>
    <w:rsid w:val="007D68E4"/>
    <w:rsid w:val="00870B55"/>
    <w:rsid w:val="008721A6"/>
    <w:rsid w:val="00984719"/>
    <w:rsid w:val="00994C70"/>
    <w:rsid w:val="009953CF"/>
    <w:rsid w:val="00A40EF4"/>
    <w:rsid w:val="00A4177D"/>
    <w:rsid w:val="00AE5820"/>
    <w:rsid w:val="00B1426C"/>
    <w:rsid w:val="00B22310"/>
    <w:rsid w:val="00B53D36"/>
    <w:rsid w:val="00B73E6A"/>
    <w:rsid w:val="00C2267C"/>
    <w:rsid w:val="00D50FAA"/>
    <w:rsid w:val="00E16940"/>
    <w:rsid w:val="00EB74D7"/>
    <w:rsid w:val="00EE2D40"/>
    <w:rsid w:val="00F93EFA"/>
    <w:rsid w:val="113D2EC0"/>
    <w:rsid w:val="2E5D7C09"/>
    <w:rsid w:val="48504AEF"/>
    <w:rsid w:val="6BA60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7"/>
    <w:autoRedefine/>
    <w:qFormat/>
    <w:uiPriority w:val="99"/>
    <w:pPr>
      <w:keepNext/>
      <w:keepLines/>
      <w:spacing w:before="340" w:after="330" w:line="576" w:lineRule="auto"/>
      <w:outlineLvl w:val="0"/>
    </w:pPr>
    <w:rPr>
      <w:rFonts w:ascii="等线" w:hAnsi="等线" w:eastAsia="等线"/>
      <w:b/>
      <w:bCs/>
      <w:kern w:val="44"/>
      <w:sz w:val="44"/>
      <w:szCs w:val="44"/>
    </w:rPr>
  </w:style>
  <w:style w:type="paragraph" w:styleId="3">
    <w:name w:val="heading 2"/>
    <w:basedOn w:val="1"/>
    <w:next w:val="1"/>
    <w:link w:val="23"/>
    <w:autoRedefine/>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link w:val="24"/>
    <w:autoRedefine/>
    <w:semiHidden/>
    <w:unhideWhenUsed/>
    <w:qFormat/>
    <w:uiPriority w:val="99"/>
    <w:pPr>
      <w:spacing w:after="120"/>
    </w:pPr>
  </w:style>
  <w:style w:type="paragraph" w:styleId="5">
    <w:name w:val="Body Text Indent 2"/>
    <w:basedOn w:val="1"/>
    <w:link w:val="26"/>
    <w:autoRedefine/>
    <w:semiHidden/>
    <w:unhideWhenUsed/>
    <w:qFormat/>
    <w:uiPriority w:val="99"/>
    <w:pPr>
      <w:spacing w:after="120" w:line="480" w:lineRule="auto"/>
      <w:ind w:left="420" w:leftChars="200"/>
    </w:pPr>
    <w:rPr>
      <w:rFonts w:ascii="Times New Roman" w:hAnsi="Times New Roman"/>
      <w:kern w:val="0"/>
      <w:szCs w:val="20"/>
    </w:rPr>
  </w:style>
  <w:style w:type="paragraph" w:styleId="6">
    <w:name w:val="footer"/>
    <w:basedOn w:val="1"/>
    <w:next w:val="1"/>
    <w:link w:val="12"/>
    <w:autoRedefine/>
    <w:qFormat/>
    <w:uiPriority w:val="99"/>
    <w:rPr>
      <w:sz w:val="18"/>
    </w:rPr>
  </w:style>
  <w:style w:type="paragraph" w:styleId="7">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w:basedOn w:val="4"/>
    <w:link w:val="25"/>
    <w:autoRedefine/>
    <w:semiHidden/>
    <w:unhideWhenUsed/>
    <w:qFormat/>
    <w:uiPriority w:val="99"/>
    <w:pPr>
      <w:widowControl/>
      <w:spacing w:after="0" w:line="312" w:lineRule="auto"/>
      <w:ind w:firstLine="420"/>
      <w:jc w:val="left"/>
    </w:pPr>
    <w:rPr>
      <w:rFonts w:ascii="Times New Roman" w:hAnsi="Times New Roman"/>
      <w:b/>
      <w:bCs/>
      <w:kern w:val="0"/>
      <w:sz w:val="24"/>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脚 字符"/>
    <w:basedOn w:val="11"/>
    <w:link w:val="6"/>
    <w:qFormat/>
    <w:uiPriority w:val="99"/>
    <w:rPr>
      <w:rFonts w:ascii="Calibri" w:hAnsi="Calibri" w:eastAsia="宋体" w:cs="Times New Roman"/>
      <w:sz w:val="18"/>
      <w:szCs w:val="24"/>
    </w:rPr>
  </w:style>
  <w:style w:type="character" w:customStyle="1" w:styleId="13">
    <w:name w:val="页眉 字符"/>
    <w:basedOn w:val="11"/>
    <w:link w:val="7"/>
    <w:qFormat/>
    <w:uiPriority w:val="0"/>
    <w:rPr>
      <w:rFonts w:ascii="Calibri" w:hAnsi="Calibri" w:eastAsia="宋体" w:cs="Times New Roman"/>
      <w:sz w:val="18"/>
      <w:szCs w:val="18"/>
    </w:rPr>
  </w:style>
  <w:style w:type="paragraph" w:customStyle="1" w:styleId="14">
    <w:name w:val="Default"/>
    <w:basedOn w:val="1"/>
    <w:autoRedefine/>
    <w:qFormat/>
    <w:uiPriority w:val="0"/>
    <w:pPr>
      <w:autoSpaceDE w:val="0"/>
      <w:autoSpaceDN w:val="0"/>
      <w:adjustRightInd w:val="0"/>
      <w:jc w:val="left"/>
    </w:pPr>
    <w:rPr>
      <w:rFonts w:ascii="仿宋_GB2312" w:hAnsi="Times New Roman" w:eastAsia="仿宋_GB2312" w:cs="宋体"/>
      <w:color w:val="000000"/>
      <w:kern w:val="0"/>
      <w:sz w:val="24"/>
    </w:rPr>
  </w:style>
  <w:style w:type="paragraph" w:customStyle="1" w:styleId="15">
    <w:name w:val="列出段落1"/>
    <w:basedOn w:val="1"/>
    <w:autoRedefine/>
    <w:qFormat/>
    <w:uiPriority w:val="0"/>
    <w:pPr>
      <w:ind w:firstLine="420" w:firstLineChars="200"/>
    </w:pPr>
    <w:rPr>
      <w:rFonts w:ascii="Times New Roman" w:hAnsi="Times New Roman"/>
      <w:kern w:val="0"/>
      <w:szCs w:val="21"/>
    </w:rPr>
  </w:style>
  <w:style w:type="paragraph" w:customStyle="1" w:styleId="16">
    <w:name w:val="列表段落1"/>
    <w:basedOn w:val="1"/>
    <w:next w:val="1"/>
    <w:autoRedefine/>
    <w:qFormat/>
    <w:uiPriority w:val="0"/>
    <w:pPr>
      <w:ind w:firstLine="420" w:firstLineChars="200"/>
    </w:pPr>
    <w:rPr>
      <w:kern w:val="0"/>
      <w:szCs w:val="21"/>
    </w:rPr>
  </w:style>
  <w:style w:type="character" w:customStyle="1" w:styleId="17">
    <w:name w:val="标题 1 字符"/>
    <w:basedOn w:val="11"/>
    <w:link w:val="2"/>
    <w:qFormat/>
    <w:uiPriority w:val="99"/>
    <w:rPr>
      <w:rFonts w:ascii="等线" w:hAnsi="等线" w:eastAsia="等线" w:cs="Times New Roman"/>
      <w:b/>
      <w:bCs/>
      <w:kern w:val="44"/>
      <w:sz w:val="44"/>
      <w:szCs w:val="44"/>
    </w:rPr>
  </w:style>
  <w:style w:type="paragraph" w:customStyle="1" w:styleId="18">
    <w:name w:val="my正文"/>
    <w:basedOn w:val="1"/>
    <w:qFormat/>
    <w:uiPriority w:val="0"/>
    <w:pPr>
      <w:spacing w:before="100" w:beforeAutospacing="1" w:after="100" w:afterAutospacing="1" w:line="440" w:lineRule="exact"/>
      <w:ind w:firstLine="200" w:firstLineChars="200"/>
    </w:pPr>
    <w:rPr>
      <w:rFonts w:ascii="Times New Roman" w:hAnsi="Times New Roman"/>
      <w:sz w:val="28"/>
      <w:szCs w:val="28"/>
    </w:rPr>
  </w:style>
  <w:style w:type="paragraph" w:customStyle="1" w:styleId="19">
    <w:name w:val="Table Paragraph"/>
    <w:basedOn w:val="1"/>
    <w:qFormat/>
    <w:uiPriority w:val="0"/>
    <w:pPr>
      <w:autoSpaceDE w:val="0"/>
      <w:autoSpaceDN w:val="0"/>
      <w:spacing w:before="100" w:beforeAutospacing="1" w:after="100" w:afterAutospacing="1"/>
      <w:jc w:val="center"/>
    </w:pPr>
    <w:rPr>
      <w:rFonts w:ascii="微软雅黑" w:hAnsi="微软雅黑" w:eastAsia="微软雅黑" w:cs="宋体"/>
      <w:kern w:val="0"/>
      <w:sz w:val="22"/>
      <w:szCs w:val="22"/>
    </w:rPr>
  </w:style>
  <w:style w:type="table" w:customStyle="1" w:styleId="20">
    <w:name w:val="Table Normal"/>
    <w:basedOn w:val="9"/>
    <w:qFormat/>
    <w:uiPriority w:val="0"/>
    <w:pPr>
      <w:widowControl w:val="0"/>
      <w:autoSpaceDE w:val="0"/>
      <w:autoSpaceDN w:val="0"/>
    </w:pPr>
    <w:rPr>
      <w:rFonts w:ascii="等线" w:hAnsi="等线" w:eastAsia="等线" w:cs="Times New Roman"/>
      <w:kern w:val="0"/>
      <w:sz w:val="22"/>
      <w:lang w:eastAsia="en-US"/>
    </w:rPr>
    <w:tblPr>
      <w:tblCellMar>
        <w:left w:w="0" w:type="dxa"/>
        <w:right w:w="0" w:type="dxa"/>
      </w:tblCellMar>
    </w:tblPr>
  </w:style>
  <w:style w:type="paragraph" w:customStyle="1" w:styleId="21">
    <w:name w:val="样式 10 磅31114"/>
    <w:basedOn w:val="1"/>
    <w:qFormat/>
    <w:uiPriority w:val="0"/>
    <w:rPr>
      <w:rFonts w:ascii="Times New Roman" w:hAnsi="Times New Roman"/>
      <w:szCs w:val="21"/>
    </w:rPr>
  </w:style>
  <w:style w:type="paragraph" w:customStyle="1" w:styleId="22">
    <w:name w:val="p0"/>
    <w:basedOn w:val="1"/>
    <w:qFormat/>
    <w:uiPriority w:val="0"/>
    <w:pPr>
      <w:widowControl/>
    </w:pPr>
    <w:rPr>
      <w:rFonts w:ascii="Times New Roman" w:hAnsi="Times New Roman"/>
      <w:kern w:val="0"/>
      <w:szCs w:val="21"/>
    </w:rPr>
  </w:style>
  <w:style w:type="character" w:customStyle="1" w:styleId="23">
    <w:name w:val="标题 2 字符"/>
    <w:basedOn w:val="11"/>
    <w:link w:val="3"/>
    <w:semiHidden/>
    <w:qFormat/>
    <w:uiPriority w:val="9"/>
    <w:rPr>
      <w:rFonts w:asciiTheme="majorHAnsi" w:hAnsiTheme="majorHAnsi" w:eastAsiaTheme="majorEastAsia" w:cstheme="majorBidi"/>
      <w:b/>
      <w:bCs/>
      <w:sz w:val="32"/>
      <w:szCs w:val="32"/>
    </w:rPr>
  </w:style>
  <w:style w:type="character" w:customStyle="1" w:styleId="24">
    <w:name w:val="正文文本 字符"/>
    <w:basedOn w:val="11"/>
    <w:link w:val="4"/>
    <w:semiHidden/>
    <w:qFormat/>
    <w:uiPriority w:val="99"/>
    <w:rPr>
      <w:rFonts w:ascii="Calibri" w:hAnsi="Calibri" w:eastAsia="宋体" w:cs="Times New Roman"/>
      <w:szCs w:val="24"/>
    </w:rPr>
  </w:style>
  <w:style w:type="character" w:customStyle="1" w:styleId="25">
    <w:name w:val="正文文本首行缩进 字符"/>
    <w:basedOn w:val="24"/>
    <w:link w:val="8"/>
    <w:semiHidden/>
    <w:qFormat/>
    <w:uiPriority w:val="99"/>
    <w:rPr>
      <w:rFonts w:ascii="Times New Roman" w:hAnsi="Times New Roman" w:eastAsia="宋体" w:cs="Times New Roman"/>
      <w:b/>
      <w:bCs/>
      <w:kern w:val="0"/>
      <w:sz w:val="24"/>
      <w:szCs w:val="24"/>
    </w:rPr>
  </w:style>
  <w:style w:type="character" w:customStyle="1" w:styleId="26">
    <w:name w:val="正文文本缩进 2 字符"/>
    <w:basedOn w:val="11"/>
    <w:link w:val="5"/>
    <w:semiHidden/>
    <w:qFormat/>
    <w:uiPriority w:val="99"/>
    <w:rPr>
      <w:rFonts w:ascii="Times New Roman" w:hAnsi="Times New Roman" w:eastAsia="宋体" w:cs="Times New Roman"/>
      <w:kern w:val="0"/>
      <w:szCs w:val="20"/>
    </w:rPr>
  </w:style>
  <w:style w:type="paragraph" w:styleId="27">
    <w:name w:val="List Paragraph"/>
    <w:basedOn w:val="1"/>
    <w:link w:val="28"/>
    <w:qFormat/>
    <w:uiPriority w:val="34"/>
    <w:pPr>
      <w:autoSpaceDE w:val="0"/>
      <w:autoSpaceDN w:val="0"/>
      <w:adjustRightInd w:val="0"/>
      <w:ind w:firstLine="420" w:firstLineChars="200"/>
    </w:pPr>
    <w:rPr>
      <w:rFonts w:ascii="宋体" w:hAnsi="Times New Roman" w:cs="宋体"/>
      <w:kern w:val="0"/>
      <w:szCs w:val="21"/>
    </w:rPr>
  </w:style>
  <w:style w:type="character" w:customStyle="1" w:styleId="28">
    <w:name w:val="列表段落 字符"/>
    <w:basedOn w:val="11"/>
    <w:link w:val="27"/>
    <w:qFormat/>
    <w:locked/>
    <w:uiPriority w:val="34"/>
    <w:rPr>
      <w:rFonts w:ascii="宋体" w:hAnsi="Times New Roman" w:eastAsia="宋体" w:cs="宋体"/>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1808</Words>
  <Characters>1908</Characters>
  <Lines>73</Lines>
  <Paragraphs>20</Paragraphs>
  <TotalTime>20</TotalTime>
  <ScaleCrop>false</ScaleCrop>
  <LinksUpToDate>false</LinksUpToDate>
  <CharactersWithSpaces>1911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2022-09-29T01:35:00Z</dcterms:created>
  <dc:creator>zz</dc:creator>
  <cp:lastModifiedBy>Administrator</cp:lastModifiedBy>
  <dcterms:modified xsi:type="dcterms:W3CDTF">2025-07-09T01:33:42Z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0790C9DCC25F4CDCB3A4ABC6FE7D43E9_13</vt:lpwstr>
  </property>
  <property fmtid="{D5CDD505-2E9C-101B-9397-08002B2CF9AE}" pid="4" name="KSOTemplateDocerSaveRecord">
    <vt:lpwstr>eyJoZGlkIjoiMzRkNzg0Mjg4NzYyODFiNjVkNjVhMmVjMjY3YzYzYWUifQ==</vt:lpwstr>
  </property>
</Properties>
</file>