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金融保险智能风控平台项目</w:t>
      </w:r>
      <w:r>
        <w:rPr>
          <w:rFonts w:hint="eastAsia" w:ascii="仿宋_GB2312" w:hAnsi="仿宋_GB2312" w:eastAsia="仿宋_GB2312" w:cs="仿宋_GB2312"/>
          <w:color w:val="auto"/>
          <w:sz w:val="32"/>
          <w:szCs w:val="32"/>
          <w:lang w:val="en-US" w:eastAsia="zh-CN"/>
        </w:rPr>
        <w:t>需求</w:t>
      </w:r>
      <w:r>
        <w:rPr>
          <w:rFonts w:hint="eastAsia" w:ascii="仿宋_GB2312" w:hAnsi="仿宋_GB2312" w:eastAsia="仿宋_GB2312" w:cs="仿宋_GB2312"/>
          <w:color w:val="auto"/>
          <w:sz w:val="32"/>
          <w:szCs w:val="32"/>
        </w:rPr>
        <w:t>：</w:t>
      </w:r>
    </w:p>
    <w:p>
      <w:pPr>
        <w:rPr>
          <w:rFonts w:hint="eastAsia" w:ascii="仿宋_GB2312" w:hAnsi="黑体" w:eastAsia="仿宋_GB2312" w:cs="黑体"/>
          <w:color w:val="auto"/>
          <w:sz w:val="28"/>
          <w:szCs w:val="28"/>
          <w:lang w:eastAsia="zh-CN"/>
        </w:rPr>
      </w:pPr>
      <w:r>
        <w:rPr>
          <w:rFonts w:hint="eastAsia" w:ascii="仿宋_GB2312" w:hAnsi="黑体" w:eastAsia="仿宋_GB2312" w:cs="黑体"/>
          <w:color w:val="auto"/>
          <w:sz w:val="28"/>
          <w:szCs w:val="28"/>
        </w:rPr>
        <w:t xml:space="preserve">第一部分 </w:t>
      </w:r>
      <w:r>
        <w:rPr>
          <w:rFonts w:hint="eastAsia" w:ascii="仿宋_GB2312" w:hAnsi="黑体" w:eastAsia="仿宋_GB2312" w:cs="黑体"/>
          <w:color w:val="auto"/>
          <w:sz w:val="28"/>
          <w:szCs w:val="28"/>
          <w:lang w:val="en-US" w:eastAsia="zh-CN"/>
        </w:rPr>
        <w:t>项目需求</w:t>
      </w:r>
    </w:p>
    <w:p>
      <w:pPr>
        <w:numPr>
          <w:ilvl w:val="0"/>
          <w:numId w:val="1"/>
        </w:numPr>
        <w:rPr>
          <w:rFonts w:ascii="仿宋_GB2312" w:hAnsi="黑体" w:eastAsia="仿宋_GB2312" w:cs="黑体"/>
          <w:color w:val="auto"/>
          <w:sz w:val="28"/>
          <w:szCs w:val="28"/>
        </w:rPr>
      </w:pPr>
      <w:r>
        <w:rPr>
          <w:rFonts w:hint="eastAsia" w:ascii="仿宋_GB2312" w:hAnsi="黑体" w:eastAsia="仿宋_GB2312" w:cs="黑体"/>
          <w:color w:val="auto"/>
          <w:sz w:val="28"/>
          <w:szCs w:val="28"/>
        </w:rPr>
        <w:t>围绕车险案件的基本信息，定损配件信息，定损工时信息，定损辅料信息，保单承保险别详情等数据构建车险案件知识图谱，包括本体构建、结构化数据导入等；</w:t>
      </w:r>
    </w:p>
    <w:p>
      <w:pPr>
        <w:numPr>
          <w:ilvl w:val="0"/>
          <w:numId w:val="1"/>
        </w:numPr>
        <w:rPr>
          <w:rFonts w:ascii="仿宋_GB2312" w:hAnsi="黑体" w:eastAsia="仿宋_GB2312" w:cs="黑体"/>
          <w:color w:val="auto"/>
          <w:sz w:val="28"/>
          <w:szCs w:val="28"/>
        </w:rPr>
      </w:pPr>
      <w:r>
        <w:rPr>
          <w:rFonts w:hint="eastAsia" w:ascii="仿宋_GB2312" w:hAnsi="黑体" w:eastAsia="仿宋_GB2312" w:cs="黑体"/>
          <w:color w:val="auto"/>
          <w:sz w:val="28"/>
          <w:szCs w:val="28"/>
        </w:rPr>
        <w:t>基于车险案件知识图谱研发金融保险智能风控平台，围绕车险异常案件检测的业务场景，实现基于知识图谱技术能够检测车险案件的异常。案件详情可以按类别展示详细信息，并推荐相似案件。同时可以基于知识图谱实现案件的关联分析，最终为业务人员的案件识别与处理提升工作效率。</w:t>
      </w:r>
    </w:p>
    <w:p>
      <w:pPr>
        <w:numPr>
          <w:ilvl w:val="0"/>
          <w:numId w:val="1"/>
        </w:numPr>
        <w:rPr>
          <w:rFonts w:ascii="仿宋_GB2312" w:hAnsi="黑体" w:eastAsia="仿宋_GB2312" w:cs="黑体"/>
          <w:color w:val="auto"/>
          <w:sz w:val="28"/>
          <w:szCs w:val="28"/>
        </w:rPr>
      </w:pPr>
      <w:r>
        <w:rPr>
          <w:rFonts w:hint="eastAsia" w:ascii="仿宋_GB2312" w:hAnsi="黑体" w:eastAsia="仿宋_GB2312" w:cs="黑体"/>
          <w:color w:val="auto"/>
          <w:sz w:val="28"/>
          <w:szCs w:val="28"/>
        </w:rPr>
        <w:t>金融保险智能风控平台的项目目标是围绕车险异常案件检测的业务场景，体现构建的知识图谱的价值，重点能力体现在检索、推荐、关联分析可视化探索、BI可视化报表等模块。</w:t>
      </w:r>
    </w:p>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第二部分 软件开发的业务需求及总体设计</w:t>
      </w:r>
    </w:p>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总体设计要求：系统为深色系，设计风格力图简洁、清晰，logo使用“之江实验室”的统一logo；</w:t>
      </w:r>
    </w:p>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结构要求：一级导航栏为首页、案件管理、关系分析。</w:t>
      </w:r>
    </w:p>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功能需求描述见下表：</w:t>
      </w:r>
    </w:p>
    <w:tbl>
      <w:tblPr>
        <w:tblStyle w:val="4"/>
        <w:tblW w:w="0" w:type="auto"/>
        <w:tblInd w:w="0" w:type="dxa"/>
        <w:tblLayout w:type="autofit"/>
        <w:tblCellMar>
          <w:top w:w="15" w:type="dxa"/>
          <w:left w:w="15" w:type="dxa"/>
          <w:bottom w:w="15" w:type="dxa"/>
          <w:right w:w="15" w:type="dxa"/>
        </w:tblCellMar>
      </w:tblPr>
      <w:tblGrid>
        <w:gridCol w:w="1000"/>
        <w:gridCol w:w="1485"/>
        <w:gridCol w:w="5851"/>
      </w:tblGrid>
      <w:tr>
        <w:tblPrEx>
          <w:tblCellMar>
            <w:top w:w="15" w:type="dxa"/>
            <w:left w:w="15" w:type="dxa"/>
            <w:bottom w:w="15" w:type="dxa"/>
            <w:right w:w="15" w:type="dxa"/>
          </w:tblCellMar>
        </w:tblPrEx>
        <w:trPr>
          <w:trHeight w:val="240" w:hRule="atLeast"/>
        </w:trPr>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功能模块</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功能点</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功能描述</w:t>
            </w:r>
          </w:p>
        </w:tc>
      </w:tr>
      <w:tr>
        <w:tblPrEx>
          <w:tblCellMar>
            <w:top w:w="15" w:type="dxa"/>
            <w:left w:w="15" w:type="dxa"/>
            <w:bottom w:w="15" w:type="dxa"/>
            <w:right w:w="15" w:type="dxa"/>
          </w:tblCellMar>
        </w:tblPrEx>
        <w:trPr>
          <w:trHeight w:val="240" w:hRule="atLeast"/>
        </w:trPr>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首页</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搜索框检索</w:t>
            </w:r>
          </w:p>
        </w:tc>
        <w:tc>
          <w:tcPr>
            <w:tcW w:w="0" w:type="auto"/>
            <w:shd w:val="clear" w:color="auto" w:fill="auto"/>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支持关键词检索，识别符合条件的案件。检索后可以展示案件检索列表，选择后进案件详情。</w:t>
            </w:r>
          </w:p>
        </w:tc>
      </w:tr>
      <w:tr>
        <w:tblPrEx>
          <w:tblCellMar>
            <w:top w:w="15" w:type="dxa"/>
            <w:left w:w="15" w:type="dxa"/>
            <w:bottom w:w="15" w:type="dxa"/>
            <w:right w:w="15" w:type="dxa"/>
          </w:tblCellMar>
        </w:tblPrEx>
        <w:trPr>
          <w:trHeight w:val="240" w:hRule="atLeast"/>
        </w:trPr>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首页</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高级检索</w:t>
            </w:r>
          </w:p>
        </w:tc>
        <w:tc>
          <w:tcPr>
            <w:tcW w:w="0" w:type="auto"/>
            <w:shd w:val="clear" w:color="auto" w:fill="auto"/>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可以设置检索的条件：</w:t>
            </w:r>
          </w:p>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1、按案件的属性条件检索；</w:t>
            </w:r>
            <w:r>
              <w:rPr>
                <w:rFonts w:hint="eastAsia" w:ascii="仿宋_GB2312" w:hAnsi="黑体" w:eastAsia="仿宋_GB2312" w:cs="黑体"/>
                <w:color w:val="auto"/>
                <w:sz w:val="28"/>
                <w:szCs w:val="28"/>
              </w:rPr>
              <w:br w:type="textWrapping"/>
            </w:r>
            <w:r>
              <w:rPr>
                <w:rFonts w:hint="eastAsia" w:ascii="仿宋_GB2312" w:hAnsi="黑体" w:eastAsia="仿宋_GB2312" w:cs="黑体"/>
                <w:color w:val="auto"/>
                <w:sz w:val="28"/>
                <w:szCs w:val="28"/>
              </w:rPr>
              <w:t>2、按直接关联的关系条件检索；</w:t>
            </w:r>
            <w:r>
              <w:rPr>
                <w:rFonts w:hint="eastAsia" w:ascii="仿宋_GB2312" w:hAnsi="黑体" w:eastAsia="仿宋_GB2312" w:cs="黑体"/>
                <w:color w:val="auto"/>
                <w:sz w:val="28"/>
                <w:szCs w:val="28"/>
              </w:rPr>
              <w:br w:type="textWrapping"/>
            </w:r>
            <w:r>
              <w:rPr>
                <w:rFonts w:hint="eastAsia" w:ascii="仿宋_GB2312" w:hAnsi="黑体" w:eastAsia="仿宋_GB2312" w:cs="黑体"/>
                <w:color w:val="auto"/>
                <w:sz w:val="28"/>
                <w:szCs w:val="28"/>
              </w:rPr>
              <w:t>检索后出案件检索列表，选择后进案件详情。</w:t>
            </w:r>
          </w:p>
        </w:tc>
      </w:tr>
      <w:tr>
        <w:tblPrEx>
          <w:tblCellMar>
            <w:top w:w="15" w:type="dxa"/>
            <w:left w:w="15" w:type="dxa"/>
            <w:bottom w:w="15" w:type="dxa"/>
            <w:right w:w="15" w:type="dxa"/>
          </w:tblCellMar>
        </w:tblPrEx>
        <w:trPr>
          <w:trHeight w:val="240" w:hRule="atLeast"/>
        </w:trPr>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首页</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检索列表</w:t>
            </w:r>
          </w:p>
        </w:tc>
        <w:tc>
          <w:tcPr>
            <w:tcW w:w="0" w:type="auto"/>
            <w:shd w:val="clear" w:color="auto" w:fill="auto"/>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通过搜索框检索或者高级检索后，会出检索列表；</w:t>
            </w:r>
            <w:r>
              <w:rPr>
                <w:rFonts w:hint="eastAsia" w:ascii="仿宋_GB2312" w:hAnsi="黑体" w:eastAsia="仿宋_GB2312" w:cs="黑体"/>
                <w:color w:val="auto"/>
                <w:sz w:val="28"/>
                <w:szCs w:val="28"/>
              </w:rPr>
              <w:br w:type="textWrapping"/>
            </w:r>
            <w:r>
              <w:rPr>
                <w:rFonts w:hint="eastAsia" w:ascii="仿宋_GB2312" w:hAnsi="黑体" w:eastAsia="仿宋_GB2312" w:cs="黑体"/>
                <w:color w:val="auto"/>
                <w:sz w:val="28"/>
                <w:szCs w:val="28"/>
              </w:rPr>
              <w:t>1、统计符合条件的检索列表的数量：“已为您搜索到*条结果”</w:t>
            </w:r>
            <w:r>
              <w:rPr>
                <w:rFonts w:hint="eastAsia" w:ascii="仿宋_GB2312" w:hAnsi="黑体" w:eastAsia="仿宋_GB2312" w:cs="黑体"/>
                <w:color w:val="auto"/>
                <w:sz w:val="28"/>
                <w:szCs w:val="28"/>
              </w:rPr>
              <w:br w:type="textWrapping"/>
            </w:r>
            <w:r>
              <w:rPr>
                <w:rFonts w:hint="eastAsia" w:ascii="仿宋_GB2312" w:hAnsi="黑体" w:eastAsia="仿宋_GB2312" w:cs="黑体"/>
                <w:color w:val="auto"/>
                <w:sz w:val="28"/>
                <w:szCs w:val="28"/>
              </w:rPr>
              <w:t>2、展示所有的案件列表，包括关键字段标题展示和其他相关信息文本展示；点击某一个案件可以进入案件详情。</w:t>
            </w:r>
          </w:p>
        </w:tc>
      </w:tr>
      <w:tr>
        <w:tblPrEx>
          <w:tblCellMar>
            <w:top w:w="15" w:type="dxa"/>
            <w:left w:w="15" w:type="dxa"/>
            <w:bottom w:w="15" w:type="dxa"/>
            <w:right w:w="15" w:type="dxa"/>
          </w:tblCellMar>
        </w:tblPrEx>
        <w:trPr>
          <w:trHeight w:val="240" w:hRule="atLeast"/>
        </w:trPr>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首页</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BI统计报表</w:t>
            </w:r>
          </w:p>
        </w:tc>
        <w:tc>
          <w:tcPr>
            <w:tcW w:w="0" w:type="auto"/>
            <w:shd w:val="clear" w:color="auto" w:fill="auto"/>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报表内容：包括数字报表，可视化报表，表格形式报表等</w:t>
            </w:r>
          </w:p>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统计频率：目前数据量比较静态，报表每天更新1次；</w:t>
            </w:r>
          </w:p>
        </w:tc>
      </w:tr>
      <w:tr>
        <w:tblPrEx>
          <w:tblCellMar>
            <w:top w:w="15" w:type="dxa"/>
            <w:left w:w="15" w:type="dxa"/>
            <w:bottom w:w="15" w:type="dxa"/>
            <w:right w:w="15" w:type="dxa"/>
          </w:tblCellMar>
        </w:tblPrEx>
        <w:trPr>
          <w:trHeight w:val="820" w:hRule="atLeast"/>
        </w:trPr>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案件管理</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疑似异常</w:t>
            </w:r>
          </w:p>
        </w:tc>
        <w:tc>
          <w:tcPr>
            <w:tcW w:w="0" w:type="auto"/>
            <w:shd w:val="clear" w:color="auto" w:fill="auto"/>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口径：通过系统检测为疑似异常，且还未处理的案件；</w:t>
            </w:r>
          </w:p>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支持按关键词检索，并展示疑似异常案件列表，支持批量确认正常/异常。</w:t>
            </w:r>
          </w:p>
        </w:tc>
      </w:tr>
      <w:tr>
        <w:tblPrEx>
          <w:tblCellMar>
            <w:top w:w="15" w:type="dxa"/>
            <w:left w:w="15" w:type="dxa"/>
            <w:bottom w:w="15" w:type="dxa"/>
            <w:right w:w="15" w:type="dxa"/>
          </w:tblCellMar>
        </w:tblPrEx>
        <w:trPr>
          <w:trHeight w:val="240" w:hRule="atLeast"/>
        </w:trPr>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案件管理</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异常</w:t>
            </w:r>
          </w:p>
        </w:tc>
        <w:tc>
          <w:tcPr>
            <w:tcW w:w="0" w:type="auto"/>
            <w:shd w:val="clear" w:color="auto" w:fill="auto"/>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口径：人工从疑似异常列表和正常列表确认为异常的案件</w:t>
            </w:r>
            <w:r>
              <w:rPr>
                <w:rFonts w:hint="eastAsia" w:ascii="仿宋_GB2312" w:hAnsi="黑体" w:eastAsia="仿宋_GB2312" w:cs="黑体"/>
                <w:color w:val="auto"/>
                <w:sz w:val="28"/>
                <w:szCs w:val="28"/>
              </w:rPr>
              <w:br w:type="textWrapping"/>
            </w:r>
            <w:r>
              <w:rPr>
                <w:rFonts w:hint="eastAsia" w:ascii="仿宋_GB2312" w:hAnsi="黑体" w:eastAsia="仿宋_GB2312" w:cs="黑体"/>
                <w:color w:val="auto"/>
                <w:sz w:val="28"/>
                <w:szCs w:val="28"/>
              </w:rPr>
              <w:t>支持关键词检索，并展示异常案件列表</w:t>
            </w:r>
          </w:p>
        </w:tc>
      </w:tr>
      <w:tr>
        <w:tblPrEx>
          <w:tblCellMar>
            <w:top w:w="15" w:type="dxa"/>
            <w:left w:w="15" w:type="dxa"/>
            <w:bottom w:w="15" w:type="dxa"/>
            <w:right w:w="15" w:type="dxa"/>
          </w:tblCellMar>
        </w:tblPrEx>
        <w:trPr>
          <w:trHeight w:val="240" w:hRule="atLeast"/>
        </w:trPr>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案件管理</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正常</w:t>
            </w:r>
          </w:p>
        </w:tc>
        <w:tc>
          <w:tcPr>
            <w:tcW w:w="0" w:type="auto"/>
            <w:shd w:val="clear" w:color="auto" w:fill="auto"/>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口径：系统未检测出疑似异常的案件默认为正常的案件，系统监测出疑似异常人工确认为正常的案件</w:t>
            </w:r>
            <w:r>
              <w:rPr>
                <w:rFonts w:hint="eastAsia" w:ascii="仿宋_GB2312" w:hAnsi="黑体" w:eastAsia="仿宋_GB2312" w:cs="黑体"/>
                <w:color w:val="auto"/>
                <w:sz w:val="28"/>
                <w:szCs w:val="28"/>
              </w:rPr>
              <w:br w:type="textWrapping"/>
            </w:r>
            <w:r>
              <w:rPr>
                <w:rFonts w:hint="eastAsia" w:ascii="仿宋_GB2312" w:hAnsi="黑体" w:eastAsia="仿宋_GB2312" w:cs="黑体"/>
                <w:color w:val="auto"/>
                <w:sz w:val="28"/>
                <w:szCs w:val="28"/>
              </w:rPr>
              <w:t>支持关键词检索，并展示正常案件列表</w:t>
            </w:r>
          </w:p>
        </w:tc>
      </w:tr>
      <w:tr>
        <w:tblPrEx>
          <w:tblCellMar>
            <w:top w:w="15" w:type="dxa"/>
            <w:left w:w="15" w:type="dxa"/>
            <w:bottom w:w="15" w:type="dxa"/>
            <w:right w:w="15" w:type="dxa"/>
          </w:tblCellMar>
        </w:tblPrEx>
        <w:trPr>
          <w:trHeight w:val="240" w:hRule="atLeast"/>
        </w:trPr>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案件详情</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案件详情列表</w:t>
            </w:r>
          </w:p>
        </w:tc>
        <w:tc>
          <w:tcPr>
            <w:tcW w:w="0" w:type="auto"/>
            <w:shd w:val="clear" w:color="auto" w:fill="auto"/>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展示案件的属性信息</w:t>
            </w:r>
          </w:p>
        </w:tc>
      </w:tr>
      <w:tr>
        <w:tblPrEx>
          <w:tblCellMar>
            <w:top w:w="15" w:type="dxa"/>
            <w:left w:w="15" w:type="dxa"/>
            <w:bottom w:w="15" w:type="dxa"/>
            <w:right w:w="15" w:type="dxa"/>
          </w:tblCellMar>
        </w:tblPrEx>
        <w:trPr>
          <w:trHeight w:val="240" w:hRule="atLeast"/>
        </w:trPr>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案件详情</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案件处理</w:t>
            </w:r>
          </w:p>
        </w:tc>
        <w:tc>
          <w:tcPr>
            <w:tcW w:w="0" w:type="auto"/>
            <w:shd w:val="clear" w:color="auto" w:fill="auto"/>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疑似异常的案件可以处理为异常/正常，如果处理成正常，点击确认正常，对应的案件状态进行修改，如果处理成异常，点击确认异常，同时选择异常类型（支持多选，默认将疑似异常判断的类型勾选上，本次项目异常类型支持4种左右）若异常的类型用户选择的时候未覆盖全，可以选择其它，再填写信息。</w:t>
            </w:r>
          </w:p>
        </w:tc>
      </w:tr>
      <w:tr>
        <w:tblPrEx>
          <w:tblCellMar>
            <w:top w:w="15" w:type="dxa"/>
            <w:left w:w="15" w:type="dxa"/>
            <w:bottom w:w="15" w:type="dxa"/>
            <w:right w:w="15" w:type="dxa"/>
          </w:tblCellMar>
        </w:tblPrEx>
        <w:trPr>
          <w:trHeight w:val="240" w:hRule="atLeast"/>
        </w:trPr>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案件详情</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案件智能推荐</w:t>
            </w:r>
          </w:p>
        </w:tc>
        <w:tc>
          <w:tcPr>
            <w:tcW w:w="0" w:type="auto"/>
            <w:shd w:val="clear" w:color="auto" w:fill="auto"/>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在案件详情的右侧，为相似案件的推荐。</w:t>
            </w:r>
          </w:p>
        </w:tc>
      </w:tr>
      <w:tr>
        <w:tblPrEx>
          <w:tblCellMar>
            <w:top w:w="15" w:type="dxa"/>
            <w:left w:w="15" w:type="dxa"/>
            <w:bottom w:w="15" w:type="dxa"/>
            <w:right w:w="15" w:type="dxa"/>
          </w:tblCellMar>
        </w:tblPrEx>
        <w:trPr>
          <w:trHeight w:val="240" w:hRule="atLeast"/>
        </w:trPr>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案件详情</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案件关联分析</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以该案件为中心，默认展示一度关联关系，支持筛选。</w:t>
            </w:r>
          </w:p>
        </w:tc>
      </w:tr>
      <w:tr>
        <w:tblPrEx>
          <w:tblCellMar>
            <w:top w:w="15" w:type="dxa"/>
            <w:left w:w="15" w:type="dxa"/>
            <w:bottom w:w="15" w:type="dxa"/>
            <w:right w:w="15" w:type="dxa"/>
          </w:tblCellMar>
        </w:tblPrEx>
        <w:trPr>
          <w:trHeight w:val="240" w:hRule="atLeast"/>
        </w:trPr>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关联分析</w:t>
            </w:r>
          </w:p>
        </w:tc>
        <w:tc>
          <w:tcPr>
            <w:tcW w:w="0" w:type="auto"/>
            <w:shd w:val="clear" w:color="auto" w:fill="auto"/>
            <w:noWrap/>
            <w:vAlign w:val="center"/>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基本功能</w:t>
            </w:r>
          </w:p>
        </w:tc>
        <w:tc>
          <w:tcPr>
            <w:tcW w:w="0" w:type="auto"/>
            <w:shd w:val="clear" w:color="auto" w:fill="auto"/>
            <w:vAlign w:val="center"/>
          </w:tcPr>
          <w:p>
            <w:pPr>
              <w:numPr>
                <w:ilvl w:val="0"/>
                <w:numId w:val="2"/>
              </w:numPr>
              <w:rPr>
                <w:rFonts w:ascii="仿宋_GB2312" w:hAnsi="黑体" w:eastAsia="仿宋_GB2312" w:cs="黑体"/>
                <w:color w:val="auto"/>
                <w:sz w:val="28"/>
                <w:szCs w:val="28"/>
              </w:rPr>
            </w:pPr>
            <w:r>
              <w:rPr>
                <w:rFonts w:hint="eastAsia" w:ascii="仿宋_GB2312" w:hAnsi="黑体" w:eastAsia="仿宋_GB2312" w:cs="黑体"/>
                <w:color w:val="auto"/>
                <w:sz w:val="28"/>
                <w:szCs w:val="28"/>
              </w:rPr>
              <w:t>除了案件，可以搜索其他的关联对象，比如定损员等，以搜索的实体为中心展开关联关系。</w:t>
            </w:r>
            <w:r>
              <w:rPr>
                <w:rFonts w:hint="eastAsia" w:ascii="仿宋_GB2312" w:hAnsi="黑体" w:eastAsia="仿宋_GB2312" w:cs="黑体"/>
                <w:color w:val="auto"/>
                <w:sz w:val="28"/>
                <w:szCs w:val="28"/>
              </w:rPr>
              <w:br w:type="textWrapping"/>
            </w:r>
            <w:r>
              <w:rPr>
                <w:rFonts w:hint="eastAsia" w:ascii="仿宋_GB2312" w:hAnsi="黑体" w:eastAsia="仿宋_GB2312" w:cs="黑体"/>
                <w:color w:val="auto"/>
                <w:sz w:val="28"/>
                <w:szCs w:val="28"/>
              </w:rPr>
              <w:t>2、最短路径查询；</w:t>
            </w:r>
          </w:p>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3、放大、缩小、清除等基本功能。</w:t>
            </w:r>
          </w:p>
        </w:tc>
      </w:tr>
    </w:tbl>
    <w:p>
      <w:pPr>
        <w:rPr>
          <w:rFonts w:ascii="仿宋_GB2312" w:hAnsi="黑体" w:eastAsia="仿宋_GB2312" w:cs="黑体"/>
          <w:b/>
          <w:color w:val="auto"/>
          <w:sz w:val="28"/>
          <w:szCs w:val="28"/>
        </w:rPr>
      </w:pPr>
    </w:p>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第三部分 软件运行环境</w:t>
      </w:r>
    </w:p>
    <w:p>
      <w:pPr>
        <w:pStyle w:val="6"/>
        <w:numPr>
          <w:ilvl w:val="0"/>
          <w:numId w:val="3"/>
        </w:numPr>
        <w:ind w:firstLineChars="0"/>
        <w:rPr>
          <w:rFonts w:ascii="仿宋_GB2312" w:hAnsi="黑体" w:eastAsia="仿宋_GB2312" w:cs="黑体"/>
          <w:color w:val="auto"/>
          <w:sz w:val="28"/>
          <w:szCs w:val="28"/>
        </w:rPr>
      </w:pPr>
      <w:r>
        <w:rPr>
          <w:rFonts w:hint="eastAsia" w:ascii="仿宋_GB2312" w:hAnsi="黑体" w:eastAsia="仿宋_GB2312" w:cs="黑体"/>
          <w:color w:val="auto"/>
          <w:sz w:val="28"/>
          <w:szCs w:val="28"/>
        </w:rPr>
        <w:t>硬件环境要求：</w:t>
      </w:r>
    </w:p>
    <w:tbl>
      <w:tblPr>
        <w:tblStyle w:val="7"/>
        <w:tblW w:w="0" w:type="auto"/>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top w:w="0" w:type="dxa"/>
          <w:left w:w="108" w:type="dxa"/>
          <w:bottom w:w="0" w:type="dxa"/>
          <w:right w:w="108" w:type="dxa"/>
        </w:tblCellMar>
      </w:tblPr>
      <w:tblGrid>
        <w:gridCol w:w="2547"/>
        <w:gridCol w:w="4791"/>
      </w:tblGrid>
      <w:tr>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2547" w:type="dxa"/>
            <w:tcBorders>
              <w:bottom w:val="single" w:color="666666" w:themeColor="text1" w:themeTint="99" w:sz="12" w:space="0"/>
              <w:insideH w:val="single" w:sz="12" w:space="0"/>
            </w:tcBorders>
          </w:tcPr>
          <w:p>
            <w:pPr>
              <w:rPr>
                <w:rFonts w:ascii="仿宋_GB2312" w:hAnsi="黑体" w:eastAsia="仿宋_GB2312" w:cs="黑体"/>
                <w:b w:val="0"/>
                <w:bCs w:val="0"/>
                <w:color w:val="auto"/>
                <w:sz w:val="28"/>
                <w:szCs w:val="28"/>
              </w:rPr>
            </w:pPr>
            <w:r>
              <w:rPr>
                <w:rFonts w:hint="eastAsia" w:ascii="仿宋_GB2312" w:hAnsi="黑体" w:eastAsia="仿宋_GB2312" w:cs="黑体"/>
                <w:b/>
                <w:bCs/>
                <w:color w:val="auto"/>
                <w:sz w:val="28"/>
                <w:szCs w:val="28"/>
              </w:rPr>
              <w:t>项目</w:t>
            </w:r>
          </w:p>
        </w:tc>
        <w:tc>
          <w:tcPr>
            <w:tcW w:w="4791" w:type="dxa"/>
            <w:tcBorders>
              <w:bottom w:val="single" w:color="666666" w:themeColor="text1" w:themeTint="99" w:sz="12" w:space="0"/>
              <w:insideH w:val="single" w:sz="12" w:space="0"/>
            </w:tcBorders>
          </w:tcPr>
          <w:p>
            <w:pPr>
              <w:rPr>
                <w:rFonts w:ascii="仿宋_GB2312" w:hAnsi="黑体" w:eastAsia="仿宋_GB2312" w:cs="黑体"/>
                <w:b w:val="0"/>
                <w:bCs w:val="0"/>
                <w:color w:val="auto"/>
                <w:sz w:val="28"/>
                <w:szCs w:val="28"/>
              </w:rPr>
            </w:pPr>
            <w:r>
              <w:rPr>
                <w:rFonts w:hint="eastAsia" w:ascii="仿宋_GB2312" w:hAnsi="黑体" w:eastAsia="仿宋_GB2312" w:cs="黑体"/>
                <w:b/>
                <w:bCs/>
                <w:color w:val="auto"/>
                <w:sz w:val="28"/>
                <w:szCs w:val="28"/>
              </w:rPr>
              <w:t>需求</w:t>
            </w:r>
          </w:p>
        </w:tc>
      </w:tr>
      <w:tr>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2547" w:type="dxa"/>
          </w:tcPr>
          <w:p>
            <w:pPr>
              <w:rPr>
                <w:rFonts w:ascii="仿宋_GB2312" w:hAnsi="黑体" w:eastAsia="仿宋_GB2312" w:cs="黑体"/>
                <w:b/>
                <w:bCs/>
                <w:color w:val="auto"/>
                <w:sz w:val="28"/>
                <w:szCs w:val="28"/>
              </w:rPr>
            </w:pPr>
            <w:r>
              <w:rPr>
                <w:rFonts w:hint="eastAsia" w:ascii="仿宋_GB2312" w:hAnsi="黑体" w:eastAsia="仿宋_GB2312" w:cs="黑体"/>
                <w:b w:val="0"/>
                <w:bCs w:val="0"/>
                <w:color w:val="auto"/>
                <w:sz w:val="28"/>
                <w:szCs w:val="28"/>
              </w:rPr>
              <w:t>操作系统</w:t>
            </w:r>
          </w:p>
        </w:tc>
        <w:tc>
          <w:tcPr>
            <w:tcW w:w="4791" w:type="dxa"/>
          </w:tcPr>
          <w:p>
            <w:pPr>
              <w:rPr>
                <w:rFonts w:ascii="仿宋_GB2312" w:hAnsi="黑体" w:eastAsia="仿宋_GB2312" w:cs="黑体"/>
                <w:color w:val="auto"/>
                <w:sz w:val="28"/>
                <w:szCs w:val="28"/>
              </w:rPr>
            </w:pPr>
            <w:r>
              <w:rPr>
                <w:rFonts w:ascii="仿宋_GB2312" w:hAnsi="黑体" w:eastAsia="仿宋_GB2312" w:cs="黑体"/>
                <w:color w:val="auto"/>
                <w:sz w:val="28"/>
                <w:szCs w:val="28"/>
              </w:rPr>
              <w:t>centos7.6</w:t>
            </w:r>
            <w:r>
              <w:rPr>
                <w:rFonts w:hint="eastAsia" w:ascii="仿宋_GB2312" w:hAnsi="黑体" w:eastAsia="仿宋_GB2312" w:cs="黑体"/>
                <w:color w:val="auto"/>
                <w:sz w:val="28"/>
                <w:szCs w:val="28"/>
              </w:rPr>
              <w:t>及</w:t>
            </w:r>
            <w:r>
              <w:rPr>
                <w:rFonts w:ascii="仿宋_GB2312" w:hAnsi="黑体" w:eastAsia="仿宋_GB2312" w:cs="黑体"/>
                <w:color w:val="auto"/>
                <w:sz w:val="28"/>
                <w:szCs w:val="28"/>
              </w:rPr>
              <w:t>以上的64位系统</w:t>
            </w:r>
          </w:p>
        </w:tc>
      </w:tr>
      <w:tr>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2547" w:type="dxa"/>
          </w:tcPr>
          <w:p>
            <w:pPr>
              <w:rPr>
                <w:rFonts w:ascii="仿宋_GB2312" w:hAnsi="黑体" w:eastAsia="仿宋_GB2312" w:cs="黑体"/>
                <w:b/>
                <w:bCs/>
                <w:color w:val="auto"/>
                <w:sz w:val="28"/>
                <w:szCs w:val="28"/>
              </w:rPr>
            </w:pPr>
            <w:r>
              <w:rPr>
                <w:rFonts w:hint="eastAsia" w:ascii="仿宋_GB2312" w:hAnsi="黑体" w:eastAsia="仿宋_GB2312" w:cs="黑体"/>
                <w:b w:val="0"/>
                <w:bCs w:val="0"/>
                <w:color w:val="auto"/>
                <w:sz w:val="28"/>
                <w:szCs w:val="28"/>
              </w:rPr>
              <w:t>内存</w:t>
            </w:r>
          </w:p>
        </w:tc>
        <w:tc>
          <w:tcPr>
            <w:tcW w:w="4791" w:type="dxa"/>
          </w:tcPr>
          <w:p>
            <w:pPr>
              <w:rPr>
                <w:rFonts w:ascii="仿宋_GB2312" w:hAnsi="黑体" w:eastAsia="仿宋_GB2312" w:cs="黑体"/>
                <w:color w:val="auto"/>
                <w:sz w:val="28"/>
                <w:szCs w:val="28"/>
              </w:rPr>
            </w:pPr>
            <w:r>
              <w:rPr>
                <w:rFonts w:ascii="仿宋_GB2312" w:hAnsi="黑体" w:eastAsia="仿宋_GB2312" w:cs="黑体"/>
                <w:color w:val="auto"/>
                <w:sz w:val="28"/>
                <w:szCs w:val="28"/>
              </w:rPr>
              <w:t>64G</w:t>
            </w:r>
            <w:r>
              <w:rPr>
                <w:rFonts w:hint="eastAsia" w:ascii="仿宋_GB2312" w:hAnsi="黑体" w:eastAsia="仿宋_GB2312" w:cs="黑体"/>
                <w:color w:val="auto"/>
                <w:sz w:val="28"/>
                <w:szCs w:val="28"/>
              </w:rPr>
              <w:t>及以上</w:t>
            </w:r>
          </w:p>
        </w:tc>
      </w:tr>
      <w:tr>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2547" w:type="dxa"/>
          </w:tcPr>
          <w:p>
            <w:pPr>
              <w:rPr>
                <w:rFonts w:ascii="仿宋_GB2312" w:hAnsi="黑体" w:eastAsia="仿宋_GB2312" w:cs="黑体"/>
                <w:b/>
                <w:bCs/>
                <w:color w:val="auto"/>
                <w:sz w:val="28"/>
                <w:szCs w:val="28"/>
              </w:rPr>
            </w:pPr>
            <w:r>
              <w:rPr>
                <w:rFonts w:hint="eastAsia" w:ascii="仿宋_GB2312" w:hAnsi="黑体" w:eastAsia="仿宋_GB2312" w:cs="黑体"/>
                <w:b w:val="0"/>
                <w:bCs w:val="0"/>
                <w:color w:val="auto"/>
                <w:sz w:val="28"/>
                <w:szCs w:val="28"/>
              </w:rPr>
              <w:t>CPU</w:t>
            </w:r>
          </w:p>
        </w:tc>
        <w:tc>
          <w:tcPr>
            <w:tcW w:w="4791"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8</w:t>
            </w:r>
            <w:r>
              <w:rPr>
                <w:rFonts w:ascii="仿宋_GB2312" w:hAnsi="黑体" w:eastAsia="仿宋_GB2312" w:cs="黑体"/>
                <w:color w:val="auto"/>
                <w:sz w:val="28"/>
                <w:szCs w:val="28"/>
              </w:rPr>
              <w:t>核</w:t>
            </w:r>
            <w:r>
              <w:rPr>
                <w:rFonts w:hint="eastAsia" w:ascii="仿宋_GB2312" w:hAnsi="黑体" w:eastAsia="仿宋_GB2312" w:cs="黑体"/>
                <w:color w:val="auto"/>
                <w:sz w:val="28"/>
                <w:szCs w:val="28"/>
              </w:rPr>
              <w:t>及</w:t>
            </w:r>
            <w:r>
              <w:rPr>
                <w:rFonts w:ascii="仿宋_GB2312" w:hAnsi="黑体" w:eastAsia="仿宋_GB2312" w:cs="黑体"/>
                <w:color w:val="auto"/>
                <w:sz w:val="28"/>
                <w:szCs w:val="28"/>
              </w:rPr>
              <w:t>以上</w:t>
            </w:r>
          </w:p>
        </w:tc>
      </w:tr>
      <w:tr>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2547" w:type="dxa"/>
          </w:tcPr>
          <w:p>
            <w:pPr>
              <w:rPr>
                <w:rFonts w:ascii="仿宋_GB2312" w:hAnsi="黑体" w:eastAsia="仿宋_GB2312" w:cs="黑体"/>
                <w:b/>
                <w:bCs/>
                <w:color w:val="auto"/>
                <w:sz w:val="28"/>
                <w:szCs w:val="28"/>
              </w:rPr>
            </w:pPr>
            <w:r>
              <w:rPr>
                <w:rFonts w:hint="eastAsia" w:ascii="仿宋_GB2312" w:hAnsi="黑体" w:eastAsia="仿宋_GB2312" w:cs="黑体"/>
                <w:b w:val="0"/>
                <w:bCs w:val="0"/>
                <w:color w:val="auto"/>
                <w:sz w:val="28"/>
                <w:szCs w:val="28"/>
              </w:rPr>
              <w:t>磁盘</w:t>
            </w:r>
          </w:p>
        </w:tc>
        <w:tc>
          <w:tcPr>
            <w:tcW w:w="4791" w:type="dxa"/>
          </w:tcPr>
          <w:p>
            <w:pPr>
              <w:rPr>
                <w:rFonts w:ascii="仿宋_GB2312" w:hAnsi="黑体" w:eastAsia="仿宋_GB2312" w:cs="黑体"/>
                <w:color w:val="auto"/>
                <w:sz w:val="28"/>
                <w:szCs w:val="28"/>
              </w:rPr>
            </w:pPr>
            <w:r>
              <w:rPr>
                <w:rFonts w:ascii="仿宋_GB2312" w:hAnsi="黑体" w:eastAsia="仿宋_GB2312" w:cs="黑体"/>
                <w:color w:val="auto"/>
                <w:sz w:val="28"/>
                <w:szCs w:val="28"/>
              </w:rPr>
              <w:t>1</w:t>
            </w:r>
            <w:r>
              <w:rPr>
                <w:rFonts w:hint="eastAsia" w:ascii="仿宋_GB2312" w:hAnsi="黑体" w:eastAsia="仿宋_GB2312" w:cs="黑体"/>
                <w:color w:val="auto"/>
                <w:sz w:val="28"/>
                <w:szCs w:val="28"/>
              </w:rPr>
              <w:t>T及以上</w:t>
            </w:r>
          </w:p>
        </w:tc>
      </w:tr>
    </w:tbl>
    <w:p>
      <w:pPr>
        <w:rPr>
          <w:rFonts w:ascii="仿宋_GB2312" w:hAnsi="黑体" w:eastAsia="仿宋_GB2312" w:cs="黑体"/>
          <w:color w:val="auto"/>
          <w:sz w:val="28"/>
          <w:szCs w:val="28"/>
        </w:rPr>
      </w:pPr>
    </w:p>
    <w:p>
      <w:pPr>
        <w:pStyle w:val="6"/>
        <w:numPr>
          <w:ilvl w:val="0"/>
          <w:numId w:val="3"/>
        </w:numPr>
        <w:ind w:firstLineChars="0"/>
        <w:rPr>
          <w:rFonts w:ascii="仿宋_GB2312" w:hAnsi="黑体" w:eastAsia="仿宋_GB2312" w:cs="黑体"/>
          <w:color w:val="auto"/>
          <w:sz w:val="28"/>
          <w:szCs w:val="28"/>
        </w:rPr>
      </w:pPr>
      <w:r>
        <w:rPr>
          <w:rFonts w:hint="eastAsia" w:ascii="仿宋_GB2312" w:hAnsi="黑体" w:eastAsia="仿宋_GB2312" w:cs="黑体"/>
          <w:color w:val="auto"/>
          <w:sz w:val="28"/>
          <w:szCs w:val="28"/>
        </w:rPr>
        <w:t>软件环境要求：</w:t>
      </w:r>
    </w:p>
    <w:tbl>
      <w:tblPr>
        <w:tblStyle w:val="7"/>
        <w:tblW w:w="0" w:type="auto"/>
        <w:tblInd w:w="0" w:type="dxa"/>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Layout w:type="autofit"/>
        <w:tblCellMar>
          <w:top w:w="0" w:type="dxa"/>
          <w:left w:w="108" w:type="dxa"/>
          <w:bottom w:w="0" w:type="dxa"/>
          <w:right w:w="108" w:type="dxa"/>
        </w:tblCellMar>
      </w:tblPr>
      <w:tblGrid>
        <w:gridCol w:w="2518"/>
        <w:gridCol w:w="4820"/>
      </w:tblGrid>
      <w:tr>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2518" w:type="dxa"/>
            <w:tcBorders>
              <w:bottom w:val="single" w:color="666666" w:themeColor="text1" w:themeTint="99" w:sz="12" w:space="0"/>
              <w:insideH w:val="single" w:sz="12" w:space="0"/>
            </w:tcBorders>
          </w:tcPr>
          <w:p>
            <w:pPr>
              <w:rPr>
                <w:rFonts w:ascii="仿宋_GB2312" w:hAnsi="黑体" w:eastAsia="仿宋_GB2312" w:cs="黑体"/>
                <w:b w:val="0"/>
                <w:bCs w:val="0"/>
                <w:color w:val="auto"/>
                <w:sz w:val="28"/>
                <w:szCs w:val="28"/>
              </w:rPr>
            </w:pPr>
            <w:r>
              <w:rPr>
                <w:rFonts w:hint="eastAsia" w:ascii="仿宋_GB2312" w:hAnsi="黑体" w:eastAsia="仿宋_GB2312" w:cs="黑体"/>
                <w:b/>
                <w:bCs/>
                <w:color w:val="auto"/>
                <w:sz w:val="28"/>
                <w:szCs w:val="28"/>
              </w:rPr>
              <w:t>项目</w:t>
            </w:r>
          </w:p>
        </w:tc>
        <w:tc>
          <w:tcPr>
            <w:tcW w:w="4820" w:type="dxa"/>
            <w:tcBorders>
              <w:bottom w:val="single" w:color="666666" w:themeColor="text1" w:themeTint="99" w:sz="12" w:space="0"/>
              <w:insideH w:val="single" w:sz="12" w:space="0"/>
            </w:tcBorders>
          </w:tcPr>
          <w:p>
            <w:pPr>
              <w:rPr>
                <w:rFonts w:ascii="仿宋_GB2312" w:hAnsi="黑体" w:eastAsia="仿宋_GB2312" w:cs="黑体"/>
                <w:b w:val="0"/>
                <w:bCs w:val="0"/>
                <w:color w:val="auto"/>
                <w:sz w:val="28"/>
                <w:szCs w:val="28"/>
              </w:rPr>
            </w:pPr>
            <w:r>
              <w:rPr>
                <w:rFonts w:hint="eastAsia" w:ascii="仿宋_GB2312" w:hAnsi="黑体" w:eastAsia="仿宋_GB2312" w:cs="黑体"/>
                <w:b/>
                <w:bCs/>
                <w:color w:val="auto"/>
                <w:sz w:val="28"/>
                <w:szCs w:val="28"/>
              </w:rPr>
              <w:t>版本</w:t>
            </w:r>
          </w:p>
        </w:tc>
      </w:tr>
      <w:tr>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2518" w:type="dxa"/>
          </w:tcPr>
          <w:p>
            <w:pPr>
              <w:rPr>
                <w:rFonts w:ascii="仿宋_GB2312" w:hAnsi="黑体" w:eastAsia="仿宋_GB2312" w:cs="黑体"/>
                <w:b/>
                <w:bCs/>
                <w:color w:val="auto"/>
                <w:sz w:val="28"/>
                <w:szCs w:val="28"/>
              </w:rPr>
            </w:pPr>
            <w:r>
              <w:rPr>
                <w:rFonts w:hint="eastAsia" w:ascii="仿宋_GB2312" w:hAnsi="黑体" w:eastAsia="仿宋_GB2312" w:cs="黑体"/>
                <w:b w:val="0"/>
                <w:bCs w:val="0"/>
                <w:color w:val="auto"/>
                <w:sz w:val="28"/>
                <w:szCs w:val="28"/>
              </w:rPr>
              <w:t>JDK</w:t>
            </w:r>
          </w:p>
        </w:tc>
        <w:tc>
          <w:tcPr>
            <w:tcW w:w="4820" w:type="dxa"/>
          </w:tcPr>
          <w:p>
            <w:pPr>
              <w:rPr>
                <w:rFonts w:ascii="仿宋_GB2312" w:hAnsi="黑体" w:eastAsia="仿宋_GB2312" w:cs="黑体"/>
                <w:color w:val="auto"/>
                <w:sz w:val="28"/>
                <w:szCs w:val="28"/>
              </w:rPr>
            </w:pPr>
            <w:r>
              <w:rPr>
                <w:rFonts w:ascii="仿宋_GB2312" w:hAnsi="黑体" w:eastAsia="仿宋_GB2312" w:cs="黑体"/>
                <w:color w:val="auto"/>
                <w:sz w:val="28"/>
                <w:szCs w:val="28"/>
              </w:rPr>
              <w:t>1.8</w:t>
            </w:r>
          </w:p>
        </w:tc>
      </w:tr>
      <w:tr>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2518" w:type="dxa"/>
          </w:tcPr>
          <w:p>
            <w:pPr>
              <w:rPr>
                <w:rFonts w:ascii="仿宋_GB2312" w:hAnsi="黑体" w:eastAsia="仿宋_GB2312" w:cs="黑体"/>
                <w:b/>
                <w:bCs/>
                <w:color w:val="auto"/>
                <w:sz w:val="28"/>
                <w:szCs w:val="28"/>
              </w:rPr>
            </w:pPr>
            <w:r>
              <w:rPr>
                <w:rFonts w:hint="eastAsia" w:ascii="仿宋_GB2312" w:hAnsi="黑体" w:eastAsia="仿宋_GB2312" w:cs="黑体"/>
                <w:b w:val="0"/>
                <w:bCs w:val="0"/>
                <w:color w:val="auto"/>
                <w:sz w:val="28"/>
                <w:szCs w:val="28"/>
              </w:rPr>
              <w:t>Docker</w:t>
            </w:r>
          </w:p>
        </w:tc>
        <w:tc>
          <w:tcPr>
            <w:tcW w:w="4820" w:type="dxa"/>
          </w:tcPr>
          <w:p>
            <w:pPr>
              <w:rPr>
                <w:rFonts w:ascii="仿宋_GB2312" w:hAnsi="黑体" w:eastAsia="仿宋_GB2312" w:cs="黑体"/>
                <w:color w:val="auto"/>
                <w:sz w:val="28"/>
                <w:szCs w:val="28"/>
              </w:rPr>
            </w:pPr>
            <w:r>
              <w:rPr>
                <w:rFonts w:ascii="仿宋_GB2312" w:hAnsi="黑体" w:eastAsia="仿宋_GB2312" w:cs="黑体"/>
                <w:color w:val="auto"/>
                <w:sz w:val="28"/>
                <w:szCs w:val="28"/>
              </w:rPr>
              <w:t>17.03.0-ce</w:t>
            </w:r>
          </w:p>
        </w:tc>
      </w:tr>
      <w:tr>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2518" w:type="dxa"/>
          </w:tcPr>
          <w:p>
            <w:pPr>
              <w:rPr>
                <w:rFonts w:ascii="仿宋_GB2312" w:hAnsi="黑体" w:eastAsia="仿宋_GB2312" w:cs="黑体"/>
                <w:b/>
                <w:bCs/>
                <w:color w:val="auto"/>
                <w:sz w:val="28"/>
                <w:szCs w:val="28"/>
              </w:rPr>
            </w:pPr>
            <w:r>
              <w:rPr>
                <w:rFonts w:hint="eastAsia" w:ascii="仿宋_GB2312" w:hAnsi="黑体" w:eastAsia="仿宋_GB2312" w:cs="黑体"/>
                <w:b w:val="0"/>
                <w:bCs w:val="0"/>
                <w:color w:val="auto"/>
                <w:sz w:val="28"/>
                <w:szCs w:val="28"/>
              </w:rPr>
              <w:t>MySQL</w:t>
            </w:r>
          </w:p>
        </w:tc>
        <w:tc>
          <w:tcPr>
            <w:tcW w:w="4820" w:type="dxa"/>
          </w:tcPr>
          <w:p>
            <w:pPr>
              <w:rPr>
                <w:rFonts w:ascii="仿宋_GB2312" w:hAnsi="黑体" w:eastAsia="仿宋_GB2312" w:cs="黑体"/>
                <w:color w:val="auto"/>
                <w:sz w:val="28"/>
                <w:szCs w:val="28"/>
              </w:rPr>
            </w:pPr>
            <w:r>
              <w:rPr>
                <w:rFonts w:ascii="仿宋_GB2312" w:hAnsi="黑体" w:eastAsia="仿宋_GB2312" w:cs="黑体"/>
                <w:color w:val="auto"/>
                <w:sz w:val="28"/>
                <w:szCs w:val="28"/>
              </w:rPr>
              <w:t>5</w:t>
            </w:r>
            <w:r>
              <w:rPr>
                <w:rFonts w:hint="eastAsia" w:ascii="仿宋_GB2312" w:hAnsi="黑体" w:eastAsia="仿宋_GB2312" w:cs="黑体"/>
                <w:color w:val="auto"/>
                <w:sz w:val="28"/>
                <w:szCs w:val="28"/>
              </w:rPr>
              <w:t>.</w:t>
            </w:r>
            <w:r>
              <w:rPr>
                <w:rFonts w:ascii="仿宋_GB2312" w:hAnsi="黑体" w:eastAsia="仿宋_GB2312" w:cs="黑体"/>
                <w:color w:val="auto"/>
                <w:sz w:val="28"/>
                <w:szCs w:val="28"/>
              </w:rPr>
              <w:t>7</w:t>
            </w:r>
          </w:p>
        </w:tc>
      </w:tr>
      <w:tr>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2518" w:type="dxa"/>
          </w:tcPr>
          <w:p>
            <w:pPr>
              <w:rPr>
                <w:rFonts w:ascii="仿宋_GB2312" w:hAnsi="黑体" w:eastAsia="仿宋_GB2312" w:cs="黑体"/>
                <w:b/>
                <w:bCs/>
                <w:color w:val="auto"/>
                <w:sz w:val="28"/>
                <w:szCs w:val="28"/>
              </w:rPr>
            </w:pPr>
            <w:r>
              <w:rPr>
                <w:rFonts w:ascii="仿宋_GB2312" w:hAnsi="黑体" w:eastAsia="仿宋_GB2312" w:cs="黑体"/>
                <w:b w:val="0"/>
                <w:bCs w:val="0"/>
                <w:color w:val="auto"/>
                <w:sz w:val="28"/>
                <w:szCs w:val="28"/>
              </w:rPr>
              <w:t>Neo4j</w:t>
            </w:r>
          </w:p>
        </w:tc>
        <w:tc>
          <w:tcPr>
            <w:tcW w:w="4820" w:type="dxa"/>
          </w:tcPr>
          <w:p>
            <w:pPr>
              <w:rPr>
                <w:rFonts w:ascii="仿宋_GB2312" w:hAnsi="黑体" w:eastAsia="仿宋_GB2312" w:cs="黑体"/>
                <w:color w:val="auto"/>
                <w:sz w:val="28"/>
                <w:szCs w:val="28"/>
              </w:rPr>
            </w:pPr>
            <w:r>
              <w:rPr>
                <w:rFonts w:ascii="仿宋_GB2312" w:hAnsi="黑体" w:eastAsia="仿宋_GB2312" w:cs="黑体"/>
                <w:color w:val="auto"/>
                <w:sz w:val="28"/>
                <w:szCs w:val="28"/>
              </w:rPr>
              <w:t>3.5.1</w:t>
            </w:r>
          </w:p>
        </w:tc>
      </w:tr>
      <w:tr>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2518" w:type="dxa"/>
          </w:tcPr>
          <w:p>
            <w:pPr>
              <w:rPr>
                <w:rFonts w:ascii="仿宋_GB2312" w:hAnsi="黑体" w:eastAsia="仿宋_GB2312" w:cs="黑体"/>
                <w:b/>
                <w:bCs/>
                <w:color w:val="auto"/>
                <w:sz w:val="28"/>
                <w:szCs w:val="28"/>
              </w:rPr>
            </w:pPr>
            <w:r>
              <w:rPr>
                <w:rFonts w:hint="eastAsia" w:ascii="仿宋_GB2312" w:hAnsi="黑体" w:eastAsia="仿宋_GB2312" w:cs="黑体"/>
                <w:b w:val="0"/>
                <w:bCs w:val="0"/>
                <w:color w:val="auto"/>
                <w:sz w:val="28"/>
                <w:szCs w:val="28"/>
              </w:rPr>
              <w:t>Mongo</w:t>
            </w:r>
            <w:r>
              <w:rPr>
                <w:rFonts w:ascii="仿宋_GB2312" w:hAnsi="黑体" w:eastAsia="仿宋_GB2312" w:cs="黑体"/>
                <w:b w:val="0"/>
                <w:bCs w:val="0"/>
                <w:color w:val="auto"/>
                <w:sz w:val="28"/>
                <w:szCs w:val="28"/>
              </w:rPr>
              <w:t>DB</w:t>
            </w:r>
          </w:p>
        </w:tc>
        <w:tc>
          <w:tcPr>
            <w:tcW w:w="4820"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4.</w:t>
            </w:r>
            <w:r>
              <w:rPr>
                <w:rFonts w:ascii="仿宋_GB2312" w:hAnsi="黑体" w:eastAsia="仿宋_GB2312" w:cs="黑体"/>
                <w:color w:val="auto"/>
                <w:sz w:val="28"/>
                <w:szCs w:val="28"/>
              </w:rPr>
              <w:t>2.3</w:t>
            </w:r>
          </w:p>
        </w:tc>
      </w:tr>
      <w:tr>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2518" w:type="dxa"/>
          </w:tcPr>
          <w:p>
            <w:pPr>
              <w:rPr>
                <w:rFonts w:ascii="仿宋_GB2312" w:hAnsi="黑体" w:eastAsia="仿宋_GB2312" w:cs="黑体"/>
                <w:b/>
                <w:bCs/>
                <w:color w:val="auto"/>
                <w:sz w:val="28"/>
                <w:szCs w:val="28"/>
              </w:rPr>
            </w:pPr>
            <w:r>
              <w:rPr>
                <w:rFonts w:hint="eastAsia" w:ascii="仿宋_GB2312" w:hAnsi="黑体" w:eastAsia="仿宋_GB2312" w:cs="黑体"/>
                <w:b w:val="0"/>
                <w:bCs w:val="0"/>
                <w:color w:val="auto"/>
                <w:sz w:val="28"/>
                <w:szCs w:val="28"/>
              </w:rPr>
              <w:t>ElasticSearch</w:t>
            </w:r>
          </w:p>
        </w:tc>
        <w:tc>
          <w:tcPr>
            <w:tcW w:w="4820" w:type="dxa"/>
          </w:tcPr>
          <w:p>
            <w:pPr>
              <w:rPr>
                <w:rFonts w:ascii="仿宋_GB2312" w:hAnsi="黑体" w:eastAsia="仿宋_GB2312" w:cs="黑体"/>
                <w:color w:val="auto"/>
                <w:sz w:val="28"/>
                <w:szCs w:val="28"/>
              </w:rPr>
            </w:pPr>
            <w:r>
              <w:rPr>
                <w:rFonts w:ascii="仿宋_GB2312" w:hAnsi="黑体" w:eastAsia="仿宋_GB2312" w:cs="黑体"/>
                <w:color w:val="auto"/>
                <w:sz w:val="28"/>
                <w:szCs w:val="28"/>
              </w:rPr>
              <w:t>7.4.2</w:t>
            </w:r>
          </w:p>
        </w:tc>
      </w:tr>
      <w:tr>
        <w:tblPrEx>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CellMar>
            <w:top w:w="0" w:type="dxa"/>
            <w:left w:w="108" w:type="dxa"/>
            <w:bottom w:w="0" w:type="dxa"/>
            <w:right w:w="108" w:type="dxa"/>
          </w:tblCellMar>
        </w:tblPrEx>
        <w:tc>
          <w:tcPr>
            <w:tcW w:w="2518" w:type="dxa"/>
          </w:tcPr>
          <w:p>
            <w:pPr>
              <w:rPr>
                <w:rFonts w:ascii="仿宋_GB2312" w:hAnsi="黑体" w:eastAsia="仿宋_GB2312" w:cs="黑体"/>
                <w:b/>
                <w:bCs/>
                <w:color w:val="auto"/>
                <w:sz w:val="28"/>
                <w:szCs w:val="28"/>
              </w:rPr>
            </w:pPr>
            <w:r>
              <w:rPr>
                <w:rFonts w:ascii="仿宋_GB2312" w:hAnsi="黑体" w:eastAsia="仿宋_GB2312" w:cs="黑体"/>
                <w:b w:val="0"/>
                <w:bCs w:val="0"/>
                <w:color w:val="auto"/>
                <w:sz w:val="28"/>
                <w:szCs w:val="28"/>
              </w:rPr>
              <w:t>Redis</w:t>
            </w:r>
          </w:p>
        </w:tc>
        <w:tc>
          <w:tcPr>
            <w:tcW w:w="4820"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5</w:t>
            </w:r>
            <w:r>
              <w:rPr>
                <w:rFonts w:ascii="仿宋_GB2312" w:hAnsi="黑体" w:eastAsia="仿宋_GB2312" w:cs="黑体"/>
                <w:color w:val="auto"/>
                <w:sz w:val="28"/>
                <w:szCs w:val="28"/>
              </w:rPr>
              <w:t>.0.7</w:t>
            </w:r>
          </w:p>
        </w:tc>
      </w:tr>
    </w:tbl>
    <w:p>
      <w:pPr>
        <w:rPr>
          <w:rFonts w:ascii="仿宋_GB2312" w:hAnsi="黑体" w:eastAsia="仿宋_GB2312" w:cs="黑体"/>
          <w:color w:val="auto"/>
          <w:sz w:val="28"/>
          <w:szCs w:val="28"/>
        </w:rPr>
      </w:pPr>
    </w:p>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第四部分  实施方案（软件开发进度要求及各阶段应提交的成果）</w:t>
      </w:r>
    </w:p>
    <w:tbl>
      <w:tblPr>
        <w:tblStyle w:val="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31"/>
        <w:gridCol w:w="3218"/>
        <w:gridCol w:w="2125"/>
        <w:gridCol w:w="10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1"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时间点</w:t>
            </w:r>
          </w:p>
        </w:tc>
        <w:tc>
          <w:tcPr>
            <w:tcW w:w="3218"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须完成的工作</w:t>
            </w:r>
          </w:p>
        </w:tc>
        <w:tc>
          <w:tcPr>
            <w:tcW w:w="2125"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应提交的成果</w:t>
            </w:r>
          </w:p>
        </w:tc>
        <w:tc>
          <w:tcPr>
            <w:tcW w:w="1048"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1"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2020年8月15日前</w:t>
            </w:r>
          </w:p>
        </w:tc>
        <w:tc>
          <w:tcPr>
            <w:tcW w:w="3218"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向甲方提交《</w:t>
            </w:r>
            <w:sdt>
              <w:sdtPr>
                <w:rPr>
                  <w:rFonts w:hint="eastAsia" w:ascii="仿宋_GB2312" w:hAnsi="黑体" w:eastAsia="仿宋_GB2312" w:cs="黑体"/>
                  <w:color w:val="auto"/>
                  <w:sz w:val="28"/>
                  <w:szCs w:val="28"/>
                </w:rPr>
                <w:id w:val="-1551293157"/>
                <w:placeholder>
                  <w:docPart w:val="{90e5c23c-9567-4c38-82cd-8182cf0d88e1}"/>
                </w:placeholder>
                <w:text w:multiLine="1"/>
              </w:sdtPr>
              <w:sdtEndPr>
                <w:rPr>
                  <w:rFonts w:hint="eastAsia" w:ascii="仿宋_GB2312" w:hAnsi="黑体" w:eastAsia="仿宋_GB2312" w:cs="黑体"/>
                  <w:color w:val="auto"/>
                  <w:sz w:val="28"/>
                  <w:szCs w:val="28"/>
                </w:rPr>
              </w:sdtEndPr>
              <w:sdtContent>
                <w:r>
                  <w:rPr>
                    <w:rFonts w:hint="eastAsia" w:ascii="仿宋_GB2312" w:hAnsi="黑体" w:eastAsia="仿宋_GB2312" w:cs="黑体"/>
                    <w:color w:val="auto"/>
                    <w:sz w:val="28"/>
                    <w:szCs w:val="28"/>
                  </w:rPr>
                  <w:t>金融保险智能风控平台</w:t>
                </w:r>
              </w:sdtContent>
            </w:sdt>
            <w:r>
              <w:rPr>
                <w:rFonts w:hint="eastAsia" w:ascii="仿宋_GB2312" w:hAnsi="黑体" w:eastAsia="仿宋_GB2312" w:cs="黑体"/>
                <w:color w:val="auto"/>
                <w:sz w:val="28"/>
                <w:szCs w:val="28"/>
              </w:rPr>
              <w:t>项目软件需求设计稿》</w:t>
            </w:r>
          </w:p>
        </w:tc>
        <w:tc>
          <w:tcPr>
            <w:tcW w:w="2125"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w:t>
            </w:r>
            <w:sdt>
              <w:sdtPr>
                <w:rPr>
                  <w:rFonts w:hint="eastAsia" w:ascii="仿宋_GB2312" w:hAnsi="黑体" w:eastAsia="仿宋_GB2312" w:cs="黑体"/>
                  <w:color w:val="auto"/>
                  <w:sz w:val="28"/>
                  <w:szCs w:val="28"/>
                </w:rPr>
                <w:id w:val="-829592498"/>
                <w:placeholder>
                  <w:docPart w:val="{fec3f3d7-84ab-4694-b89d-2ca215c186e6}"/>
                </w:placeholder>
                <w:text w:multiLine="1"/>
              </w:sdtPr>
              <w:sdtEndPr>
                <w:rPr>
                  <w:rFonts w:hint="eastAsia" w:ascii="仿宋_GB2312" w:hAnsi="黑体" w:eastAsia="仿宋_GB2312" w:cs="黑体"/>
                  <w:color w:val="auto"/>
                  <w:sz w:val="28"/>
                  <w:szCs w:val="28"/>
                </w:rPr>
              </w:sdtEndPr>
              <w:sdtContent>
                <w:r>
                  <w:rPr>
                    <w:rFonts w:hint="eastAsia" w:ascii="仿宋_GB2312" w:hAnsi="黑体" w:eastAsia="仿宋_GB2312" w:cs="黑体"/>
                    <w:color w:val="auto"/>
                    <w:sz w:val="28"/>
                    <w:szCs w:val="28"/>
                  </w:rPr>
                  <w:t>金融保险智能风控平台</w:t>
                </w:r>
              </w:sdtContent>
            </w:sdt>
            <w:r>
              <w:rPr>
                <w:rFonts w:hint="eastAsia" w:ascii="仿宋_GB2312" w:hAnsi="黑体" w:eastAsia="仿宋_GB2312" w:cs="黑体"/>
                <w:color w:val="auto"/>
                <w:sz w:val="28"/>
                <w:szCs w:val="28"/>
              </w:rPr>
              <w:t>项目软件需求设计稿》</w:t>
            </w:r>
          </w:p>
        </w:tc>
        <w:tc>
          <w:tcPr>
            <w:tcW w:w="1048" w:type="dxa"/>
          </w:tcPr>
          <w:p>
            <w:pPr>
              <w:jc w:val="left"/>
              <w:rPr>
                <w:rFonts w:ascii="仿宋_GB2312" w:hAnsi="黑体" w:eastAsia="仿宋_GB2312" w:cs="黑体"/>
                <w:color w:val="auto"/>
                <w:sz w:val="28"/>
                <w:szCs w:val="28"/>
              </w:rPr>
            </w:pPr>
            <w:bookmarkStart w:id="0" w:name="_GoBack"/>
            <w:bookmarkEnd w:id="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1"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2020年8月31日前</w:t>
            </w:r>
          </w:p>
        </w:tc>
        <w:tc>
          <w:tcPr>
            <w:tcW w:w="3218"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完成软件开发任务，提交成果由甲方验收</w:t>
            </w:r>
          </w:p>
        </w:tc>
        <w:tc>
          <w:tcPr>
            <w:tcW w:w="2125"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定制开发的源代码、注释及说明书。</w:t>
            </w:r>
          </w:p>
        </w:tc>
        <w:tc>
          <w:tcPr>
            <w:tcW w:w="1048" w:type="dxa"/>
          </w:tcPr>
          <w:p>
            <w:pPr>
              <w:rPr>
                <w:rFonts w:ascii="仿宋_GB2312" w:hAnsi="黑体" w:eastAsia="仿宋_GB2312" w:cs="黑体"/>
                <w:color w:val="auto"/>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1"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验收合格后满1个月</w:t>
            </w:r>
          </w:p>
        </w:tc>
        <w:tc>
          <w:tcPr>
            <w:tcW w:w="3218"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试运行结束且完成软件安装、维护等用户操作与运维的技术培训</w:t>
            </w:r>
          </w:p>
        </w:tc>
        <w:tc>
          <w:tcPr>
            <w:tcW w:w="2125"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软件安装、维护等用户操作与运维的技术培训</w:t>
            </w:r>
          </w:p>
        </w:tc>
        <w:tc>
          <w:tcPr>
            <w:tcW w:w="1048" w:type="dxa"/>
          </w:tcPr>
          <w:p>
            <w:pPr>
              <w:rPr>
                <w:rFonts w:ascii="仿宋_GB2312" w:hAnsi="黑体" w:eastAsia="仿宋_GB2312" w:cs="黑体"/>
                <w:color w:val="auto"/>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31"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验收合格后满1年</w:t>
            </w:r>
          </w:p>
        </w:tc>
        <w:tc>
          <w:tcPr>
            <w:tcW w:w="3218"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支持维护服务</w:t>
            </w:r>
          </w:p>
        </w:tc>
        <w:tc>
          <w:tcPr>
            <w:tcW w:w="2125" w:type="dxa"/>
          </w:tcPr>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维护服务</w:t>
            </w:r>
          </w:p>
        </w:tc>
        <w:tc>
          <w:tcPr>
            <w:tcW w:w="1048" w:type="dxa"/>
          </w:tcPr>
          <w:p>
            <w:pPr>
              <w:rPr>
                <w:rFonts w:ascii="仿宋_GB2312" w:hAnsi="黑体" w:eastAsia="仿宋_GB2312" w:cs="黑体"/>
                <w:color w:val="auto"/>
                <w:sz w:val="28"/>
                <w:szCs w:val="28"/>
              </w:rPr>
            </w:pPr>
          </w:p>
        </w:tc>
      </w:tr>
    </w:tbl>
    <w:p>
      <w:pPr>
        <w:rPr>
          <w:rFonts w:ascii="仿宋_GB2312" w:hAnsi="黑体" w:eastAsia="仿宋_GB2312" w:cs="黑体"/>
          <w:color w:val="auto"/>
          <w:sz w:val="28"/>
          <w:szCs w:val="28"/>
        </w:rPr>
      </w:pPr>
    </w:p>
    <w:p>
      <w:pPr>
        <w:rPr>
          <w:rFonts w:ascii="仿宋_GB2312" w:hAnsi="黑体" w:eastAsia="仿宋_GB2312" w:cs="黑体"/>
          <w:color w:val="auto"/>
          <w:sz w:val="28"/>
          <w:szCs w:val="28"/>
        </w:rPr>
      </w:pPr>
      <w:r>
        <w:rPr>
          <w:rFonts w:hint="eastAsia" w:ascii="仿宋_GB2312" w:hAnsi="黑体" w:eastAsia="仿宋_GB2312" w:cs="黑体"/>
          <w:color w:val="auto"/>
          <w:sz w:val="28"/>
          <w:szCs w:val="28"/>
        </w:rPr>
        <w:t>第五部分 验收标准</w:t>
      </w:r>
    </w:p>
    <w:p>
      <w:pPr>
        <w:pStyle w:val="6"/>
        <w:numPr>
          <w:ilvl w:val="0"/>
          <w:numId w:val="4"/>
        </w:numPr>
        <w:ind w:firstLineChars="0"/>
        <w:rPr>
          <w:rFonts w:ascii="仿宋_GB2312" w:hAnsi="黑体" w:eastAsia="仿宋_GB2312" w:cs="黑体"/>
          <w:color w:val="auto"/>
          <w:sz w:val="28"/>
          <w:szCs w:val="28"/>
        </w:rPr>
      </w:pPr>
      <w:r>
        <w:rPr>
          <w:rFonts w:hint="eastAsia" w:ascii="仿宋_GB2312" w:hAnsi="黑体" w:eastAsia="仿宋_GB2312" w:cs="黑体"/>
          <w:color w:val="auto"/>
          <w:sz w:val="28"/>
          <w:szCs w:val="28"/>
        </w:rPr>
        <w:t>完成本说明书第二部分的业务需求；</w:t>
      </w:r>
    </w:p>
    <w:p>
      <w:pPr>
        <w:pStyle w:val="6"/>
        <w:numPr>
          <w:ilvl w:val="0"/>
          <w:numId w:val="4"/>
        </w:numPr>
        <w:ind w:firstLineChars="0"/>
        <w:rPr>
          <w:rFonts w:ascii="仿宋_GB2312" w:hAnsi="黑体" w:eastAsia="仿宋_GB2312" w:cs="黑体"/>
          <w:color w:val="auto"/>
          <w:sz w:val="28"/>
          <w:szCs w:val="28"/>
        </w:rPr>
      </w:pPr>
      <w:r>
        <w:rPr>
          <w:rFonts w:hint="eastAsia" w:ascii="仿宋_GB2312" w:hAnsi="黑体" w:eastAsia="仿宋_GB2312" w:cs="黑体"/>
          <w:color w:val="auto"/>
          <w:sz w:val="28"/>
          <w:szCs w:val="28"/>
        </w:rPr>
        <w:t>按照本说明书第四部分的要求完成系统部署；</w:t>
      </w:r>
    </w:p>
    <w:p>
      <w:pPr>
        <w:pStyle w:val="6"/>
        <w:numPr>
          <w:ilvl w:val="0"/>
          <w:numId w:val="4"/>
        </w:numPr>
        <w:ind w:firstLineChars="0"/>
        <w:rPr>
          <w:rFonts w:ascii="仿宋_GB2312" w:hAnsi="黑体" w:eastAsia="仿宋_GB2312" w:cs="黑体"/>
          <w:color w:val="auto"/>
          <w:sz w:val="28"/>
          <w:szCs w:val="28"/>
        </w:rPr>
      </w:pPr>
      <w:r>
        <w:rPr>
          <w:rFonts w:hint="eastAsia" w:ascii="仿宋_GB2312" w:hAnsi="黑体" w:eastAsia="仿宋_GB2312" w:cs="黑体"/>
          <w:color w:val="auto"/>
          <w:sz w:val="28"/>
          <w:szCs w:val="28"/>
        </w:rPr>
        <w:t>按照本说明书第五部分的时间要求完成交付、培训和验收；</w:t>
      </w:r>
    </w:p>
    <w:p>
      <w:pPr>
        <w:pStyle w:val="6"/>
        <w:numPr>
          <w:ilvl w:val="0"/>
          <w:numId w:val="4"/>
        </w:numPr>
        <w:ind w:firstLineChars="0"/>
        <w:rPr>
          <w:rFonts w:hint="eastAsia" w:ascii="仿宋_GB2312" w:hAnsi="黑体" w:eastAsia="仿宋_GB2312" w:cs="黑体"/>
          <w:color w:val="auto"/>
          <w:sz w:val="28"/>
          <w:szCs w:val="28"/>
        </w:rPr>
      </w:pPr>
      <w:r>
        <w:rPr>
          <w:rFonts w:hint="eastAsia" w:ascii="仿宋_GB2312" w:hAnsi="黑体" w:eastAsia="仿宋_GB2312" w:cs="黑体"/>
          <w:color w:val="auto"/>
          <w:sz w:val="28"/>
          <w:szCs w:val="28"/>
        </w:rPr>
        <w:t>按照本说明书第二部分的需求提供定制开发的源代码、注释及说明书。</w:t>
      </w:r>
    </w:p>
    <w:p>
      <w:pPr>
        <w:pStyle w:val="6"/>
        <w:numPr>
          <w:ilvl w:val="0"/>
          <w:numId w:val="4"/>
        </w:numPr>
        <w:ind w:firstLineChars="0"/>
        <w:rPr>
          <w:color w:val="auto"/>
        </w:rPr>
      </w:pPr>
      <w:r>
        <w:rPr>
          <w:rFonts w:hint="eastAsia" w:ascii="仿宋_GB2312" w:hAnsi="黑体" w:eastAsia="仿宋_GB2312" w:cs="黑体"/>
          <w:color w:val="auto"/>
          <w:sz w:val="28"/>
          <w:szCs w:val="28"/>
        </w:rPr>
        <w:t>按本说明书第二、三、四部分的要求完成软件开发任务以及用户测试，开发成果应完全符合甲方确定的软件结构和功能需求，并能在甲方提供的样机设备以及其他相同软硬件条件的设备上完全正常运行,源代码及注释说明应清晰可读便于理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E350ED"/>
    <w:multiLevelType w:val="multilevel"/>
    <w:tmpl w:val="33E350ED"/>
    <w:lvl w:ilvl="0" w:tentative="0">
      <w:start w:val="1"/>
      <w:numFmt w:val="japaneseCounting"/>
      <w:lvlText w:val="（%1）"/>
      <w:lvlJc w:val="left"/>
      <w:pPr>
        <w:ind w:left="855" w:hanging="85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B807A4D"/>
    <w:multiLevelType w:val="singleLevel"/>
    <w:tmpl w:val="3B807A4D"/>
    <w:lvl w:ilvl="0" w:tentative="0">
      <w:start w:val="1"/>
      <w:numFmt w:val="decimal"/>
      <w:suff w:val="nothing"/>
      <w:lvlText w:val="%1、"/>
      <w:lvlJc w:val="left"/>
    </w:lvl>
  </w:abstractNum>
  <w:abstractNum w:abstractNumId="2">
    <w:nsid w:val="4BE87382"/>
    <w:multiLevelType w:val="singleLevel"/>
    <w:tmpl w:val="4BE87382"/>
    <w:lvl w:ilvl="0" w:tentative="0">
      <w:start w:val="1"/>
      <w:numFmt w:val="decimal"/>
      <w:suff w:val="nothing"/>
      <w:lvlText w:val="%1、"/>
      <w:lvlJc w:val="left"/>
    </w:lvl>
  </w:abstractNum>
  <w:abstractNum w:abstractNumId="3">
    <w:nsid w:val="62621DDA"/>
    <w:multiLevelType w:val="multilevel"/>
    <w:tmpl w:val="62621DDA"/>
    <w:lvl w:ilvl="0" w:tentative="0">
      <w:start w:val="1"/>
      <w:numFmt w:val="decimal"/>
      <w:lvlText w:val="%1."/>
      <w:lvlJc w:val="left"/>
      <w:pPr>
        <w:ind w:left="360" w:hanging="360"/>
      </w:pPr>
      <w:rPr>
        <w:rFonts w:hint="default"/>
        <w:color w:val="FF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DD1EE4"/>
    <w:rsid w:val="1294195D"/>
    <w:rsid w:val="63DD1EE4"/>
    <w:rsid w:val="77C127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Times New Roman" w:hAnsi="Times New Roman" w:eastAsia="宋体" w:cs="Times New Roman"/>
      <w:spacing w:val="4"/>
      <w:sz w:val="24"/>
      <w:szCs w:val="24"/>
    </w:rPr>
  </w:style>
  <w:style w:type="paragraph" w:styleId="3">
    <w:name w:val="Body Text Indent"/>
    <w:basedOn w:val="1"/>
    <w:qFormat/>
    <w:uiPriority w:val="0"/>
    <w:pPr>
      <w:tabs>
        <w:tab w:val="left" w:pos="540"/>
      </w:tabs>
      <w:spacing w:line="300" w:lineRule="auto"/>
      <w:ind w:left="540" w:leftChars="257"/>
    </w:pPr>
    <w:rPr>
      <w:rFonts w:ascii="Times New Roman" w:hAnsi="Times New Roman" w:eastAsia="宋体" w:cs="Times New Roman"/>
      <w:sz w:val="24"/>
      <w:szCs w:val="24"/>
    </w:rPr>
  </w:style>
  <w:style w:type="paragraph" w:styleId="6">
    <w:name w:val="List Paragraph"/>
    <w:basedOn w:val="1"/>
    <w:qFormat/>
    <w:uiPriority w:val="99"/>
    <w:pPr>
      <w:ind w:firstLine="420" w:firstLineChars="200"/>
    </w:pPr>
  </w:style>
  <w:style w:type="table" w:customStyle="1" w:styleId="7">
    <w:name w:val="网格表 1 浅色1"/>
    <w:basedOn w:val="4"/>
    <w:qFormat/>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0e5c23c-9567-4c38-82cd-8182cf0d88e1}"/>
        <w:style w:val=""/>
        <w:category>
          <w:name w:val="常规"/>
          <w:gallery w:val="placeholder"/>
        </w:category>
        <w:types>
          <w:type w:val="bbPlcHdr"/>
        </w:types>
        <w:behaviors>
          <w:behavior w:val="content"/>
        </w:behaviors>
        <w:description w:val=""/>
        <w:guid w:val="{90e5c23c-9567-4c38-82cd-8182cf0d88e1}"/>
      </w:docPartPr>
      <w:docPartBody>
        <w:p>
          <w:pPr>
            <w:pStyle w:val="2"/>
          </w:pPr>
          <w:r>
            <w:rPr>
              <w:rStyle w:val="3"/>
              <w:rFonts w:hint="eastAsia"/>
            </w:rPr>
            <w:t>单击此处输入文字。</w:t>
          </w:r>
        </w:p>
      </w:docPartBody>
    </w:docPart>
    <w:docPart>
      <w:docPartPr>
        <w:name w:val="{fec3f3d7-84ab-4694-b89d-2ca215c186e6}"/>
        <w:style w:val=""/>
        <w:category>
          <w:name w:val="常规"/>
          <w:gallery w:val="placeholder"/>
        </w:category>
        <w:types>
          <w:type w:val="bbPlcHdr"/>
        </w:types>
        <w:behaviors>
          <w:behavior w:val="content"/>
        </w:behaviors>
        <w:description w:val=""/>
        <w:guid w:val="{fec3f3d7-84ab-4694-b89d-2ca215c186e6}"/>
      </w:docPartPr>
      <w:docPartBody>
        <w:p>
          <w:pPr>
            <w:pStyle w:val="2"/>
          </w:pPr>
          <w:r>
            <w:rPr>
              <w:rStyle w:val="3"/>
              <w:rFonts w:hint="eastAsia"/>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uiPriority="1" w:name="Default Paragraph Font"/>
    <w:lsdException w:qFormat="1" w:unhideWhenUsed="0" w:uiPriority="99" w:name="Placeholder Text"/>
  </w:latentStyles>
  <w:style w:type="character" w:default="1" w:styleId="1">
    <w:name w:val="Default Paragraph Font"/>
    <w:semiHidden/>
    <w:unhideWhenUsed/>
    <w:uiPriority w:val="1"/>
  </w:style>
  <w:style w:type="paragraph" w:customStyle="1" w:styleId="2">
    <w:name w:val="A6261B30A5024ED4985747F659D46B48"/>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styleId="3">
    <w:name w:val="Placeholder Text"/>
    <w:basedOn w:val="1"/>
    <w:semiHidden/>
    <w:qFormat/>
    <w:uiPriority w:val="99"/>
    <w:rPr>
      <w:color w:val="808080"/>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156</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2020-08-05T02:59:00Z</dcterms:created>
  <dc:creator>王海涛^ _ ^</dc:creator>
  <cp:lastModifiedBy>王海涛^ _ ^</cp:lastModifiedBy>
  <dcterms:modified xsi:type="dcterms:W3CDTF">2020-08-06T06:13:26Z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