
<file path=[Content_Types].xml><?xml version="1.0" encoding="utf-8"?>
<Types xmlns="http://schemas.openxmlformats.org/package/2006/content-types">
  <Default Extension="xml" ContentType="application/xml"/>
  <Default Extension="wmf" ContentType="image/x-wmf"/>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eastAsia="宋体" w:cs="宋体"/>
          <w:b/>
          <w:bCs/>
          <w:sz w:val="52"/>
          <w:szCs w:val="52"/>
        </w:rPr>
      </w:pPr>
    </w:p>
    <w:p>
      <w:pPr>
        <w:jc w:val="center"/>
        <w:rPr>
          <w:rFonts w:ascii="宋体" w:hAnsi="宋体" w:eastAsia="宋体" w:cs="宋体"/>
          <w:b/>
          <w:sz w:val="52"/>
          <w:szCs w:val="52"/>
        </w:rPr>
      </w:pPr>
      <w:r>
        <w:rPr>
          <w:rFonts w:hint="eastAsia" w:ascii="宋体" w:hAnsi="宋体" w:eastAsia="宋体" w:cs="宋体"/>
          <w:b/>
          <w:sz w:val="52"/>
          <w:szCs w:val="52"/>
        </w:rPr>
        <w:t>浙江大学国际校区微纳公共平台一期项目</w:t>
      </w:r>
    </w:p>
    <w:p>
      <w:pPr>
        <w:pStyle w:val="25"/>
        <w:rPr>
          <w:rFonts w:ascii="宋体" w:hAnsi="宋体" w:eastAsia="宋体" w:cs="宋体"/>
          <w:b/>
          <w:bCs/>
          <w:color w:val="auto"/>
          <w:sz w:val="52"/>
          <w:szCs w:val="52"/>
        </w:rPr>
      </w:pPr>
    </w:p>
    <w:p>
      <w:pPr>
        <w:pStyle w:val="26"/>
        <w:ind w:left="0"/>
        <w:rPr>
          <w:rFonts w:ascii="宋体" w:hAnsi="宋体" w:eastAsia="宋体" w:cs="宋体"/>
          <w:b/>
          <w:bCs/>
          <w:sz w:val="52"/>
          <w:szCs w:val="52"/>
        </w:rPr>
      </w:pPr>
    </w:p>
    <w:p>
      <w:pPr>
        <w:rPr>
          <w:rFonts w:ascii="宋体" w:hAnsi="宋体" w:eastAsia="宋体" w:cs="宋体"/>
        </w:rPr>
      </w:pPr>
    </w:p>
    <w:p>
      <w:pPr>
        <w:pStyle w:val="27"/>
        <w:ind w:left="0"/>
        <w:rPr>
          <w:rFonts w:ascii="宋体" w:hAnsi="宋体" w:eastAsia="宋体" w:cs="宋体"/>
        </w:rPr>
      </w:pPr>
    </w:p>
    <w:p>
      <w:pPr>
        <w:jc w:val="center"/>
        <w:rPr>
          <w:rFonts w:ascii="宋体" w:hAnsi="宋体" w:eastAsia="宋体" w:cs="宋体"/>
          <w:b/>
          <w:sz w:val="72"/>
          <w:szCs w:val="72"/>
        </w:rPr>
      </w:pPr>
      <w:r>
        <w:rPr>
          <w:rFonts w:hint="eastAsia" w:ascii="宋体" w:hAnsi="宋体" w:eastAsia="宋体" w:cs="宋体"/>
          <w:b/>
          <w:sz w:val="72"/>
          <w:szCs w:val="72"/>
        </w:rPr>
        <w:t>公开招标文件</w:t>
      </w:r>
    </w:p>
    <w:p>
      <w:pPr>
        <w:rPr>
          <w:rFonts w:ascii="宋体" w:hAnsi="宋体" w:eastAsia="宋体" w:cs="宋体"/>
          <w:b/>
          <w:sz w:val="40"/>
          <w:szCs w:val="28"/>
        </w:rPr>
      </w:pPr>
    </w:p>
    <w:p>
      <w:pPr>
        <w:rPr>
          <w:rFonts w:ascii="宋体" w:hAnsi="宋体" w:eastAsia="宋体" w:cs="宋体"/>
          <w:b/>
          <w:sz w:val="40"/>
          <w:szCs w:val="28"/>
        </w:rPr>
      </w:pPr>
    </w:p>
    <w:p>
      <w:pPr>
        <w:pStyle w:val="25"/>
        <w:rPr>
          <w:rFonts w:ascii="宋体" w:hAnsi="宋体" w:eastAsia="宋体" w:cs="宋体"/>
          <w:color w:val="auto"/>
        </w:rPr>
      </w:pPr>
    </w:p>
    <w:p>
      <w:pPr>
        <w:pStyle w:val="25"/>
        <w:rPr>
          <w:rFonts w:ascii="宋体" w:hAnsi="宋体" w:eastAsia="宋体" w:cs="宋体"/>
          <w:color w:val="auto"/>
        </w:rPr>
      </w:pPr>
    </w:p>
    <w:p>
      <w:pPr>
        <w:pStyle w:val="26"/>
        <w:rPr>
          <w:rFonts w:ascii="宋体" w:hAnsi="宋体" w:eastAsia="宋体" w:cs="宋体"/>
        </w:rPr>
      </w:pPr>
    </w:p>
    <w:p>
      <w:pPr>
        <w:rPr>
          <w:rFonts w:ascii="宋体" w:hAnsi="宋体" w:eastAsia="宋体" w:cs="宋体"/>
        </w:rPr>
      </w:pPr>
    </w:p>
    <w:p>
      <w:pPr>
        <w:rPr>
          <w:rFonts w:ascii="宋体" w:hAnsi="宋体" w:eastAsia="宋体" w:cs="宋体"/>
        </w:rPr>
      </w:pPr>
    </w:p>
    <w:p>
      <w:pPr>
        <w:pStyle w:val="25"/>
        <w:rPr>
          <w:rFonts w:ascii="宋体" w:hAnsi="宋体" w:eastAsia="宋体" w:cs="宋体"/>
          <w:color w:val="auto"/>
        </w:rPr>
      </w:pPr>
    </w:p>
    <w:p>
      <w:pPr>
        <w:spacing w:line="360" w:lineRule="auto"/>
        <w:ind w:left="1506" w:hanging="1506" w:hangingChars="500"/>
        <w:rPr>
          <w:rFonts w:ascii="宋体" w:hAnsi="宋体" w:eastAsia="宋体" w:cs="宋体"/>
          <w:b/>
          <w:bCs/>
          <w:sz w:val="30"/>
          <w:szCs w:val="30"/>
        </w:rPr>
      </w:pPr>
      <w:r>
        <w:rPr>
          <w:rFonts w:hint="eastAsia" w:ascii="宋体" w:hAnsi="宋体" w:eastAsia="宋体" w:cs="宋体"/>
          <w:b/>
          <w:bCs/>
          <w:sz w:val="30"/>
          <w:szCs w:val="30"/>
        </w:rPr>
        <w:t>招标项目：浙江大学国际校区微纳公共平台一期项目</w:t>
      </w:r>
    </w:p>
    <w:p>
      <w:pPr>
        <w:spacing w:line="360" w:lineRule="auto"/>
        <w:rPr>
          <w:rFonts w:ascii="宋体" w:hAnsi="宋体" w:eastAsia="宋体" w:cs="宋体"/>
          <w:b/>
          <w:bCs/>
          <w:sz w:val="30"/>
          <w:szCs w:val="30"/>
        </w:rPr>
      </w:pPr>
      <w:r>
        <w:rPr>
          <w:rFonts w:hint="eastAsia" w:ascii="宋体" w:hAnsi="宋体" w:eastAsia="宋体" w:cs="宋体"/>
          <w:b/>
          <w:bCs/>
          <w:sz w:val="30"/>
          <w:szCs w:val="30"/>
        </w:rPr>
        <w:t>招标编号：ZJWSBJ-ZJU-2020074G</w:t>
      </w:r>
    </w:p>
    <w:p>
      <w:pPr>
        <w:spacing w:line="360" w:lineRule="auto"/>
        <w:rPr>
          <w:rFonts w:ascii="宋体" w:hAnsi="宋体" w:eastAsia="宋体" w:cs="宋体"/>
          <w:b/>
          <w:bCs/>
          <w:sz w:val="30"/>
          <w:szCs w:val="30"/>
        </w:rPr>
      </w:pPr>
      <w:r>
        <w:rPr>
          <w:rFonts w:hint="eastAsia" w:ascii="宋体" w:hAnsi="宋体" w:eastAsia="宋体" w:cs="宋体"/>
          <w:b/>
          <w:bCs/>
          <w:sz w:val="30"/>
          <w:szCs w:val="30"/>
        </w:rPr>
        <w:t>招 标 人：浙江大学</w:t>
      </w:r>
    </w:p>
    <w:p>
      <w:pPr>
        <w:spacing w:line="360" w:lineRule="auto"/>
        <w:rPr>
          <w:rFonts w:ascii="宋体" w:hAnsi="宋体" w:eastAsia="宋体" w:cs="宋体"/>
          <w:b/>
          <w:bCs/>
          <w:sz w:val="32"/>
          <w:szCs w:val="32"/>
        </w:rPr>
      </w:pPr>
      <w:r>
        <w:rPr>
          <w:rFonts w:hint="eastAsia" w:ascii="宋体" w:hAnsi="宋体" w:eastAsia="宋体" w:cs="宋体"/>
          <w:b/>
          <w:bCs/>
          <w:sz w:val="32"/>
          <w:szCs w:val="32"/>
        </w:rPr>
        <w:t>代理机构：</w:t>
      </w:r>
      <w:r>
        <w:rPr>
          <w:rFonts w:hint="eastAsia" w:ascii="宋体" w:hAnsi="宋体" w:eastAsia="宋体" w:cs="宋体"/>
          <w:b/>
          <w:bCs/>
          <w:sz w:val="30"/>
          <w:szCs w:val="30"/>
        </w:rPr>
        <w:t>浙江五石工程咨询有限公司</w:t>
      </w:r>
    </w:p>
    <w:p>
      <w:pPr>
        <w:spacing w:line="360" w:lineRule="auto"/>
        <w:rPr>
          <w:rFonts w:ascii="宋体" w:hAnsi="宋体" w:eastAsia="宋体" w:cs="宋体"/>
          <w:b/>
          <w:bCs/>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start="1"/>
          <w:cols w:space="720" w:num="1"/>
          <w:docGrid w:type="lines" w:linePitch="312" w:charSpace="0"/>
        </w:sectPr>
      </w:pPr>
      <w:r>
        <w:rPr>
          <w:rFonts w:hint="eastAsia" w:ascii="宋体" w:hAnsi="宋体" w:eastAsia="宋体" w:cs="宋体"/>
          <w:b/>
          <w:bCs/>
          <w:sz w:val="32"/>
          <w:szCs w:val="32"/>
        </w:rPr>
        <w:t>时    间：</w:t>
      </w:r>
      <w:r>
        <w:rPr>
          <w:rFonts w:hint="eastAsia" w:ascii="宋体" w:hAnsi="宋体" w:eastAsia="宋体" w:cs="宋体"/>
          <w:b/>
          <w:bCs/>
          <w:sz w:val="30"/>
          <w:szCs w:val="30"/>
        </w:rPr>
        <w:t>二〇二〇年九月</w:t>
      </w:r>
    </w:p>
    <w:p>
      <w:pPr>
        <w:tabs>
          <w:tab w:val="center" w:pos="4595"/>
          <w:tab w:val="left" w:pos="5314"/>
        </w:tabs>
        <w:jc w:val="center"/>
        <w:rPr>
          <w:rFonts w:ascii="宋体" w:hAnsi="宋体" w:eastAsia="宋体" w:cs="宋体"/>
        </w:rPr>
      </w:pPr>
      <w:r>
        <w:rPr>
          <w:rFonts w:hint="eastAsia" w:ascii="宋体" w:hAnsi="宋体" w:eastAsia="宋体" w:cs="宋体"/>
        </w:rPr>
        <w:tab/>
      </w:r>
    </w:p>
    <w:sdt>
      <w:sdtPr>
        <w:rPr>
          <w:rFonts w:hint="eastAsia" w:ascii="宋体" w:hAnsi="宋体" w:eastAsia="宋体" w:cs="宋体"/>
          <w:bCs/>
          <w:caps/>
          <w:sz w:val="20"/>
          <w:szCs w:val="20"/>
        </w:rPr>
        <w:id w:val="147465258"/>
        <w:docPartObj>
          <w:docPartGallery w:val="Table of Contents"/>
          <w:docPartUnique/>
        </w:docPartObj>
      </w:sdtPr>
      <w:sdtEndPr>
        <w:rPr>
          <w:rFonts w:hint="eastAsia" w:ascii="宋体" w:hAnsi="宋体" w:eastAsia="宋体" w:cs="宋体"/>
          <w:b/>
          <w:bCs/>
          <w:caps/>
          <w:sz w:val="20"/>
          <w:szCs w:val="20"/>
        </w:rPr>
      </w:sdtEndPr>
      <w:sdtContent>
        <w:p>
          <w:pPr>
            <w:spacing w:line="360" w:lineRule="auto"/>
            <w:jc w:val="center"/>
            <w:rPr>
              <w:rFonts w:ascii="宋体" w:hAnsi="宋体" w:eastAsia="宋体" w:cs="宋体"/>
            </w:rPr>
          </w:pPr>
          <w:r>
            <w:rPr>
              <w:rFonts w:hint="eastAsia" w:ascii="宋体" w:hAnsi="宋体" w:eastAsia="宋体" w:cs="宋体"/>
              <w:b/>
              <w:sz w:val="28"/>
              <w:szCs w:val="28"/>
            </w:rPr>
            <w:t>目    录</w:t>
          </w:r>
        </w:p>
        <w:p>
          <w:pPr>
            <w:pStyle w:val="33"/>
            <w:tabs>
              <w:tab w:val="right" w:leader="dot" w:pos="9070"/>
            </w:tabs>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TOC \o "1-2" \h \u </w:instrText>
          </w:r>
          <w:r>
            <w:rPr>
              <w:rFonts w:hint="eastAsia" w:ascii="宋体" w:hAnsi="宋体" w:cs="宋体"/>
              <w:sz w:val="21"/>
              <w:szCs w:val="21"/>
            </w:rPr>
            <w:fldChar w:fldCharType="separate"/>
          </w:r>
          <w:r>
            <w:rPr>
              <w:sz w:val="21"/>
              <w:szCs w:val="21"/>
            </w:rPr>
            <w:fldChar w:fldCharType="begin"/>
          </w:r>
          <w:r>
            <w:rPr>
              <w:sz w:val="21"/>
              <w:szCs w:val="21"/>
            </w:rPr>
            <w:instrText xml:space="preserve"> HYPERLINK \l "_Toc20689" </w:instrText>
          </w:r>
          <w:r>
            <w:rPr>
              <w:sz w:val="21"/>
              <w:szCs w:val="21"/>
            </w:rPr>
            <w:fldChar w:fldCharType="separate"/>
          </w:r>
          <w:r>
            <w:rPr>
              <w:rFonts w:hint="eastAsia" w:ascii="宋体" w:hAnsi="宋体" w:cs="宋体"/>
              <w:b/>
              <w:sz w:val="21"/>
              <w:szCs w:val="32"/>
            </w:rPr>
            <w:t>第一章  招标公告</w:t>
          </w:r>
          <w:r>
            <w:rPr>
              <w:rFonts w:hint="eastAsia" w:ascii="宋体" w:hAnsi="宋体" w:cs="宋体"/>
              <w:b/>
              <w:sz w:val="21"/>
              <w:szCs w:val="21"/>
            </w:rPr>
            <w:tab/>
          </w:r>
          <w:r>
            <w:rPr>
              <w:rFonts w:hint="eastAsia" w:ascii="宋体" w:hAnsi="宋体" w:cs="宋体"/>
              <w:b/>
              <w:sz w:val="21"/>
              <w:szCs w:val="21"/>
            </w:rPr>
            <w:fldChar w:fldCharType="begin"/>
          </w:r>
          <w:r>
            <w:rPr>
              <w:rFonts w:hint="eastAsia" w:ascii="宋体" w:hAnsi="宋体" w:cs="宋体"/>
              <w:b/>
              <w:sz w:val="21"/>
              <w:szCs w:val="21"/>
            </w:rPr>
            <w:instrText xml:space="preserve"> PAGEREF _Toc20689 </w:instrText>
          </w:r>
          <w:r>
            <w:rPr>
              <w:rFonts w:hint="eastAsia" w:ascii="宋体" w:hAnsi="宋体" w:cs="宋体"/>
              <w:b/>
              <w:sz w:val="21"/>
              <w:szCs w:val="21"/>
            </w:rPr>
            <w:fldChar w:fldCharType="separate"/>
          </w:r>
          <w:r>
            <w:rPr>
              <w:rFonts w:hint="eastAsia" w:ascii="宋体" w:hAnsi="宋体" w:cs="宋体"/>
              <w:b/>
              <w:sz w:val="21"/>
              <w:szCs w:val="21"/>
            </w:rPr>
            <w:t>1</w:t>
          </w:r>
          <w:r>
            <w:rPr>
              <w:rFonts w:hint="eastAsia" w:ascii="宋体" w:hAnsi="宋体" w:cs="宋体"/>
              <w:b/>
              <w:sz w:val="21"/>
              <w:szCs w:val="21"/>
            </w:rPr>
            <w:fldChar w:fldCharType="end"/>
          </w:r>
          <w:r>
            <w:rPr>
              <w:rFonts w:hint="eastAsia" w:ascii="宋体" w:hAnsi="宋体" w:cs="宋体"/>
              <w:b/>
              <w:sz w:val="21"/>
              <w:szCs w:val="21"/>
            </w:rPr>
            <w:fldChar w:fldCharType="end"/>
          </w:r>
        </w:p>
        <w:p>
          <w:pPr>
            <w:pStyle w:val="33"/>
            <w:tabs>
              <w:tab w:val="right" w:leader="dot" w:pos="9070"/>
            </w:tabs>
            <w:spacing w:line="360" w:lineRule="auto"/>
            <w:rPr>
              <w:rFonts w:ascii="宋体" w:hAnsi="宋体" w:cs="宋体"/>
              <w:sz w:val="21"/>
              <w:szCs w:val="21"/>
            </w:rPr>
          </w:pPr>
          <w:r>
            <w:rPr>
              <w:sz w:val="21"/>
              <w:szCs w:val="21"/>
            </w:rPr>
            <w:fldChar w:fldCharType="begin"/>
          </w:r>
          <w:r>
            <w:rPr>
              <w:sz w:val="21"/>
              <w:szCs w:val="21"/>
            </w:rPr>
            <w:instrText xml:space="preserve"> HYPERLINK \l "_Toc6974" </w:instrText>
          </w:r>
          <w:r>
            <w:rPr>
              <w:sz w:val="21"/>
              <w:szCs w:val="21"/>
            </w:rPr>
            <w:fldChar w:fldCharType="separate"/>
          </w:r>
          <w:r>
            <w:rPr>
              <w:rFonts w:hint="eastAsia" w:ascii="宋体" w:hAnsi="宋体" w:cs="宋体"/>
              <w:b/>
              <w:sz w:val="21"/>
              <w:szCs w:val="36"/>
            </w:rPr>
            <w:t>第二章  投标人须知</w:t>
          </w:r>
          <w:r>
            <w:rPr>
              <w:rFonts w:hint="eastAsia" w:ascii="宋体" w:hAnsi="宋体" w:cs="宋体"/>
              <w:b/>
              <w:sz w:val="21"/>
              <w:szCs w:val="21"/>
            </w:rPr>
            <w:tab/>
          </w:r>
          <w:r>
            <w:rPr>
              <w:rFonts w:hint="eastAsia" w:ascii="宋体" w:hAnsi="宋体" w:cs="宋体"/>
              <w:b/>
              <w:sz w:val="21"/>
              <w:szCs w:val="21"/>
            </w:rPr>
            <w:t>4</w:t>
          </w:r>
          <w:r>
            <w:rPr>
              <w:rFonts w:hint="eastAsia" w:ascii="宋体" w:hAnsi="宋体" w:cs="宋体"/>
              <w:b/>
              <w:sz w:val="21"/>
              <w:szCs w:val="21"/>
            </w:rPr>
            <w:fldChar w:fldCharType="end"/>
          </w:r>
        </w:p>
        <w:p>
          <w:pPr>
            <w:pStyle w:val="33"/>
            <w:tabs>
              <w:tab w:val="right" w:leader="dot" w:pos="9070"/>
            </w:tabs>
            <w:spacing w:line="360" w:lineRule="auto"/>
            <w:rPr>
              <w:rFonts w:ascii="宋体" w:hAnsi="宋体" w:cs="宋体"/>
              <w:b/>
              <w:sz w:val="21"/>
              <w:szCs w:val="21"/>
            </w:rPr>
          </w:pPr>
          <w:r>
            <w:rPr>
              <w:sz w:val="21"/>
              <w:szCs w:val="21"/>
            </w:rPr>
            <w:fldChar w:fldCharType="begin"/>
          </w:r>
          <w:r>
            <w:rPr>
              <w:sz w:val="21"/>
              <w:szCs w:val="21"/>
            </w:rPr>
            <w:instrText xml:space="preserve"> HYPERLINK \l "_Toc24632" </w:instrText>
          </w:r>
          <w:r>
            <w:rPr>
              <w:sz w:val="21"/>
              <w:szCs w:val="21"/>
            </w:rPr>
            <w:fldChar w:fldCharType="separate"/>
          </w:r>
          <w:r>
            <w:rPr>
              <w:rFonts w:hint="eastAsia" w:ascii="宋体" w:hAnsi="宋体" w:cs="宋体"/>
              <w:b/>
              <w:sz w:val="21"/>
              <w:szCs w:val="36"/>
            </w:rPr>
            <w:t>第三章  用户需求</w:t>
          </w:r>
          <w:r>
            <w:rPr>
              <w:rFonts w:hint="eastAsia" w:ascii="宋体" w:hAnsi="宋体" w:cs="宋体"/>
              <w:b/>
              <w:sz w:val="21"/>
              <w:szCs w:val="21"/>
            </w:rPr>
            <w:tab/>
          </w:r>
          <w:r>
            <w:rPr>
              <w:rFonts w:hint="eastAsia" w:ascii="宋体" w:hAnsi="宋体" w:cs="宋体"/>
              <w:b/>
              <w:sz w:val="21"/>
              <w:szCs w:val="21"/>
            </w:rPr>
            <w:fldChar w:fldCharType="begin"/>
          </w:r>
          <w:r>
            <w:rPr>
              <w:rFonts w:hint="eastAsia" w:ascii="宋体" w:hAnsi="宋体" w:cs="宋体"/>
              <w:b/>
              <w:sz w:val="21"/>
              <w:szCs w:val="21"/>
            </w:rPr>
            <w:instrText xml:space="preserve"> PAGEREF _Toc24632 </w:instrText>
          </w:r>
          <w:r>
            <w:rPr>
              <w:rFonts w:hint="eastAsia" w:ascii="宋体" w:hAnsi="宋体" w:cs="宋体"/>
              <w:b/>
              <w:sz w:val="21"/>
              <w:szCs w:val="21"/>
            </w:rPr>
            <w:fldChar w:fldCharType="separate"/>
          </w:r>
          <w:r>
            <w:rPr>
              <w:rFonts w:hint="eastAsia" w:ascii="宋体" w:hAnsi="宋体" w:cs="宋体"/>
              <w:b/>
              <w:sz w:val="21"/>
              <w:szCs w:val="21"/>
            </w:rPr>
            <w:t>17</w:t>
          </w:r>
          <w:r>
            <w:rPr>
              <w:rFonts w:hint="eastAsia" w:ascii="宋体" w:hAnsi="宋体" w:cs="宋体"/>
              <w:b/>
              <w:sz w:val="21"/>
              <w:szCs w:val="21"/>
            </w:rPr>
            <w:fldChar w:fldCharType="end"/>
          </w:r>
          <w:r>
            <w:rPr>
              <w:rFonts w:hint="eastAsia" w:ascii="宋体" w:hAnsi="宋体" w:cs="宋体"/>
              <w:b/>
              <w:sz w:val="21"/>
              <w:szCs w:val="21"/>
            </w:rPr>
            <w:fldChar w:fldCharType="end"/>
          </w:r>
        </w:p>
        <w:p>
          <w:pPr>
            <w:pStyle w:val="33"/>
            <w:tabs>
              <w:tab w:val="right" w:leader="dot" w:pos="9070"/>
            </w:tabs>
            <w:spacing w:line="360" w:lineRule="auto"/>
            <w:rPr>
              <w:rFonts w:ascii="宋体" w:hAnsi="宋体" w:cs="宋体"/>
              <w:b/>
              <w:sz w:val="21"/>
              <w:szCs w:val="21"/>
            </w:rPr>
          </w:pPr>
          <w:r>
            <w:rPr>
              <w:sz w:val="21"/>
              <w:szCs w:val="21"/>
            </w:rPr>
            <w:fldChar w:fldCharType="begin"/>
          </w:r>
          <w:r>
            <w:rPr>
              <w:sz w:val="21"/>
              <w:szCs w:val="21"/>
            </w:rPr>
            <w:instrText xml:space="preserve"> HYPERLINK \l "_Toc10581" </w:instrText>
          </w:r>
          <w:r>
            <w:rPr>
              <w:sz w:val="21"/>
              <w:szCs w:val="21"/>
            </w:rPr>
            <w:fldChar w:fldCharType="separate"/>
          </w:r>
          <w:r>
            <w:rPr>
              <w:rFonts w:hint="eastAsia" w:ascii="宋体" w:hAnsi="宋体" w:cs="宋体"/>
              <w:b/>
              <w:sz w:val="21"/>
              <w:szCs w:val="32"/>
            </w:rPr>
            <w:t>第四章  合同条款</w:t>
          </w:r>
          <w:r>
            <w:rPr>
              <w:rFonts w:hint="eastAsia" w:ascii="宋体" w:hAnsi="宋体" w:cs="宋体"/>
              <w:b/>
              <w:sz w:val="21"/>
              <w:szCs w:val="21"/>
            </w:rPr>
            <w:tab/>
          </w:r>
          <w:r>
            <w:rPr>
              <w:rFonts w:hint="eastAsia" w:ascii="宋体" w:hAnsi="宋体" w:cs="宋体"/>
              <w:b/>
              <w:sz w:val="21"/>
              <w:szCs w:val="21"/>
            </w:rPr>
            <w:fldChar w:fldCharType="begin"/>
          </w:r>
          <w:r>
            <w:rPr>
              <w:rFonts w:hint="eastAsia" w:ascii="宋体" w:hAnsi="宋体" w:cs="宋体"/>
              <w:b/>
              <w:sz w:val="21"/>
              <w:szCs w:val="21"/>
            </w:rPr>
            <w:instrText xml:space="preserve"> PAGEREF _Toc10581 </w:instrText>
          </w:r>
          <w:r>
            <w:rPr>
              <w:rFonts w:hint="eastAsia" w:ascii="宋体" w:hAnsi="宋体" w:cs="宋体"/>
              <w:b/>
              <w:sz w:val="21"/>
              <w:szCs w:val="21"/>
            </w:rPr>
            <w:fldChar w:fldCharType="separate"/>
          </w:r>
          <w:r>
            <w:rPr>
              <w:rFonts w:hint="eastAsia" w:ascii="宋体" w:hAnsi="宋体" w:cs="宋体"/>
              <w:b/>
              <w:sz w:val="21"/>
              <w:szCs w:val="21"/>
            </w:rPr>
            <w:t>49</w:t>
          </w:r>
          <w:r>
            <w:rPr>
              <w:rFonts w:hint="eastAsia" w:ascii="宋体" w:hAnsi="宋体" w:cs="宋体"/>
              <w:b/>
              <w:sz w:val="21"/>
              <w:szCs w:val="21"/>
            </w:rPr>
            <w:fldChar w:fldCharType="end"/>
          </w:r>
          <w:r>
            <w:rPr>
              <w:rFonts w:hint="eastAsia" w:ascii="宋体" w:hAnsi="宋体" w:cs="宋体"/>
              <w:b/>
              <w:sz w:val="21"/>
              <w:szCs w:val="21"/>
            </w:rPr>
            <w:fldChar w:fldCharType="end"/>
          </w:r>
        </w:p>
        <w:p>
          <w:pPr>
            <w:pStyle w:val="33"/>
            <w:tabs>
              <w:tab w:val="right" w:leader="dot" w:pos="9070"/>
            </w:tabs>
            <w:spacing w:line="360" w:lineRule="auto"/>
            <w:rPr>
              <w:rFonts w:ascii="宋体" w:hAnsi="宋体" w:cs="宋体"/>
              <w:b/>
              <w:sz w:val="21"/>
              <w:szCs w:val="21"/>
            </w:rPr>
          </w:pPr>
          <w:r>
            <w:rPr>
              <w:sz w:val="21"/>
              <w:szCs w:val="21"/>
            </w:rPr>
            <w:fldChar w:fldCharType="begin"/>
          </w:r>
          <w:r>
            <w:rPr>
              <w:sz w:val="21"/>
              <w:szCs w:val="21"/>
            </w:rPr>
            <w:instrText xml:space="preserve"> HYPERLINK \l "_Toc23490" </w:instrText>
          </w:r>
          <w:r>
            <w:rPr>
              <w:sz w:val="21"/>
              <w:szCs w:val="21"/>
            </w:rPr>
            <w:fldChar w:fldCharType="separate"/>
          </w:r>
          <w:r>
            <w:rPr>
              <w:rFonts w:hint="eastAsia" w:ascii="宋体" w:hAnsi="宋体" w:cs="宋体"/>
              <w:b/>
              <w:sz w:val="21"/>
              <w:szCs w:val="36"/>
            </w:rPr>
            <w:t>第五章  评标办法</w:t>
          </w:r>
          <w:r>
            <w:rPr>
              <w:rFonts w:hint="eastAsia" w:ascii="宋体" w:hAnsi="宋体" w:cs="宋体"/>
              <w:b/>
              <w:sz w:val="21"/>
              <w:szCs w:val="21"/>
            </w:rPr>
            <w:tab/>
          </w:r>
          <w:r>
            <w:rPr>
              <w:rFonts w:hint="eastAsia" w:ascii="宋体" w:hAnsi="宋体" w:cs="宋体"/>
              <w:b/>
              <w:sz w:val="21"/>
              <w:szCs w:val="21"/>
            </w:rPr>
            <w:fldChar w:fldCharType="begin"/>
          </w:r>
          <w:r>
            <w:rPr>
              <w:rFonts w:hint="eastAsia" w:ascii="宋体" w:hAnsi="宋体" w:cs="宋体"/>
              <w:b/>
              <w:sz w:val="21"/>
              <w:szCs w:val="21"/>
            </w:rPr>
            <w:instrText xml:space="preserve"> PAGEREF _Toc23490 </w:instrText>
          </w:r>
          <w:r>
            <w:rPr>
              <w:rFonts w:hint="eastAsia" w:ascii="宋体" w:hAnsi="宋体" w:cs="宋体"/>
              <w:b/>
              <w:sz w:val="21"/>
              <w:szCs w:val="21"/>
            </w:rPr>
            <w:fldChar w:fldCharType="separate"/>
          </w:r>
          <w:r>
            <w:rPr>
              <w:rFonts w:hint="eastAsia" w:ascii="宋体" w:hAnsi="宋体" w:cs="宋体"/>
              <w:b/>
              <w:sz w:val="21"/>
              <w:szCs w:val="21"/>
            </w:rPr>
            <w:t>51</w:t>
          </w:r>
          <w:r>
            <w:rPr>
              <w:rFonts w:hint="eastAsia" w:ascii="宋体" w:hAnsi="宋体" w:cs="宋体"/>
              <w:b/>
              <w:sz w:val="21"/>
              <w:szCs w:val="21"/>
            </w:rPr>
            <w:fldChar w:fldCharType="end"/>
          </w:r>
          <w:r>
            <w:rPr>
              <w:rFonts w:hint="eastAsia" w:ascii="宋体" w:hAnsi="宋体" w:cs="宋体"/>
              <w:b/>
              <w:sz w:val="21"/>
              <w:szCs w:val="21"/>
            </w:rPr>
            <w:fldChar w:fldCharType="end"/>
          </w:r>
        </w:p>
        <w:p>
          <w:pPr>
            <w:pStyle w:val="34"/>
            <w:tabs>
              <w:tab w:val="right" w:leader="dot" w:pos="9070"/>
            </w:tabs>
            <w:spacing w:line="360" w:lineRule="auto"/>
            <w:ind w:left="420"/>
            <w:rPr>
              <w:rFonts w:ascii="宋体" w:hAnsi="宋体" w:cs="宋体"/>
              <w:sz w:val="21"/>
              <w:szCs w:val="21"/>
            </w:rPr>
          </w:pPr>
          <w:r>
            <w:rPr>
              <w:sz w:val="21"/>
              <w:szCs w:val="21"/>
            </w:rPr>
            <w:fldChar w:fldCharType="begin"/>
          </w:r>
          <w:r>
            <w:rPr>
              <w:sz w:val="21"/>
              <w:szCs w:val="21"/>
            </w:rPr>
            <w:instrText xml:space="preserve"> HYPERLINK \l "_Toc11286" </w:instrText>
          </w:r>
          <w:r>
            <w:rPr>
              <w:sz w:val="21"/>
              <w:szCs w:val="21"/>
            </w:rPr>
            <w:fldChar w:fldCharType="separate"/>
          </w:r>
          <w:r>
            <w:rPr>
              <w:rFonts w:hint="eastAsia" w:ascii="宋体" w:hAnsi="宋体" w:cs="宋体"/>
              <w:spacing w:val="-6"/>
              <w:sz w:val="21"/>
              <w:szCs w:val="22"/>
            </w:rPr>
            <w:t>一、评标原则</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_Toc11286 </w:instrText>
          </w:r>
          <w:r>
            <w:rPr>
              <w:rFonts w:hint="eastAsia" w:ascii="宋体" w:hAnsi="宋体" w:cs="宋体"/>
              <w:sz w:val="21"/>
              <w:szCs w:val="21"/>
            </w:rPr>
            <w:fldChar w:fldCharType="separate"/>
          </w:r>
          <w:r>
            <w:rPr>
              <w:rFonts w:hint="eastAsia" w:ascii="宋体" w:hAnsi="宋体" w:cs="宋体"/>
              <w:sz w:val="21"/>
              <w:szCs w:val="21"/>
            </w:rPr>
            <w:t>82</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070"/>
            </w:tabs>
            <w:spacing w:line="360" w:lineRule="auto"/>
            <w:ind w:left="420"/>
            <w:rPr>
              <w:rFonts w:ascii="宋体" w:hAnsi="宋体" w:cs="宋体"/>
              <w:sz w:val="21"/>
              <w:szCs w:val="21"/>
            </w:rPr>
          </w:pPr>
          <w:r>
            <w:rPr>
              <w:sz w:val="21"/>
              <w:szCs w:val="21"/>
            </w:rPr>
            <w:fldChar w:fldCharType="begin"/>
          </w:r>
          <w:r>
            <w:rPr>
              <w:sz w:val="21"/>
              <w:szCs w:val="21"/>
            </w:rPr>
            <w:instrText xml:space="preserve"> HYPERLINK \l "_Toc29568" </w:instrText>
          </w:r>
          <w:r>
            <w:rPr>
              <w:sz w:val="21"/>
              <w:szCs w:val="21"/>
            </w:rPr>
            <w:fldChar w:fldCharType="separate"/>
          </w:r>
          <w:r>
            <w:rPr>
              <w:rFonts w:hint="eastAsia" w:ascii="宋体" w:hAnsi="宋体" w:cs="宋体"/>
              <w:spacing w:val="-6"/>
              <w:sz w:val="21"/>
              <w:szCs w:val="22"/>
            </w:rPr>
            <w:t>二、组建评标委员会</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_Toc29568 </w:instrText>
          </w:r>
          <w:r>
            <w:rPr>
              <w:rFonts w:hint="eastAsia" w:ascii="宋体" w:hAnsi="宋体" w:cs="宋体"/>
              <w:sz w:val="21"/>
              <w:szCs w:val="21"/>
            </w:rPr>
            <w:fldChar w:fldCharType="separate"/>
          </w:r>
          <w:r>
            <w:rPr>
              <w:rFonts w:hint="eastAsia" w:ascii="宋体" w:hAnsi="宋体" w:cs="宋体"/>
              <w:sz w:val="21"/>
              <w:szCs w:val="21"/>
            </w:rPr>
            <w:t>82</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070"/>
            </w:tabs>
            <w:spacing w:line="360" w:lineRule="auto"/>
            <w:ind w:left="420"/>
            <w:rPr>
              <w:rFonts w:ascii="宋体" w:hAnsi="宋体" w:cs="宋体"/>
              <w:sz w:val="21"/>
              <w:szCs w:val="21"/>
            </w:rPr>
          </w:pPr>
          <w:r>
            <w:rPr>
              <w:sz w:val="21"/>
              <w:szCs w:val="21"/>
            </w:rPr>
            <w:fldChar w:fldCharType="begin"/>
          </w:r>
          <w:r>
            <w:rPr>
              <w:sz w:val="21"/>
              <w:szCs w:val="21"/>
            </w:rPr>
            <w:instrText xml:space="preserve"> HYPERLINK \l "_Toc17151" </w:instrText>
          </w:r>
          <w:r>
            <w:rPr>
              <w:sz w:val="21"/>
              <w:szCs w:val="21"/>
            </w:rPr>
            <w:fldChar w:fldCharType="separate"/>
          </w:r>
          <w:r>
            <w:rPr>
              <w:rFonts w:hint="eastAsia" w:ascii="宋体" w:hAnsi="宋体" w:cs="宋体"/>
              <w:spacing w:val="-6"/>
              <w:sz w:val="21"/>
              <w:szCs w:val="22"/>
            </w:rPr>
            <w:t>三、评标程序和内容（采用综合评估法）</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_Toc17151 </w:instrText>
          </w:r>
          <w:r>
            <w:rPr>
              <w:rFonts w:hint="eastAsia" w:ascii="宋体" w:hAnsi="宋体" w:cs="宋体"/>
              <w:sz w:val="21"/>
              <w:szCs w:val="21"/>
            </w:rPr>
            <w:fldChar w:fldCharType="separate"/>
          </w:r>
          <w:r>
            <w:rPr>
              <w:rFonts w:hint="eastAsia" w:ascii="宋体" w:hAnsi="宋体" w:cs="宋体"/>
              <w:sz w:val="21"/>
              <w:szCs w:val="21"/>
            </w:rPr>
            <w:t>82</w:t>
          </w:r>
          <w:r>
            <w:rPr>
              <w:rFonts w:hint="eastAsia" w:ascii="宋体" w:hAnsi="宋体" w:cs="宋体"/>
              <w:sz w:val="21"/>
              <w:szCs w:val="21"/>
            </w:rPr>
            <w:fldChar w:fldCharType="end"/>
          </w:r>
          <w:r>
            <w:rPr>
              <w:rFonts w:hint="eastAsia" w:ascii="宋体" w:hAnsi="宋体" w:cs="宋体"/>
              <w:sz w:val="21"/>
              <w:szCs w:val="21"/>
            </w:rPr>
            <w:fldChar w:fldCharType="end"/>
          </w:r>
        </w:p>
        <w:p>
          <w:pPr>
            <w:pStyle w:val="33"/>
            <w:tabs>
              <w:tab w:val="right" w:leader="dot" w:pos="9070"/>
            </w:tabs>
            <w:spacing w:line="360" w:lineRule="auto"/>
            <w:rPr>
              <w:rFonts w:ascii="宋体" w:hAnsi="宋体" w:cs="宋体"/>
              <w:b/>
              <w:sz w:val="21"/>
              <w:szCs w:val="21"/>
            </w:rPr>
          </w:pPr>
          <w:r>
            <w:rPr>
              <w:sz w:val="21"/>
              <w:szCs w:val="21"/>
            </w:rPr>
            <w:fldChar w:fldCharType="begin"/>
          </w:r>
          <w:r>
            <w:rPr>
              <w:sz w:val="21"/>
              <w:szCs w:val="21"/>
            </w:rPr>
            <w:instrText xml:space="preserve"> HYPERLINK \l "_Toc13952" </w:instrText>
          </w:r>
          <w:r>
            <w:rPr>
              <w:sz w:val="21"/>
              <w:szCs w:val="21"/>
            </w:rPr>
            <w:fldChar w:fldCharType="separate"/>
          </w:r>
          <w:r>
            <w:rPr>
              <w:rFonts w:hint="eastAsia" w:ascii="宋体" w:hAnsi="宋体" w:cs="宋体"/>
              <w:b/>
              <w:sz w:val="21"/>
              <w:szCs w:val="36"/>
            </w:rPr>
            <w:t>第六章  投标文件格式</w:t>
          </w:r>
          <w:r>
            <w:rPr>
              <w:rFonts w:hint="eastAsia" w:ascii="宋体" w:hAnsi="宋体" w:cs="宋体"/>
              <w:b/>
              <w:sz w:val="21"/>
              <w:szCs w:val="21"/>
            </w:rPr>
            <w:tab/>
          </w:r>
          <w:r>
            <w:rPr>
              <w:rFonts w:hint="eastAsia" w:ascii="宋体" w:hAnsi="宋体" w:cs="宋体"/>
              <w:b/>
              <w:sz w:val="21"/>
              <w:szCs w:val="21"/>
            </w:rPr>
            <w:t>6</w:t>
          </w:r>
          <w:r>
            <w:rPr>
              <w:rFonts w:hint="eastAsia" w:ascii="宋体" w:hAnsi="宋体" w:cs="宋体"/>
              <w:b/>
              <w:sz w:val="21"/>
              <w:szCs w:val="21"/>
            </w:rPr>
            <w:fldChar w:fldCharType="end"/>
          </w:r>
          <w:r>
            <w:rPr>
              <w:rFonts w:hint="eastAsia" w:ascii="宋体" w:hAnsi="宋体" w:cs="宋体"/>
              <w:b/>
              <w:sz w:val="21"/>
              <w:szCs w:val="21"/>
            </w:rPr>
            <w:t>1</w:t>
          </w:r>
        </w:p>
        <w:p>
          <w:pPr>
            <w:pStyle w:val="14"/>
            <w:tabs>
              <w:tab w:val="right" w:leader="dot" w:pos="8837"/>
              <w:tab w:val="clear" w:pos="8720"/>
            </w:tabs>
            <w:spacing w:line="360" w:lineRule="auto"/>
            <w:rPr>
              <w:rFonts w:ascii="宋体" w:hAnsi="宋体" w:eastAsia="宋体" w:cs="宋体"/>
              <w:sz w:val="21"/>
              <w:szCs w:val="21"/>
            </w:rPr>
          </w:pPr>
          <w:r>
            <w:rPr>
              <w:rFonts w:hint="eastAsia" w:ascii="宋体" w:hAnsi="宋体" w:eastAsia="宋体" w:cs="宋体"/>
              <w:b/>
              <w:sz w:val="21"/>
              <w:szCs w:val="21"/>
            </w:rPr>
            <w:fldChar w:fldCharType="end"/>
          </w:r>
        </w:p>
      </w:sdtContent>
    </w:sdt>
    <w:p>
      <w:pPr>
        <w:pStyle w:val="14"/>
        <w:tabs>
          <w:tab w:val="right" w:leader="dot" w:pos="8837"/>
          <w:tab w:val="clear" w:pos="8720"/>
        </w:tabs>
        <w:spacing w:line="400" w:lineRule="exact"/>
        <w:rPr>
          <w:rFonts w:ascii="宋体" w:hAnsi="宋体" w:eastAsia="宋体" w:cs="宋体"/>
          <w:sz w:val="21"/>
          <w:szCs w:val="21"/>
        </w:rPr>
      </w:pPr>
    </w:p>
    <w:p>
      <w:pPr>
        <w:jc w:val="center"/>
        <w:rPr>
          <w:rFonts w:ascii="宋体" w:hAnsi="宋体" w:eastAsia="宋体" w:cs="宋体"/>
          <w:szCs w:val="21"/>
        </w:rPr>
        <w:sectPr>
          <w:headerReference r:id="rId9" w:type="default"/>
          <w:footerReference r:id="rId10" w:type="default"/>
          <w:pgSz w:w="11906" w:h="16838"/>
          <w:pgMar w:top="1418" w:right="1418" w:bottom="1418" w:left="1418" w:header="851" w:footer="992" w:gutter="0"/>
          <w:pgNumType w:start="1"/>
          <w:cols w:space="720" w:num="1"/>
          <w:docGrid w:linePitch="312" w:charSpace="0"/>
        </w:sectPr>
      </w:pPr>
    </w:p>
    <w:p>
      <w:pPr>
        <w:pStyle w:val="3"/>
      </w:pPr>
      <w:bookmarkStart w:id="0" w:name="_Toc20689"/>
      <w:bookmarkStart w:id="1" w:name="_Toc506358592"/>
      <w:r>
        <w:rPr>
          <w:rFonts w:hint="eastAsia"/>
        </w:rPr>
        <w:t>第一章  招标公告</w:t>
      </w:r>
      <w:bookmarkEnd w:id="0"/>
      <w:bookmarkEnd w:id="1"/>
    </w:p>
    <w:p>
      <w:pPr>
        <w:widowControl/>
        <w:spacing w:line="360" w:lineRule="auto"/>
        <w:jc w:val="left"/>
        <w:rPr>
          <w:rFonts w:ascii="宋体" w:hAnsi="宋体" w:eastAsia="宋体" w:cs="宋体"/>
          <w:b/>
          <w:bCs/>
          <w:kern w:val="0"/>
          <w:szCs w:val="21"/>
        </w:rPr>
      </w:pPr>
      <w:bookmarkStart w:id="2" w:name="_Toc227057883"/>
      <w:bookmarkStart w:id="3" w:name="_Toc107822483"/>
      <w:bookmarkStart w:id="4" w:name="_Toc226969276"/>
      <w:bookmarkStart w:id="5" w:name="_Toc415814123"/>
      <w:r>
        <w:rPr>
          <w:rFonts w:hint="eastAsia" w:ascii="宋体" w:hAnsi="宋体" w:eastAsia="宋体" w:cs="宋体"/>
          <w:b/>
          <w:bCs/>
          <w:kern w:val="0"/>
          <w:szCs w:val="21"/>
        </w:rPr>
        <w:t>项目概况</w:t>
      </w:r>
    </w:p>
    <w:p>
      <w:pPr>
        <w:widowControl/>
        <w:spacing w:line="360" w:lineRule="auto"/>
        <w:ind w:firstLine="480"/>
        <w:jc w:val="left"/>
        <w:rPr>
          <w:rFonts w:ascii="宋体" w:hAnsi="宋体" w:eastAsia="宋体" w:cs="宋体"/>
          <w:kern w:val="0"/>
          <w:szCs w:val="21"/>
        </w:rPr>
      </w:pPr>
      <w:r>
        <w:rPr>
          <w:rFonts w:hint="eastAsia" w:ascii="宋体" w:hAnsi="宋体" w:eastAsia="宋体" w:cs="宋体"/>
          <w:kern w:val="0"/>
          <w:szCs w:val="21"/>
        </w:rPr>
        <w:t>浙江大学国际校区微纳公共平台一期项目 招标项目的潜在投标人应在浙江五石工程咨询有限公司官网（http://zjwsbidding. com/）招投标专区获取招标文件，并于2020年10月10日 09点00分（北京时间）前递交投标文件。</w:t>
      </w:r>
    </w:p>
    <w:p>
      <w:pPr>
        <w:widowControl/>
        <w:spacing w:line="360" w:lineRule="auto"/>
        <w:jc w:val="left"/>
        <w:rPr>
          <w:rFonts w:ascii="宋体" w:hAnsi="宋体" w:eastAsia="宋体" w:cs="宋体"/>
          <w:b/>
          <w:bCs/>
          <w:kern w:val="0"/>
          <w:szCs w:val="21"/>
        </w:rPr>
      </w:pPr>
    </w:p>
    <w:p>
      <w:pPr>
        <w:widowControl/>
        <w:spacing w:line="360" w:lineRule="auto"/>
        <w:jc w:val="left"/>
        <w:rPr>
          <w:rFonts w:ascii="宋体" w:hAnsi="宋体" w:eastAsia="宋体" w:cs="宋体"/>
          <w:b/>
          <w:bCs/>
          <w:kern w:val="0"/>
          <w:szCs w:val="21"/>
        </w:rPr>
      </w:pPr>
      <w:r>
        <w:rPr>
          <w:rFonts w:hint="eastAsia" w:ascii="宋体" w:hAnsi="宋体" w:eastAsia="宋体" w:cs="宋体"/>
          <w:b/>
          <w:bCs/>
          <w:kern w:val="0"/>
          <w:szCs w:val="21"/>
        </w:rPr>
        <w:t>一、项目基本情况</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1.项目编号：ZJWSBJ-ZJU-2020074G</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2.项目名称：浙江大学国际校区微纳公共平台一期项目</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3.预算金额：7500000元（人民币）</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4.最高限价：7493155.54元（人民币）</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5.采购需求：</w:t>
      </w:r>
    </w:p>
    <w:tbl>
      <w:tblPr>
        <w:tblStyle w:val="18"/>
        <w:tblW w:w="5151" w:type="pct"/>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21"/>
        <w:gridCol w:w="2641"/>
        <w:gridCol w:w="1142"/>
        <w:gridCol w:w="1412"/>
        <w:gridCol w:w="2837"/>
        <w:gridCol w:w="5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311" w:type="pct"/>
            <w:vAlign w:val="center"/>
          </w:tcPr>
          <w:p>
            <w:pPr>
              <w:widowControl/>
              <w:spacing w:line="360" w:lineRule="auto"/>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411" w:type="pct"/>
            <w:vAlign w:val="center"/>
          </w:tcPr>
          <w:p>
            <w:pPr>
              <w:widowControl/>
              <w:spacing w:line="360" w:lineRule="auto"/>
              <w:jc w:val="center"/>
              <w:rPr>
                <w:rFonts w:ascii="宋体" w:hAnsi="宋体" w:eastAsia="宋体" w:cs="宋体"/>
                <w:b/>
                <w:bCs/>
                <w:kern w:val="0"/>
                <w:szCs w:val="21"/>
              </w:rPr>
            </w:pPr>
            <w:r>
              <w:rPr>
                <w:rFonts w:hint="eastAsia" w:ascii="宋体" w:hAnsi="宋体" w:eastAsia="宋体" w:cs="宋体"/>
                <w:b/>
                <w:bCs/>
                <w:kern w:val="0"/>
              </w:rPr>
              <w:t>标项名称</w:t>
            </w:r>
          </w:p>
        </w:tc>
        <w:tc>
          <w:tcPr>
            <w:tcW w:w="601" w:type="pct"/>
            <w:vAlign w:val="center"/>
          </w:tcPr>
          <w:p>
            <w:pPr>
              <w:widowControl/>
              <w:spacing w:line="360" w:lineRule="auto"/>
              <w:jc w:val="center"/>
              <w:rPr>
                <w:rFonts w:ascii="宋体" w:hAnsi="宋体" w:eastAsia="宋体" w:cs="宋体"/>
                <w:b/>
                <w:bCs/>
                <w:kern w:val="0"/>
                <w:szCs w:val="21"/>
              </w:rPr>
            </w:pPr>
            <w:r>
              <w:rPr>
                <w:rFonts w:hint="eastAsia" w:ascii="宋体" w:hAnsi="宋体" w:eastAsia="宋体" w:cs="宋体"/>
                <w:b/>
                <w:bCs/>
                <w:kern w:val="0"/>
                <w:szCs w:val="21"/>
              </w:rPr>
              <w:t>数量/单位</w:t>
            </w:r>
          </w:p>
        </w:tc>
        <w:tc>
          <w:tcPr>
            <w:tcW w:w="747" w:type="pct"/>
            <w:vAlign w:val="center"/>
          </w:tcPr>
          <w:p>
            <w:pPr>
              <w:widowControl/>
              <w:spacing w:line="360" w:lineRule="auto"/>
              <w:jc w:val="center"/>
              <w:rPr>
                <w:rFonts w:ascii="宋体" w:hAnsi="宋体" w:eastAsia="宋体" w:cs="宋体"/>
                <w:b/>
                <w:bCs/>
                <w:kern w:val="0"/>
                <w:szCs w:val="21"/>
              </w:rPr>
            </w:pPr>
            <w:r>
              <w:rPr>
                <w:rFonts w:hint="eastAsia" w:ascii="宋体" w:hAnsi="宋体" w:eastAsia="宋体" w:cs="宋体"/>
                <w:b/>
                <w:bCs/>
                <w:kern w:val="0"/>
                <w:szCs w:val="21"/>
              </w:rPr>
              <w:t>招标控制价</w:t>
            </w:r>
          </w:p>
          <w:p>
            <w:pPr>
              <w:widowControl/>
              <w:spacing w:line="360" w:lineRule="auto"/>
              <w:jc w:val="center"/>
              <w:rPr>
                <w:rFonts w:ascii="宋体" w:hAnsi="宋体" w:eastAsia="宋体" w:cs="宋体"/>
                <w:b/>
                <w:bCs/>
                <w:kern w:val="0"/>
                <w:szCs w:val="21"/>
              </w:rPr>
            </w:pPr>
            <w:r>
              <w:rPr>
                <w:rFonts w:hint="eastAsia" w:ascii="宋体" w:hAnsi="宋体" w:eastAsia="宋体" w:cs="宋体"/>
                <w:b/>
                <w:bCs/>
                <w:kern w:val="0"/>
                <w:szCs w:val="21"/>
              </w:rPr>
              <w:t>(元)</w:t>
            </w:r>
          </w:p>
        </w:tc>
        <w:tc>
          <w:tcPr>
            <w:tcW w:w="1517" w:type="pct"/>
            <w:vAlign w:val="center"/>
          </w:tcPr>
          <w:p>
            <w:pPr>
              <w:widowControl/>
              <w:spacing w:line="360" w:lineRule="auto"/>
              <w:jc w:val="center"/>
              <w:rPr>
                <w:rFonts w:ascii="宋体" w:hAnsi="宋体" w:eastAsia="宋体" w:cs="宋体"/>
                <w:b/>
                <w:bCs/>
                <w:kern w:val="0"/>
                <w:szCs w:val="21"/>
              </w:rPr>
            </w:pPr>
            <w:r>
              <w:rPr>
                <w:rFonts w:hint="eastAsia" w:ascii="宋体" w:hAnsi="宋体" w:eastAsia="宋体" w:cs="宋体"/>
                <w:b/>
                <w:bCs/>
                <w:kern w:val="0"/>
                <w:szCs w:val="21"/>
              </w:rPr>
              <w:t>项目简介</w:t>
            </w:r>
          </w:p>
        </w:tc>
        <w:tc>
          <w:tcPr>
            <w:tcW w:w="296" w:type="pct"/>
            <w:tcMar>
              <w:top w:w="75" w:type="dxa"/>
              <w:left w:w="150" w:type="dxa"/>
              <w:bottom w:w="75" w:type="dxa"/>
              <w:right w:w="150" w:type="dxa"/>
            </w:tcMar>
            <w:vAlign w:val="center"/>
          </w:tcPr>
          <w:p>
            <w:pPr>
              <w:widowControl/>
              <w:jc w:val="center"/>
              <w:rPr>
                <w:rFonts w:ascii="宋体" w:hAnsi="宋体" w:eastAsia="宋体" w:cs="宋体"/>
                <w:b/>
                <w:bCs/>
                <w:kern w:val="0"/>
              </w:rPr>
            </w:pPr>
            <w:r>
              <w:rPr>
                <w:rFonts w:hint="eastAsia" w:ascii="宋体" w:hAnsi="宋体" w:eastAsia="宋体" w:cs="宋体"/>
                <w:b/>
                <w:bCs/>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311" w:type="pct"/>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w:t>
            </w:r>
          </w:p>
        </w:tc>
        <w:tc>
          <w:tcPr>
            <w:tcW w:w="1411" w:type="pct"/>
            <w:vAlign w:val="center"/>
          </w:tcPr>
          <w:p>
            <w:pPr>
              <w:widowControl/>
              <w:spacing w:line="360" w:lineRule="auto"/>
              <w:rPr>
                <w:rFonts w:ascii="宋体" w:hAnsi="宋体" w:eastAsia="宋体" w:cs="宋体"/>
                <w:kern w:val="0"/>
                <w:szCs w:val="21"/>
              </w:rPr>
            </w:pPr>
            <w:r>
              <w:rPr>
                <w:rFonts w:hint="eastAsia" w:ascii="宋体" w:hAnsi="宋体" w:eastAsia="宋体" w:cs="宋体"/>
                <w:szCs w:val="21"/>
              </w:rPr>
              <w:t>浙江大学国际校区微纳公共平台一期项目</w:t>
            </w:r>
          </w:p>
        </w:tc>
        <w:tc>
          <w:tcPr>
            <w:tcW w:w="601" w:type="pct"/>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1/项</w:t>
            </w:r>
          </w:p>
        </w:tc>
        <w:tc>
          <w:tcPr>
            <w:tcW w:w="747" w:type="pct"/>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7493155.54</w:t>
            </w:r>
          </w:p>
        </w:tc>
        <w:tc>
          <w:tcPr>
            <w:tcW w:w="1517" w:type="pct"/>
            <w:vAlign w:val="center"/>
          </w:tcPr>
          <w:p>
            <w:pPr>
              <w:spacing w:line="288" w:lineRule="auto"/>
              <w:rPr>
                <w:rFonts w:ascii="宋体" w:hAnsi="宋体" w:eastAsia="宋体" w:cs="宋体"/>
                <w:kern w:val="0"/>
                <w:szCs w:val="21"/>
              </w:rPr>
            </w:pPr>
            <w:r>
              <w:rPr>
                <w:rFonts w:hint="eastAsia" w:ascii="宋体" w:hAnsi="宋体" w:eastAsia="宋体" w:cs="宋体"/>
                <w:kern w:val="0"/>
                <w:szCs w:val="21"/>
              </w:rPr>
              <w:t>该项目为</w:t>
            </w:r>
            <w:r>
              <w:rPr>
                <w:rFonts w:hint="eastAsia" w:ascii="宋体" w:hAnsi="宋体" w:eastAsia="宋体" w:cs="宋体"/>
                <w:szCs w:val="21"/>
              </w:rPr>
              <w:t>浙江大学国际校区微纳公共平台一期项目</w:t>
            </w:r>
            <w:r>
              <w:rPr>
                <w:rFonts w:hint="eastAsia" w:ascii="宋体" w:hAnsi="宋体" w:eastAsia="宋体" w:cs="宋体"/>
                <w:spacing w:val="-6"/>
              </w:rPr>
              <w:t>，具体详见施工图及</w:t>
            </w:r>
            <w:r>
              <w:rPr>
                <w:rFonts w:hint="eastAsia" w:ascii="宋体" w:hAnsi="宋体" w:eastAsia="宋体" w:cs="宋体"/>
                <w:kern w:val="0"/>
                <w:szCs w:val="21"/>
              </w:rPr>
              <w:t>工程量清单。</w:t>
            </w:r>
          </w:p>
        </w:tc>
        <w:tc>
          <w:tcPr>
            <w:tcW w:w="296" w:type="pct"/>
            <w:tcMar>
              <w:top w:w="75" w:type="dxa"/>
              <w:left w:w="150" w:type="dxa"/>
              <w:bottom w:w="75" w:type="dxa"/>
              <w:right w:w="150" w:type="dxa"/>
            </w:tcMar>
            <w:vAlign w:val="center"/>
          </w:tcPr>
          <w:p>
            <w:pPr>
              <w:widowControl/>
              <w:jc w:val="center"/>
              <w:rPr>
                <w:rFonts w:ascii="宋体" w:hAnsi="宋体" w:eastAsia="宋体" w:cs="宋体"/>
                <w:kern w:val="0"/>
              </w:rPr>
            </w:pPr>
          </w:p>
        </w:tc>
      </w:tr>
    </w:tbl>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6.合同履行期限：自合同签订之日起90日历天内完成</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7.本项目( 不接受  )联合体投标。</w:t>
      </w:r>
    </w:p>
    <w:p>
      <w:pPr>
        <w:widowControl/>
        <w:spacing w:line="360" w:lineRule="auto"/>
        <w:jc w:val="left"/>
        <w:rPr>
          <w:rFonts w:ascii="宋体" w:hAnsi="宋体" w:eastAsia="宋体" w:cs="宋体"/>
          <w:b/>
          <w:bCs/>
          <w:kern w:val="0"/>
          <w:szCs w:val="21"/>
        </w:rPr>
      </w:pPr>
      <w:r>
        <w:rPr>
          <w:rFonts w:hint="eastAsia" w:ascii="宋体" w:hAnsi="宋体" w:eastAsia="宋体" w:cs="宋体"/>
          <w:b/>
          <w:bCs/>
          <w:kern w:val="0"/>
          <w:szCs w:val="21"/>
        </w:rPr>
        <w:t>二、申请人的资格要求：</w:t>
      </w:r>
    </w:p>
    <w:p>
      <w:pPr>
        <w:widowControl/>
        <w:spacing w:line="360" w:lineRule="auto"/>
        <w:ind w:left="100"/>
        <w:jc w:val="left"/>
        <w:rPr>
          <w:rFonts w:ascii="宋体" w:hAnsi="宋体" w:eastAsia="宋体" w:cs="宋体"/>
          <w:szCs w:val="21"/>
        </w:rPr>
      </w:pPr>
      <w:r>
        <w:rPr>
          <w:rFonts w:hint="eastAsia" w:ascii="宋体" w:hAnsi="宋体" w:eastAsia="宋体" w:cs="宋体"/>
          <w:szCs w:val="21"/>
        </w:rPr>
        <w:t>1.具有独立承担民事责任的能力；</w:t>
      </w:r>
    </w:p>
    <w:p>
      <w:pPr>
        <w:widowControl/>
        <w:spacing w:line="360" w:lineRule="auto"/>
        <w:ind w:left="100"/>
        <w:jc w:val="left"/>
        <w:rPr>
          <w:rFonts w:ascii="宋体" w:hAnsi="宋体" w:eastAsia="宋体" w:cs="宋体"/>
          <w:szCs w:val="21"/>
        </w:rPr>
      </w:pPr>
      <w:r>
        <w:rPr>
          <w:rFonts w:hint="eastAsia" w:ascii="宋体" w:hAnsi="宋体" w:eastAsia="宋体" w:cs="宋体"/>
          <w:szCs w:val="21"/>
        </w:rPr>
        <w:t>2.具有良好的商业信誉和健全的财务会计制度；</w:t>
      </w:r>
    </w:p>
    <w:p>
      <w:pPr>
        <w:widowControl/>
        <w:spacing w:line="360" w:lineRule="auto"/>
        <w:ind w:left="100"/>
        <w:jc w:val="left"/>
        <w:rPr>
          <w:rFonts w:ascii="宋体" w:hAnsi="宋体" w:eastAsia="宋体" w:cs="宋体"/>
          <w:szCs w:val="21"/>
        </w:rPr>
      </w:pPr>
      <w:r>
        <w:rPr>
          <w:rFonts w:hint="eastAsia" w:ascii="宋体" w:hAnsi="宋体" w:eastAsia="宋体" w:cs="宋体"/>
          <w:szCs w:val="21"/>
        </w:rPr>
        <w:t>3.具有履行合同所必需的设备和专业技术能力；</w:t>
      </w:r>
    </w:p>
    <w:p>
      <w:pPr>
        <w:widowControl/>
        <w:spacing w:line="360" w:lineRule="auto"/>
        <w:ind w:left="100"/>
        <w:jc w:val="left"/>
        <w:rPr>
          <w:rFonts w:ascii="宋体" w:hAnsi="宋体" w:eastAsia="宋体" w:cs="宋体"/>
          <w:szCs w:val="21"/>
        </w:rPr>
      </w:pPr>
      <w:r>
        <w:rPr>
          <w:rFonts w:hint="eastAsia" w:ascii="宋体" w:hAnsi="宋体" w:eastAsia="宋体" w:cs="宋体"/>
          <w:szCs w:val="21"/>
        </w:rPr>
        <w:t>4.有依法缴纳税收和社会保障资金的良好记录；</w:t>
      </w:r>
    </w:p>
    <w:p>
      <w:pPr>
        <w:widowControl/>
        <w:spacing w:line="360" w:lineRule="auto"/>
        <w:ind w:left="100"/>
        <w:jc w:val="left"/>
        <w:rPr>
          <w:rFonts w:ascii="宋体" w:hAnsi="宋体" w:eastAsia="宋体" w:cs="宋体"/>
          <w:szCs w:val="21"/>
        </w:rPr>
      </w:pPr>
      <w:r>
        <w:rPr>
          <w:rFonts w:hint="eastAsia" w:ascii="宋体" w:hAnsi="宋体" w:eastAsia="宋体" w:cs="宋体"/>
          <w:szCs w:val="21"/>
        </w:rPr>
        <w:t>5.参加采购活动前三年内，在经营活动中没有重大违法记录；</w:t>
      </w:r>
    </w:p>
    <w:p>
      <w:pPr>
        <w:widowControl/>
        <w:spacing w:line="360" w:lineRule="auto"/>
        <w:ind w:left="100"/>
        <w:jc w:val="left"/>
        <w:rPr>
          <w:rFonts w:ascii="宋体" w:hAnsi="宋体" w:eastAsia="宋体" w:cs="宋体"/>
          <w:szCs w:val="21"/>
        </w:rPr>
      </w:pPr>
      <w:r>
        <w:rPr>
          <w:rFonts w:hint="eastAsia" w:ascii="宋体" w:hAnsi="宋体" w:eastAsia="宋体" w:cs="宋体"/>
          <w:szCs w:val="21"/>
        </w:rPr>
        <w:t>6.法律、行政法规规定的其他条件；</w:t>
      </w:r>
    </w:p>
    <w:p>
      <w:pPr>
        <w:widowControl/>
        <w:spacing w:line="360" w:lineRule="auto"/>
        <w:ind w:left="100"/>
        <w:jc w:val="left"/>
        <w:rPr>
          <w:rFonts w:ascii="宋体" w:hAnsi="宋体" w:eastAsia="宋体" w:cs="宋体"/>
          <w:kern w:val="0"/>
          <w:szCs w:val="21"/>
        </w:rPr>
      </w:pPr>
      <w:r>
        <w:rPr>
          <w:rFonts w:hint="eastAsia" w:ascii="宋体" w:hAnsi="宋体" w:eastAsia="宋体" w:cs="宋体"/>
          <w:szCs w:val="21"/>
        </w:rPr>
        <w:t>7</w:t>
      </w:r>
      <w:r>
        <w:rPr>
          <w:rFonts w:hint="eastAsia" w:ascii="宋体" w:hAnsi="宋体" w:eastAsia="宋体" w:cs="宋体"/>
          <w:kern w:val="0"/>
          <w:szCs w:val="21"/>
        </w:rPr>
        <w:t>.本项目的特定资格要求：</w:t>
      </w:r>
    </w:p>
    <w:p>
      <w:pPr>
        <w:widowControl/>
        <w:spacing w:line="360" w:lineRule="auto"/>
        <w:jc w:val="left"/>
        <w:rPr>
          <w:rFonts w:ascii="宋体" w:hAnsi="宋体" w:eastAsia="宋体" w:cs="宋体"/>
          <w:color w:val="000000" w:themeColor="text1"/>
          <w:kern w:val="0"/>
          <w:szCs w:val="21"/>
        </w:rPr>
      </w:pPr>
      <w:r>
        <w:rPr>
          <w:rFonts w:hint="eastAsia" w:ascii="宋体" w:hAnsi="宋体" w:eastAsia="宋体" w:cs="宋体"/>
          <w:color w:val="000000" w:themeColor="text1"/>
          <w:kern w:val="0"/>
          <w:szCs w:val="21"/>
        </w:rPr>
        <w:t>（1）</w:t>
      </w:r>
      <w:r>
        <w:rPr>
          <w:rFonts w:hint="eastAsia"/>
          <w:color w:val="000000" w:themeColor="text1"/>
        </w:rPr>
        <w:t>具有机电工程施工总承包二级及以上或建筑机电安装工程专业承包二级资质</w:t>
      </w:r>
      <w:r>
        <w:rPr>
          <w:rFonts w:hint="eastAsia" w:ascii="宋体" w:hAnsi="宋体" w:eastAsia="宋体" w:cs="宋体"/>
          <w:color w:val="000000" w:themeColor="text1"/>
          <w:kern w:val="0"/>
          <w:szCs w:val="21"/>
        </w:rPr>
        <w:t>；</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（2）拟派项目经理具有机电工程二级及以上建造师注册证书；</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（3）具有有效期内的《安全生产许可证》；</w:t>
      </w:r>
    </w:p>
    <w:p>
      <w:pPr>
        <w:pStyle w:val="2"/>
        <w:rPr>
          <w:rFonts w:ascii="宋体" w:hAnsi="宋体" w:eastAsia="宋体" w:cs="宋体"/>
          <w:b/>
          <w:bCs/>
          <w:kern w:val="0"/>
          <w:szCs w:val="21"/>
        </w:rPr>
      </w:pPr>
      <w:r>
        <w:rPr>
          <w:rFonts w:hint="eastAsia" w:ascii="宋体" w:hAnsi="宋体" w:eastAsia="宋体" w:cs="宋体"/>
          <w:b/>
          <w:bCs/>
          <w:kern w:val="0"/>
          <w:szCs w:val="21"/>
        </w:rPr>
        <w:t>三、获取招标文件</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1.时间：2020年09月15日  至 2020年09月22日，每天上午9:00至11:30，下午13:30至16:30。（北京时间，法定节假日除外）</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2.地点：浙江五石工程咨询有限公司官网（http://zjwsbidding. com/）招投标专区</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3.方式：网上报名：前往浙江五石工程咨询有限公司官网：http://zjwsbidding.com/招投标专区进行报名</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4.售价：￥500.0 元，本公告包含的招标文件售价总和</w:t>
      </w:r>
    </w:p>
    <w:p>
      <w:pPr>
        <w:pStyle w:val="2"/>
        <w:rPr>
          <w:rFonts w:ascii="宋体" w:hAnsi="宋体" w:eastAsia="宋体" w:cs="宋体"/>
          <w:b/>
          <w:bCs/>
          <w:kern w:val="0"/>
          <w:szCs w:val="21"/>
        </w:rPr>
      </w:pPr>
      <w:r>
        <w:rPr>
          <w:rFonts w:hint="eastAsia" w:ascii="宋体" w:hAnsi="宋体" w:eastAsia="宋体" w:cs="宋体"/>
          <w:b/>
          <w:bCs/>
          <w:kern w:val="0"/>
          <w:szCs w:val="21"/>
        </w:rPr>
        <w:t>四、提交投标文件截止时间、开标时间和地点</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1.时间：2020年10月10日 09点00分（北京时间）</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2.地点：杭州市西湖区西园八路11号数字信息产业园（一期）G座603开标室</w:t>
      </w:r>
    </w:p>
    <w:p>
      <w:pPr>
        <w:pStyle w:val="2"/>
        <w:rPr>
          <w:rFonts w:ascii="宋体" w:hAnsi="宋体" w:eastAsia="宋体" w:cs="宋体"/>
          <w:b/>
          <w:bCs/>
          <w:kern w:val="0"/>
          <w:szCs w:val="21"/>
        </w:rPr>
      </w:pPr>
      <w:r>
        <w:rPr>
          <w:rFonts w:hint="eastAsia" w:ascii="宋体" w:hAnsi="宋体" w:eastAsia="宋体" w:cs="宋体"/>
          <w:b/>
          <w:bCs/>
          <w:kern w:val="0"/>
          <w:szCs w:val="21"/>
        </w:rPr>
        <w:t>五、公告期限</w:t>
      </w:r>
    </w:p>
    <w:p>
      <w:pPr>
        <w:pStyle w:val="2"/>
        <w:rPr>
          <w:rFonts w:ascii="宋体" w:hAnsi="宋体" w:eastAsia="宋体" w:cs="宋体"/>
          <w:kern w:val="0"/>
          <w:szCs w:val="21"/>
        </w:rPr>
      </w:pPr>
      <w:r>
        <w:rPr>
          <w:rFonts w:hint="eastAsia" w:ascii="宋体" w:hAnsi="宋体" w:eastAsia="宋体" w:cs="宋体"/>
          <w:kern w:val="0"/>
          <w:szCs w:val="21"/>
        </w:rPr>
        <w:t>自本公告发布之日起5个工作日。</w:t>
      </w:r>
    </w:p>
    <w:p>
      <w:pPr>
        <w:pStyle w:val="2"/>
        <w:rPr>
          <w:rFonts w:ascii="宋体" w:hAnsi="宋体" w:eastAsia="宋体" w:cs="宋体"/>
          <w:b/>
          <w:bCs/>
          <w:kern w:val="0"/>
          <w:szCs w:val="21"/>
        </w:rPr>
      </w:pPr>
      <w:r>
        <w:rPr>
          <w:rFonts w:hint="eastAsia" w:ascii="宋体" w:hAnsi="宋体" w:eastAsia="宋体" w:cs="宋体"/>
          <w:b/>
          <w:bCs/>
          <w:kern w:val="0"/>
          <w:szCs w:val="21"/>
        </w:rPr>
        <w:t>六、其他补充事宜</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1.本项目公告期限为5个工作日，供应商认为采购文件使自己的权益受到损害的，可以自收到采购文件之日（发售截止日之后收到采购文件的，以发售截止日为准）或者采购文件公告期限届满之日（公告发布后的第6个工作日）起7个工作日内，以书面形式向采购人和采购代理机构提出质疑。</w:t>
      </w:r>
    </w:p>
    <w:p>
      <w:pPr>
        <w:widowControl/>
        <w:spacing w:line="360" w:lineRule="auto"/>
        <w:jc w:val="left"/>
        <w:rPr>
          <w:rFonts w:ascii="宋体" w:hAnsi="宋体" w:eastAsia="宋体" w:cs="宋体"/>
          <w:b/>
          <w:bCs/>
          <w:kern w:val="0"/>
          <w:szCs w:val="21"/>
        </w:rPr>
      </w:pPr>
      <w:r>
        <w:rPr>
          <w:rFonts w:hint="eastAsia" w:ascii="宋体" w:hAnsi="宋体" w:eastAsia="宋体" w:cs="宋体"/>
          <w:b/>
          <w:bCs/>
          <w:kern w:val="0"/>
          <w:szCs w:val="21"/>
        </w:rPr>
        <w:t>七、对本次招标提出询问，请按以下方式联系。</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1.采购人信息</w:t>
      </w:r>
    </w:p>
    <w:p>
      <w:pPr>
        <w:widowControl/>
        <w:spacing w:line="360" w:lineRule="auto"/>
        <w:ind w:firstLine="210" w:firstLineChars="100"/>
        <w:jc w:val="left"/>
        <w:rPr>
          <w:rFonts w:ascii="宋体" w:hAnsi="宋体" w:eastAsia="宋体" w:cs="宋体"/>
          <w:kern w:val="0"/>
          <w:szCs w:val="21"/>
        </w:rPr>
      </w:pPr>
      <w:r>
        <w:rPr>
          <w:rFonts w:hint="eastAsia" w:ascii="宋体" w:hAnsi="宋体" w:eastAsia="宋体" w:cs="宋体"/>
          <w:kern w:val="0"/>
          <w:szCs w:val="21"/>
        </w:rPr>
        <w:t>名    称：浙江大学</w:t>
      </w:r>
    </w:p>
    <w:p>
      <w:pPr>
        <w:widowControl/>
        <w:spacing w:line="360" w:lineRule="auto"/>
        <w:ind w:firstLine="210" w:firstLineChars="100"/>
        <w:jc w:val="left"/>
        <w:rPr>
          <w:rFonts w:ascii="宋体" w:hAnsi="宋体" w:eastAsia="宋体" w:cs="宋体"/>
          <w:kern w:val="0"/>
          <w:szCs w:val="21"/>
        </w:rPr>
      </w:pPr>
      <w:r>
        <w:rPr>
          <w:rFonts w:hint="eastAsia" w:ascii="宋体" w:hAnsi="宋体" w:eastAsia="宋体" w:cs="宋体"/>
          <w:kern w:val="0"/>
          <w:szCs w:val="21"/>
        </w:rPr>
        <w:t>地    址：浙江省杭州市西湖区余杭塘路866号</w:t>
      </w:r>
    </w:p>
    <w:p>
      <w:pPr>
        <w:widowControl/>
        <w:spacing w:line="360" w:lineRule="auto"/>
        <w:ind w:firstLine="210" w:firstLineChars="100"/>
        <w:jc w:val="left"/>
        <w:rPr>
          <w:rFonts w:ascii="宋体" w:hAnsi="宋体" w:eastAsia="宋体" w:cs="宋体"/>
          <w:kern w:val="0"/>
          <w:szCs w:val="21"/>
        </w:rPr>
      </w:pPr>
      <w:r>
        <w:rPr>
          <w:rFonts w:hint="eastAsia" w:ascii="宋体" w:hAnsi="宋体" w:eastAsia="宋体" w:cs="宋体"/>
          <w:kern w:val="0"/>
          <w:szCs w:val="21"/>
        </w:rPr>
        <w:t>联系方式：</w:t>
      </w:r>
      <w:bookmarkStart w:id="832" w:name="_GoBack"/>
      <w:r>
        <w:rPr>
          <w:rFonts w:hint="eastAsia" w:ascii="宋体" w:hAnsi="宋体" w:eastAsia="宋体" w:cs="宋体"/>
          <w:kern w:val="0"/>
          <w:szCs w:val="21"/>
        </w:rPr>
        <w:t>李老师:13958099378</w:t>
      </w:r>
      <w:bookmarkEnd w:id="832"/>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2.采购代理机构信息</w:t>
      </w:r>
    </w:p>
    <w:p>
      <w:pPr>
        <w:widowControl/>
        <w:spacing w:line="360" w:lineRule="auto"/>
        <w:ind w:firstLine="210" w:firstLineChars="100"/>
        <w:jc w:val="left"/>
        <w:rPr>
          <w:rFonts w:ascii="宋体" w:hAnsi="宋体" w:eastAsia="宋体" w:cs="宋体"/>
          <w:kern w:val="0"/>
          <w:szCs w:val="21"/>
        </w:rPr>
      </w:pPr>
      <w:r>
        <w:rPr>
          <w:rFonts w:hint="eastAsia" w:ascii="宋体" w:hAnsi="宋体" w:eastAsia="宋体" w:cs="宋体"/>
          <w:kern w:val="0"/>
          <w:szCs w:val="21"/>
        </w:rPr>
        <w:t>名    称：浙江五石工程咨询有限公司</w:t>
      </w:r>
    </w:p>
    <w:p>
      <w:pPr>
        <w:widowControl/>
        <w:spacing w:line="360" w:lineRule="auto"/>
        <w:ind w:firstLine="210" w:firstLineChars="100"/>
        <w:jc w:val="left"/>
        <w:rPr>
          <w:rFonts w:ascii="宋体" w:hAnsi="宋体" w:eastAsia="宋体" w:cs="宋体"/>
          <w:kern w:val="0"/>
          <w:szCs w:val="21"/>
        </w:rPr>
      </w:pPr>
      <w:r>
        <w:rPr>
          <w:rFonts w:hint="eastAsia" w:ascii="宋体" w:hAnsi="宋体" w:eastAsia="宋体" w:cs="宋体"/>
          <w:kern w:val="0"/>
          <w:szCs w:val="21"/>
        </w:rPr>
        <w:t>地    址：杭州市滨江区东方通信科技园启迪楼2楼1207室</w:t>
      </w:r>
    </w:p>
    <w:p>
      <w:pPr>
        <w:widowControl/>
        <w:spacing w:line="360" w:lineRule="auto"/>
        <w:ind w:firstLine="210" w:firstLineChars="100"/>
        <w:jc w:val="left"/>
        <w:rPr>
          <w:rFonts w:ascii="宋体" w:hAnsi="宋体" w:eastAsia="宋体" w:cs="宋体"/>
          <w:kern w:val="0"/>
          <w:szCs w:val="21"/>
        </w:rPr>
      </w:pPr>
      <w:r>
        <w:rPr>
          <w:rFonts w:hint="eastAsia" w:ascii="宋体" w:hAnsi="宋体" w:eastAsia="宋体" w:cs="宋体"/>
          <w:kern w:val="0"/>
          <w:szCs w:val="21"/>
        </w:rPr>
        <w:t>联系方式：徐工：0571-87805727-806；马工（总机）、梁工：0571-87805727、17746806483</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3.项目联系方式</w:t>
      </w:r>
    </w:p>
    <w:p>
      <w:pPr>
        <w:widowControl/>
        <w:spacing w:line="360" w:lineRule="auto"/>
        <w:ind w:firstLine="210" w:firstLineChars="100"/>
        <w:jc w:val="left"/>
        <w:rPr>
          <w:rFonts w:ascii="宋体" w:hAnsi="宋体" w:eastAsia="宋体" w:cs="宋体"/>
          <w:kern w:val="0"/>
          <w:szCs w:val="21"/>
        </w:rPr>
      </w:pPr>
      <w:r>
        <w:rPr>
          <w:rFonts w:hint="eastAsia" w:ascii="宋体" w:hAnsi="宋体" w:eastAsia="宋体" w:cs="宋体"/>
          <w:kern w:val="0"/>
          <w:szCs w:val="21"/>
        </w:rPr>
        <w:t>项目联系人：徐工</w:t>
      </w:r>
    </w:p>
    <w:p>
      <w:pPr>
        <w:widowControl/>
        <w:spacing w:line="360" w:lineRule="auto"/>
        <w:ind w:firstLine="210" w:firstLineChars="100"/>
        <w:jc w:val="left"/>
        <w:rPr>
          <w:rFonts w:ascii="宋体" w:hAnsi="宋体" w:eastAsia="宋体" w:cs="宋体"/>
          <w:kern w:val="0"/>
          <w:szCs w:val="21"/>
        </w:rPr>
        <w:sectPr>
          <w:footerReference r:id="rId11" w:type="default"/>
          <w:pgSz w:w="11906" w:h="16838"/>
          <w:pgMar w:top="1418" w:right="1588" w:bottom="1418" w:left="1588" w:header="567" w:footer="567" w:gutter="0"/>
          <w:pgNumType w:fmt="decimal" w:start="1"/>
          <w:cols w:space="720" w:num="1"/>
          <w:docGrid w:linePitch="312" w:charSpace="0"/>
        </w:sectPr>
      </w:pPr>
      <w:r>
        <w:rPr>
          <w:rFonts w:hint="eastAsia" w:ascii="宋体" w:hAnsi="宋体" w:eastAsia="宋体" w:cs="宋体"/>
          <w:kern w:val="0"/>
          <w:szCs w:val="21"/>
        </w:rPr>
        <w:t>电    话：0571-87805727-806</w:t>
      </w:r>
    </w:p>
    <w:p>
      <w:pPr>
        <w:pStyle w:val="3"/>
      </w:pPr>
      <w:bookmarkStart w:id="6" w:name="_Toc6974"/>
      <w:r>
        <w:rPr>
          <w:rFonts w:hint="eastAsia"/>
        </w:rPr>
        <w:t>第二章  投标人须知</w:t>
      </w:r>
      <w:bookmarkEnd w:id="2"/>
      <w:bookmarkEnd w:id="3"/>
      <w:bookmarkEnd w:id="4"/>
      <w:bookmarkEnd w:id="5"/>
      <w:bookmarkEnd w:id="6"/>
    </w:p>
    <w:p>
      <w:pPr>
        <w:pStyle w:val="4"/>
        <w:jc w:val="center"/>
      </w:pPr>
      <w:bookmarkStart w:id="7" w:name="_Toc226969277"/>
      <w:bookmarkStart w:id="8" w:name="_Toc415814124"/>
      <w:bookmarkStart w:id="9" w:name="_Toc7204"/>
      <w:bookmarkStart w:id="10" w:name="_Toc506358593"/>
      <w:bookmarkStart w:id="11" w:name="_Toc227057884"/>
      <w:r>
        <w:rPr>
          <w:rFonts w:hint="eastAsia"/>
        </w:rPr>
        <w:t>投标人须知前附表</w:t>
      </w:r>
      <w:bookmarkEnd w:id="7"/>
      <w:bookmarkEnd w:id="8"/>
      <w:bookmarkEnd w:id="9"/>
      <w:bookmarkEnd w:id="10"/>
      <w:bookmarkEnd w:id="11"/>
    </w:p>
    <w:tbl>
      <w:tblPr>
        <w:tblStyle w:val="18"/>
        <w:tblW w:w="9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146"/>
        <w:gridCol w:w="63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blHeader/>
        </w:trPr>
        <w:tc>
          <w:tcPr>
            <w:tcW w:w="959" w:type="dxa"/>
            <w:tcBorders>
              <w:top w:val="single" w:color="auto" w:sz="12" w:space="0"/>
              <w:left w:val="single" w:color="auto" w:sz="12" w:space="0"/>
            </w:tcBorders>
            <w:vAlign w:val="center"/>
          </w:tcPr>
          <w:p>
            <w:pPr>
              <w:spacing w:line="400" w:lineRule="exact"/>
              <w:jc w:val="center"/>
              <w:rPr>
                <w:rFonts w:ascii="宋体" w:hAnsi="宋体" w:eastAsia="宋体" w:cs="宋体"/>
                <w:b/>
                <w:szCs w:val="21"/>
              </w:rPr>
            </w:pPr>
            <w:bookmarkStart w:id="12" w:name="_Toc107822484"/>
            <w:bookmarkStart w:id="13" w:name="_Toc226969278"/>
            <w:bookmarkStart w:id="14" w:name="_Toc488655831"/>
            <w:bookmarkStart w:id="15" w:name="_Toc227057885"/>
            <w:r>
              <w:rPr>
                <w:rFonts w:hint="eastAsia" w:ascii="宋体" w:hAnsi="宋体" w:eastAsia="宋体" w:cs="宋体"/>
                <w:b/>
                <w:szCs w:val="21"/>
              </w:rPr>
              <w:t>序号</w:t>
            </w:r>
          </w:p>
        </w:tc>
        <w:tc>
          <w:tcPr>
            <w:tcW w:w="2146" w:type="dxa"/>
            <w:tcBorders>
              <w:top w:val="single" w:color="auto" w:sz="12" w:space="0"/>
            </w:tcBorders>
            <w:vAlign w:val="center"/>
          </w:tcPr>
          <w:p>
            <w:pPr>
              <w:spacing w:line="400" w:lineRule="exact"/>
              <w:jc w:val="center"/>
              <w:rPr>
                <w:rFonts w:ascii="宋体" w:hAnsi="宋体" w:eastAsia="宋体" w:cs="宋体"/>
                <w:b/>
                <w:szCs w:val="21"/>
              </w:rPr>
            </w:pPr>
            <w:r>
              <w:rPr>
                <w:rFonts w:hint="eastAsia" w:ascii="宋体" w:hAnsi="宋体" w:eastAsia="宋体" w:cs="宋体"/>
                <w:b/>
                <w:szCs w:val="21"/>
              </w:rPr>
              <w:t>内容</w:t>
            </w:r>
          </w:p>
        </w:tc>
        <w:tc>
          <w:tcPr>
            <w:tcW w:w="6314" w:type="dxa"/>
            <w:tcBorders>
              <w:top w:val="single" w:color="auto" w:sz="12" w:space="0"/>
              <w:right w:val="single" w:color="auto" w:sz="12" w:space="0"/>
            </w:tcBorders>
            <w:vAlign w:val="center"/>
          </w:tcPr>
          <w:p>
            <w:pPr>
              <w:spacing w:line="400" w:lineRule="exact"/>
              <w:jc w:val="center"/>
              <w:rPr>
                <w:rFonts w:ascii="宋体" w:hAnsi="宋体" w:eastAsia="宋体" w:cs="宋体"/>
                <w:b/>
                <w:szCs w:val="21"/>
              </w:rPr>
            </w:pPr>
            <w:r>
              <w:rPr>
                <w:rFonts w:hint="eastAsia" w:ascii="宋体" w:hAnsi="宋体" w:eastAsia="宋体" w:cs="宋体"/>
                <w:b/>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1</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采购人</w:t>
            </w:r>
          </w:p>
        </w:tc>
        <w:tc>
          <w:tcPr>
            <w:tcW w:w="6314" w:type="dxa"/>
            <w:tcBorders>
              <w:right w:val="single" w:color="auto" w:sz="12" w:space="0"/>
            </w:tcBorders>
            <w:vAlign w:val="center"/>
          </w:tcPr>
          <w:p>
            <w:pPr>
              <w:autoSpaceDE w:val="0"/>
              <w:autoSpaceDN w:val="0"/>
              <w:spacing w:line="300" w:lineRule="exact"/>
              <w:textAlignment w:val="bottom"/>
              <w:rPr>
                <w:rFonts w:ascii="宋体" w:hAnsi="宋体" w:eastAsia="宋体" w:cs="宋体"/>
                <w:szCs w:val="21"/>
              </w:rPr>
            </w:pPr>
            <w:r>
              <w:rPr>
                <w:rFonts w:hint="eastAsia" w:ascii="宋体" w:hAnsi="宋体" w:eastAsia="宋体" w:cs="宋体"/>
                <w:szCs w:val="21"/>
              </w:rPr>
              <w:t>浙江大学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2</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建设地点</w:t>
            </w:r>
          </w:p>
        </w:tc>
        <w:tc>
          <w:tcPr>
            <w:tcW w:w="6314" w:type="dxa"/>
            <w:tcBorders>
              <w:right w:val="single" w:color="auto" w:sz="12" w:space="0"/>
            </w:tcBorders>
            <w:vAlign w:val="center"/>
          </w:tcPr>
          <w:p>
            <w:pPr>
              <w:autoSpaceDE w:val="0"/>
              <w:autoSpaceDN w:val="0"/>
              <w:spacing w:line="300" w:lineRule="exact"/>
              <w:textAlignment w:val="bottom"/>
              <w:rPr>
                <w:rFonts w:ascii="宋体" w:hAnsi="宋体" w:eastAsia="宋体" w:cs="宋体"/>
                <w:szCs w:val="21"/>
              </w:rPr>
            </w:pPr>
            <w:r>
              <w:rPr>
                <w:rFonts w:hint="eastAsia"/>
              </w:rPr>
              <w:t>浙江大学国际校区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3</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采购代理机构</w:t>
            </w:r>
          </w:p>
        </w:tc>
        <w:tc>
          <w:tcPr>
            <w:tcW w:w="6314" w:type="dxa"/>
            <w:tcBorders>
              <w:right w:val="single" w:color="auto" w:sz="12" w:space="0"/>
            </w:tcBorders>
            <w:vAlign w:val="center"/>
          </w:tcPr>
          <w:p>
            <w:pPr>
              <w:spacing w:line="300" w:lineRule="exact"/>
              <w:rPr>
                <w:rFonts w:ascii="宋体" w:hAnsi="宋体" w:eastAsia="宋体" w:cs="宋体"/>
                <w:szCs w:val="21"/>
              </w:rPr>
            </w:pPr>
            <w:r>
              <w:rPr>
                <w:rFonts w:hint="eastAsia" w:ascii="宋体" w:hAnsi="宋体" w:eastAsia="宋体" w:cs="宋体"/>
                <w:kern w:val="0"/>
                <w:szCs w:val="21"/>
              </w:rPr>
              <w:t>浙江五石工程咨询有限公司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4</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是否接受联合体投标</w:t>
            </w:r>
          </w:p>
        </w:tc>
        <w:tc>
          <w:tcPr>
            <w:tcW w:w="6314" w:type="dxa"/>
            <w:tcBorders>
              <w:right w:val="single" w:color="auto" w:sz="12" w:space="0"/>
            </w:tcBorders>
            <w:vAlign w:val="center"/>
          </w:tcPr>
          <w:p>
            <w:pPr>
              <w:autoSpaceDE w:val="0"/>
              <w:autoSpaceDN w:val="0"/>
              <w:spacing w:line="300" w:lineRule="exact"/>
              <w:textAlignment w:val="bottom"/>
              <w:rPr>
                <w:rFonts w:ascii="宋体" w:hAnsi="宋体" w:eastAsia="宋体" w:cs="宋体"/>
                <w:szCs w:val="21"/>
              </w:rPr>
            </w:pPr>
            <w:r>
              <w:rPr>
                <w:rFonts w:hint="eastAsia" w:ascii="宋体" w:hAnsi="宋体" w:eastAsia="宋体" w:cs="宋体"/>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5</w:t>
            </w:r>
          </w:p>
        </w:tc>
        <w:tc>
          <w:tcPr>
            <w:tcW w:w="2146" w:type="dxa"/>
            <w:vAlign w:val="center"/>
          </w:tcPr>
          <w:p>
            <w:pPr>
              <w:jc w:val="center"/>
              <w:rPr>
                <w:rFonts w:ascii="宋体" w:hAnsi="宋体" w:eastAsia="宋体" w:cs="宋体"/>
                <w:szCs w:val="21"/>
              </w:rPr>
            </w:pPr>
            <w:r>
              <w:rPr>
                <w:rFonts w:hint="eastAsia" w:ascii="宋体" w:hAnsi="宋体" w:eastAsia="宋体" w:cs="宋体"/>
                <w:b/>
                <w:bCs/>
                <w:szCs w:val="21"/>
              </w:rPr>
              <w:t>工期</w:t>
            </w:r>
          </w:p>
        </w:tc>
        <w:tc>
          <w:tcPr>
            <w:tcW w:w="6314" w:type="dxa"/>
            <w:tcBorders>
              <w:right w:val="single" w:color="auto" w:sz="12" w:space="0"/>
            </w:tcBorders>
            <w:vAlign w:val="center"/>
          </w:tcPr>
          <w:p>
            <w:pPr>
              <w:rPr>
                <w:rFonts w:ascii="宋体" w:hAnsi="宋体" w:eastAsia="宋体" w:cs="宋体"/>
                <w:szCs w:val="21"/>
              </w:rPr>
            </w:pPr>
            <w:r>
              <w:rPr>
                <w:rFonts w:hint="eastAsia" w:ascii="宋体" w:hAnsi="宋体" w:eastAsia="宋体" w:cs="宋体"/>
                <w:b/>
                <w:bCs/>
                <w:szCs w:val="21"/>
              </w:rPr>
              <w:t>自合同签订之日起90日历天内完成。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6</w:t>
            </w:r>
          </w:p>
        </w:tc>
        <w:tc>
          <w:tcPr>
            <w:tcW w:w="2146" w:type="dxa"/>
            <w:vAlign w:val="center"/>
          </w:tcPr>
          <w:p>
            <w:pPr>
              <w:jc w:val="center"/>
              <w:rPr>
                <w:rFonts w:ascii="宋体" w:hAnsi="宋体" w:eastAsia="宋体" w:cs="宋体"/>
                <w:b/>
                <w:bCs/>
                <w:szCs w:val="21"/>
              </w:rPr>
            </w:pPr>
            <w:r>
              <w:rPr>
                <w:rFonts w:hint="eastAsia" w:ascii="宋体" w:hAnsi="宋体" w:eastAsia="宋体" w:cs="宋体"/>
                <w:szCs w:val="21"/>
              </w:rPr>
              <w:t>承包方式</w:t>
            </w:r>
          </w:p>
        </w:tc>
        <w:tc>
          <w:tcPr>
            <w:tcW w:w="6314" w:type="dxa"/>
            <w:tcBorders>
              <w:right w:val="single" w:color="auto" w:sz="12" w:space="0"/>
            </w:tcBorders>
            <w:vAlign w:val="center"/>
          </w:tcPr>
          <w:p>
            <w:pPr>
              <w:rPr>
                <w:rFonts w:ascii="宋体" w:hAnsi="宋体" w:eastAsia="宋体" w:cs="宋体"/>
                <w:b/>
                <w:bCs/>
                <w:szCs w:val="21"/>
              </w:rPr>
            </w:pPr>
            <w:r>
              <w:rPr>
                <w:rFonts w:hint="eastAsia" w:ascii="宋体" w:hAnsi="宋体" w:eastAsia="宋体" w:cs="宋体"/>
                <w:lang w:val="zh-CN"/>
              </w:rPr>
              <w:t>包工、包料、包工期、包质量和包安全文明施工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7</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质量要求</w:t>
            </w:r>
          </w:p>
        </w:tc>
        <w:tc>
          <w:tcPr>
            <w:tcW w:w="6314" w:type="dxa"/>
            <w:tcBorders>
              <w:right w:val="single" w:color="auto" w:sz="12" w:space="0"/>
            </w:tcBorders>
            <w:vAlign w:val="center"/>
          </w:tcPr>
          <w:p>
            <w:pPr>
              <w:autoSpaceDE w:val="0"/>
              <w:autoSpaceDN w:val="0"/>
              <w:spacing w:line="300" w:lineRule="exact"/>
              <w:textAlignment w:val="bottom"/>
              <w:rPr>
                <w:rFonts w:ascii="宋体" w:hAnsi="宋体" w:eastAsia="宋体" w:cs="宋体"/>
                <w:szCs w:val="21"/>
              </w:rPr>
            </w:pPr>
            <w:r>
              <w:rPr>
                <w:rFonts w:hint="eastAsia" w:ascii="宋体" w:hAnsi="宋体" w:eastAsia="宋体" w:cs="宋体"/>
              </w:rPr>
              <w:t>符合《建筑装饰装修工程施工质量验收标准》GB50210-2018验收合格标准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8</w:t>
            </w:r>
          </w:p>
        </w:tc>
        <w:tc>
          <w:tcPr>
            <w:tcW w:w="2146" w:type="dxa"/>
            <w:vAlign w:val="center"/>
          </w:tcPr>
          <w:p>
            <w:pPr>
              <w:autoSpaceDE w:val="0"/>
              <w:autoSpaceDN w:val="0"/>
              <w:spacing w:line="300" w:lineRule="exact"/>
              <w:jc w:val="center"/>
              <w:textAlignment w:val="bottom"/>
              <w:rPr>
                <w:rFonts w:ascii="宋体" w:hAnsi="宋体" w:eastAsia="宋体" w:cs="宋体"/>
                <w:b/>
                <w:bCs/>
                <w:szCs w:val="21"/>
              </w:rPr>
            </w:pPr>
            <w:r>
              <w:rPr>
                <w:rFonts w:hint="eastAsia" w:ascii="宋体" w:hAnsi="宋体" w:eastAsia="宋体" w:cs="宋体"/>
                <w:b/>
                <w:bCs/>
                <w:szCs w:val="21"/>
              </w:rPr>
              <w:t>现场踏勘</w:t>
            </w:r>
          </w:p>
        </w:tc>
        <w:tc>
          <w:tcPr>
            <w:tcW w:w="6314" w:type="dxa"/>
            <w:tcBorders>
              <w:right w:val="single" w:color="auto" w:sz="12" w:space="0"/>
            </w:tcBorders>
            <w:vAlign w:val="center"/>
          </w:tcPr>
          <w:p>
            <w:pPr>
              <w:spacing w:line="300" w:lineRule="exact"/>
              <w:rPr>
                <w:rFonts w:ascii="宋体" w:hAnsi="宋体" w:eastAsia="宋体" w:cs="宋体"/>
                <w:b/>
                <w:bCs/>
                <w:szCs w:val="21"/>
              </w:rPr>
            </w:pPr>
            <w:r>
              <w:rPr>
                <w:rFonts w:hint="eastAsia" w:ascii="宋体" w:hAnsi="宋体" w:eastAsia="宋体" w:cs="宋体"/>
                <w:b/>
                <w:bCs/>
                <w:kern w:val="0"/>
                <w:szCs w:val="21"/>
              </w:rPr>
              <w:t>采购人及代理机构不组织集中勘察。</w:t>
            </w:r>
            <w:r>
              <w:rPr>
                <w:rFonts w:hint="eastAsia" w:ascii="宋体" w:hAnsi="宋体" w:eastAsia="宋体" w:cs="宋体"/>
                <w:b/>
                <w:bCs/>
                <w:szCs w:val="21"/>
              </w:rPr>
              <w:t>投标人如有需要，可提前与采购人联系，经采购人同意后可自行前往，踏勘期间发生的费用或意外导致伤亡等一切责任和损失均由投标人自负。采购联系人：</w:t>
            </w:r>
            <w:r>
              <w:rPr>
                <w:rFonts w:hint="eastAsia" w:ascii="宋体" w:hAnsi="宋体" w:eastAsia="宋体" w:cs="宋体"/>
                <w:b/>
                <w:bCs/>
                <w:kern w:val="0"/>
                <w:szCs w:val="21"/>
              </w:rPr>
              <w:t xml:space="preserve">  </w:t>
            </w:r>
            <w:r>
              <w:rPr>
                <w:rFonts w:hint="eastAsia" w:ascii="宋体" w:hAnsi="宋体" w:eastAsia="宋体" w:cs="宋体"/>
                <w:b/>
                <w:bCs/>
                <w:kern w:val="0"/>
                <w:szCs w:val="21"/>
                <w:lang w:val="en-US" w:eastAsia="zh-CN"/>
              </w:rPr>
              <w:t>李</w:t>
            </w:r>
            <w:r>
              <w:rPr>
                <w:rFonts w:hint="eastAsia" w:ascii="宋体" w:hAnsi="宋体" w:eastAsia="宋体" w:cs="宋体"/>
                <w:b/>
                <w:bCs/>
                <w:kern w:val="0"/>
                <w:szCs w:val="21"/>
              </w:rPr>
              <w:t>老师 ；</w:t>
            </w:r>
            <w:r>
              <w:rPr>
                <w:rFonts w:hint="eastAsia" w:ascii="宋体" w:hAnsi="宋体" w:eastAsia="宋体" w:cs="宋体"/>
                <w:b/>
                <w:bCs/>
                <w:szCs w:val="21"/>
              </w:rPr>
              <w:t>联系方式：13958099378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9</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答疑会</w:t>
            </w:r>
          </w:p>
        </w:tc>
        <w:tc>
          <w:tcPr>
            <w:tcW w:w="6314" w:type="dxa"/>
            <w:tcBorders>
              <w:right w:val="single" w:color="auto" w:sz="12" w:space="0"/>
            </w:tcBorders>
            <w:vAlign w:val="center"/>
          </w:tcPr>
          <w:p>
            <w:pPr>
              <w:spacing w:line="300" w:lineRule="exact"/>
              <w:ind w:right="87"/>
              <w:rPr>
                <w:rFonts w:ascii="宋体" w:hAnsi="宋体" w:eastAsia="宋体" w:cs="宋体"/>
                <w:szCs w:val="21"/>
              </w:rPr>
            </w:pPr>
            <w:r>
              <w:rPr>
                <w:rFonts w:hint="eastAsia" w:ascii="宋体" w:hAnsi="宋体" w:eastAsia="宋体" w:cs="宋体"/>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10</w:t>
            </w:r>
          </w:p>
        </w:tc>
        <w:tc>
          <w:tcPr>
            <w:tcW w:w="2146" w:type="dxa"/>
            <w:vAlign w:val="center"/>
          </w:tcPr>
          <w:p>
            <w:pPr>
              <w:autoSpaceDE w:val="0"/>
              <w:autoSpaceDN w:val="0"/>
              <w:spacing w:line="300" w:lineRule="exact"/>
              <w:jc w:val="center"/>
              <w:textAlignment w:val="bottom"/>
              <w:rPr>
                <w:rFonts w:ascii="宋体" w:hAnsi="宋体" w:eastAsia="宋体" w:cs="宋体"/>
                <w:b/>
                <w:bCs/>
                <w:szCs w:val="21"/>
              </w:rPr>
            </w:pPr>
            <w:r>
              <w:rPr>
                <w:rFonts w:hint="eastAsia" w:ascii="宋体" w:hAnsi="宋体" w:eastAsia="宋体" w:cs="宋体"/>
                <w:b/>
                <w:bCs/>
                <w:kern w:val="0"/>
                <w:szCs w:val="21"/>
              </w:rPr>
              <w:t>转包、分包</w:t>
            </w:r>
          </w:p>
        </w:tc>
        <w:tc>
          <w:tcPr>
            <w:tcW w:w="6314" w:type="dxa"/>
            <w:tcBorders>
              <w:right w:val="single" w:color="auto" w:sz="12" w:space="0"/>
            </w:tcBorders>
            <w:vAlign w:val="center"/>
          </w:tcPr>
          <w:p>
            <w:pPr>
              <w:spacing w:line="300" w:lineRule="exact"/>
              <w:rPr>
                <w:rFonts w:ascii="宋体" w:hAnsi="宋体" w:eastAsia="宋体" w:cs="宋体"/>
                <w:b/>
                <w:bCs/>
              </w:rPr>
            </w:pPr>
            <w:r>
              <w:rPr>
                <w:rFonts w:hint="eastAsia" w:ascii="宋体" w:hAnsi="宋体" w:eastAsia="宋体" w:cs="宋体"/>
                <w:b/>
                <w:bCs/>
              </w:rPr>
              <w:t>不允许转包，不允许分包。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11</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询疑截止时间</w:t>
            </w:r>
          </w:p>
        </w:tc>
        <w:tc>
          <w:tcPr>
            <w:tcW w:w="6314" w:type="dxa"/>
            <w:tcBorders>
              <w:right w:val="single" w:color="auto" w:sz="12" w:space="0"/>
            </w:tcBorders>
            <w:vAlign w:val="center"/>
          </w:tcPr>
          <w:p>
            <w:pPr>
              <w:autoSpaceDE w:val="0"/>
              <w:autoSpaceDN w:val="0"/>
              <w:spacing w:line="300" w:lineRule="exact"/>
              <w:textAlignment w:val="bottom"/>
              <w:rPr>
                <w:rFonts w:ascii="宋体" w:hAnsi="宋体" w:eastAsia="宋体" w:cs="宋体"/>
                <w:szCs w:val="21"/>
              </w:rPr>
            </w:pPr>
            <w:r>
              <w:rPr>
                <w:rFonts w:hint="eastAsia" w:ascii="宋体" w:hAnsi="宋体" w:eastAsia="宋体" w:cs="宋体"/>
                <w:szCs w:val="21"/>
              </w:rPr>
              <w:t>投标人在收到招标文件后，对招标文件若有疑问，均应在2020年9月25日16 :30前以书面形式向招标代理机构提交。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12</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签字或盖章要求</w:t>
            </w:r>
          </w:p>
        </w:tc>
        <w:tc>
          <w:tcPr>
            <w:tcW w:w="6314" w:type="dxa"/>
            <w:tcBorders>
              <w:right w:val="single" w:color="auto" w:sz="12" w:space="0"/>
            </w:tcBorders>
            <w:vAlign w:val="center"/>
          </w:tcPr>
          <w:p>
            <w:pPr>
              <w:autoSpaceDE w:val="0"/>
              <w:autoSpaceDN w:val="0"/>
              <w:spacing w:line="300" w:lineRule="exact"/>
              <w:textAlignment w:val="bottom"/>
              <w:rPr>
                <w:rFonts w:ascii="宋体" w:hAnsi="宋体" w:eastAsia="宋体" w:cs="宋体"/>
                <w:szCs w:val="21"/>
              </w:rPr>
            </w:pPr>
            <w:r>
              <w:rPr>
                <w:rFonts w:hint="eastAsia" w:ascii="宋体" w:hAnsi="宋体" w:eastAsia="宋体" w:cs="宋体"/>
                <w:szCs w:val="21"/>
              </w:rPr>
              <w:t>按照投标文件格式要求签署、盖章。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13</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投标文件组成</w:t>
            </w:r>
          </w:p>
        </w:tc>
        <w:tc>
          <w:tcPr>
            <w:tcW w:w="6314" w:type="dxa"/>
            <w:tcBorders>
              <w:right w:val="single" w:color="auto" w:sz="12" w:space="0"/>
            </w:tcBorders>
            <w:vAlign w:val="center"/>
          </w:tcPr>
          <w:p>
            <w:pPr>
              <w:autoSpaceDE w:val="0"/>
              <w:autoSpaceDN w:val="0"/>
              <w:spacing w:line="300" w:lineRule="exact"/>
              <w:textAlignment w:val="bottom"/>
              <w:rPr>
                <w:rFonts w:ascii="宋体" w:hAnsi="宋体" w:eastAsia="宋体" w:cs="宋体"/>
                <w:szCs w:val="21"/>
              </w:rPr>
            </w:pPr>
            <w:r>
              <w:rPr>
                <w:rFonts w:hint="eastAsia" w:ascii="宋体" w:hAnsi="宋体" w:eastAsia="宋体" w:cs="宋体"/>
                <w:szCs w:val="21"/>
              </w:rPr>
              <w:t>正本一份、副本四份、电子版一份。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14</w:t>
            </w:r>
          </w:p>
        </w:tc>
        <w:tc>
          <w:tcPr>
            <w:tcW w:w="2146" w:type="dxa"/>
            <w:vAlign w:val="center"/>
          </w:tcPr>
          <w:p>
            <w:pPr>
              <w:autoSpaceDE w:val="0"/>
              <w:autoSpaceDN w:val="0"/>
              <w:spacing w:line="300" w:lineRule="exact"/>
              <w:jc w:val="center"/>
              <w:textAlignment w:val="bottom"/>
              <w:rPr>
                <w:rFonts w:ascii="宋体" w:hAnsi="宋体" w:eastAsia="宋体" w:cs="宋体"/>
                <w:b/>
                <w:bCs/>
                <w:szCs w:val="21"/>
              </w:rPr>
            </w:pPr>
            <w:r>
              <w:rPr>
                <w:rFonts w:hint="eastAsia" w:ascii="宋体" w:hAnsi="宋体" w:eastAsia="宋体" w:cs="宋体"/>
                <w:b/>
                <w:bCs/>
                <w:szCs w:val="21"/>
              </w:rPr>
              <w:t>投标文件数量及装订要求</w:t>
            </w:r>
          </w:p>
        </w:tc>
        <w:tc>
          <w:tcPr>
            <w:tcW w:w="6314" w:type="dxa"/>
            <w:tcBorders>
              <w:right w:val="single" w:color="auto" w:sz="12" w:space="0"/>
            </w:tcBorders>
            <w:vAlign w:val="center"/>
          </w:tcPr>
          <w:p>
            <w:pPr>
              <w:spacing w:line="300" w:lineRule="exact"/>
              <w:rPr>
                <w:rFonts w:ascii="宋体" w:hAnsi="宋体" w:eastAsia="宋体" w:cs="宋体"/>
                <w:b/>
                <w:bCs/>
                <w:spacing w:val="-6"/>
                <w:szCs w:val="21"/>
                <w:u w:val="single"/>
              </w:rPr>
            </w:pPr>
            <w:r>
              <w:rPr>
                <w:rFonts w:hint="eastAsia" w:ascii="宋体" w:hAnsi="宋体" w:eastAsia="宋体" w:cs="宋体"/>
                <w:b/>
                <w:bCs/>
                <w:spacing w:val="-6"/>
                <w:szCs w:val="21"/>
                <w:u w:val="single"/>
              </w:rPr>
              <w:t>由资格证明文件、资信及技术文件、报价文件、电子文件组成，分别编制、分别装订、分别密封；</w:t>
            </w:r>
          </w:p>
          <w:p>
            <w:pPr>
              <w:spacing w:line="300" w:lineRule="exact"/>
              <w:rPr>
                <w:rFonts w:ascii="宋体" w:hAnsi="宋体" w:eastAsia="宋体" w:cs="宋体"/>
                <w:b/>
                <w:bCs/>
                <w:spacing w:val="-6"/>
                <w:szCs w:val="21"/>
                <w:u w:val="single"/>
              </w:rPr>
            </w:pPr>
            <w:r>
              <w:rPr>
                <w:rFonts w:hint="eastAsia" w:ascii="宋体" w:hAnsi="宋体" w:eastAsia="宋体" w:cs="宋体"/>
                <w:b/>
                <w:bCs/>
                <w:spacing w:val="-6"/>
                <w:szCs w:val="21"/>
                <w:u w:val="single"/>
              </w:rPr>
              <w:t>纸质版：正本各一份，副本各四份（要求胶装）</w:t>
            </w:r>
          </w:p>
          <w:p>
            <w:pPr>
              <w:spacing w:line="300" w:lineRule="exact"/>
              <w:rPr>
                <w:rFonts w:ascii="宋体" w:hAnsi="宋体" w:eastAsia="宋体" w:cs="宋体"/>
                <w:b/>
                <w:bCs/>
                <w:spacing w:val="-6"/>
                <w:szCs w:val="21"/>
                <w:u w:val="single"/>
              </w:rPr>
            </w:pPr>
            <w:r>
              <w:rPr>
                <w:rFonts w:hint="eastAsia" w:ascii="宋体" w:hAnsi="宋体" w:eastAsia="宋体" w:cs="宋体"/>
                <w:spacing w:val="-6"/>
                <w:szCs w:val="21"/>
              </w:rPr>
              <w:t>▲</w:t>
            </w:r>
            <w:r>
              <w:rPr>
                <w:rFonts w:hint="eastAsia" w:ascii="宋体" w:hAnsi="宋体" w:eastAsia="宋体" w:cs="宋体"/>
                <w:kern w:val="0"/>
                <w:szCs w:val="21"/>
              </w:rPr>
              <w:t>活页装订（卡条、抽杆夹、订书机、散装）的投标文件无效。</w:t>
            </w:r>
          </w:p>
          <w:p>
            <w:pPr>
              <w:spacing w:line="300" w:lineRule="exact"/>
              <w:rPr>
                <w:rFonts w:ascii="宋体" w:hAnsi="宋体" w:eastAsia="宋体" w:cs="宋体"/>
                <w:b/>
                <w:bCs/>
                <w:szCs w:val="21"/>
              </w:rPr>
            </w:pPr>
            <w:r>
              <w:rPr>
                <w:rFonts w:hint="eastAsia" w:ascii="宋体" w:hAnsi="宋体" w:eastAsia="宋体" w:cs="宋体"/>
                <w:b/>
                <w:bCs/>
                <w:spacing w:val="-6"/>
                <w:szCs w:val="21"/>
                <w:u w:val="single"/>
              </w:rPr>
              <w:t>文件电子版：壹份，内容为资信技术纸质投标文件正本的</w:t>
            </w:r>
            <w:r>
              <w:rPr>
                <w:rFonts w:hint="eastAsia" w:ascii="宋体" w:hAnsi="宋体" w:eastAsia="宋体" w:cs="宋体"/>
                <w:b/>
                <w:bCs/>
                <w:spacing w:val="-6"/>
                <w:szCs w:val="21"/>
                <w:u w:val="single"/>
                <w:lang w:eastAsia="zh-CN"/>
              </w:rPr>
              <w:t>电子版</w:t>
            </w:r>
            <w:r>
              <w:rPr>
                <w:rFonts w:hint="eastAsia" w:ascii="宋体" w:hAnsi="宋体" w:eastAsia="宋体" w:cs="宋体"/>
                <w:b/>
                <w:bCs/>
                <w:spacing w:val="-6"/>
                <w:szCs w:val="21"/>
                <w:u w:val="single"/>
              </w:rPr>
              <w:t>，PDF格式，光盘或U盘存储。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15</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投标文件有效期</w:t>
            </w:r>
          </w:p>
        </w:tc>
        <w:tc>
          <w:tcPr>
            <w:tcW w:w="6314" w:type="dxa"/>
            <w:tcBorders>
              <w:right w:val="single" w:color="auto" w:sz="12" w:space="0"/>
            </w:tcBorders>
            <w:vAlign w:val="center"/>
          </w:tcPr>
          <w:p>
            <w:pPr>
              <w:autoSpaceDE w:val="0"/>
              <w:autoSpaceDN w:val="0"/>
              <w:spacing w:line="300" w:lineRule="exact"/>
              <w:textAlignment w:val="bottom"/>
              <w:rPr>
                <w:rFonts w:ascii="宋体" w:hAnsi="宋体" w:eastAsia="宋体" w:cs="宋体"/>
                <w:szCs w:val="21"/>
              </w:rPr>
            </w:pPr>
            <w:r>
              <w:rPr>
                <w:rFonts w:hint="eastAsia" w:ascii="宋体" w:hAnsi="宋体" w:eastAsia="宋体" w:cs="宋体"/>
                <w:szCs w:val="21"/>
              </w:rPr>
              <w:t>自投标文件提交截止时间起90天内。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16</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投标文件密封要求</w:t>
            </w:r>
          </w:p>
        </w:tc>
        <w:tc>
          <w:tcPr>
            <w:tcW w:w="6314" w:type="dxa"/>
            <w:tcBorders>
              <w:right w:val="single" w:color="auto" w:sz="12" w:space="0"/>
            </w:tcBorders>
            <w:vAlign w:val="center"/>
          </w:tcPr>
          <w:p>
            <w:pPr>
              <w:numPr>
                <w:ilvl w:val="0"/>
                <w:numId w:val="2"/>
              </w:numPr>
              <w:autoSpaceDE w:val="0"/>
              <w:autoSpaceDN w:val="0"/>
              <w:spacing w:line="300" w:lineRule="exact"/>
              <w:textAlignment w:val="bottom"/>
              <w:rPr>
                <w:rFonts w:ascii="宋体" w:hAnsi="宋体" w:eastAsia="宋体" w:cs="宋体"/>
                <w:b/>
                <w:bCs/>
                <w:spacing w:val="-6"/>
                <w:szCs w:val="21"/>
                <w:u w:val="single"/>
              </w:rPr>
            </w:pPr>
            <w:r>
              <w:rPr>
                <w:rFonts w:hint="eastAsia" w:ascii="宋体" w:hAnsi="宋体" w:eastAsia="宋体" w:cs="宋体"/>
                <w:b/>
                <w:bCs/>
                <w:spacing w:val="-6"/>
                <w:szCs w:val="21"/>
                <w:u w:val="single"/>
              </w:rPr>
              <w:t>资格证明文件正本与副本密封为一包；</w:t>
            </w:r>
          </w:p>
          <w:p>
            <w:pPr>
              <w:numPr>
                <w:ilvl w:val="0"/>
                <w:numId w:val="2"/>
              </w:numPr>
              <w:autoSpaceDE w:val="0"/>
              <w:autoSpaceDN w:val="0"/>
              <w:spacing w:line="300" w:lineRule="exact"/>
              <w:textAlignment w:val="bottom"/>
              <w:rPr>
                <w:rFonts w:ascii="宋体" w:hAnsi="宋体" w:eastAsia="宋体" w:cs="宋体"/>
                <w:b/>
                <w:bCs/>
                <w:spacing w:val="-6"/>
                <w:szCs w:val="21"/>
                <w:u w:val="single"/>
              </w:rPr>
            </w:pPr>
            <w:r>
              <w:rPr>
                <w:rFonts w:hint="eastAsia" w:ascii="宋体" w:hAnsi="宋体" w:eastAsia="宋体" w:cs="宋体"/>
                <w:b/>
                <w:bCs/>
                <w:spacing w:val="-6"/>
                <w:szCs w:val="21"/>
                <w:u w:val="single"/>
              </w:rPr>
              <w:t>资信及技术文件正本与副本密封为一包；</w:t>
            </w:r>
          </w:p>
          <w:p>
            <w:pPr>
              <w:numPr>
                <w:ilvl w:val="0"/>
                <w:numId w:val="2"/>
              </w:numPr>
              <w:autoSpaceDE w:val="0"/>
              <w:autoSpaceDN w:val="0"/>
              <w:spacing w:line="300" w:lineRule="exact"/>
              <w:textAlignment w:val="bottom"/>
              <w:rPr>
                <w:rFonts w:ascii="宋体" w:hAnsi="宋体" w:eastAsia="宋体" w:cs="宋体"/>
                <w:b/>
                <w:bCs/>
                <w:spacing w:val="-6"/>
                <w:szCs w:val="21"/>
                <w:u w:val="single"/>
              </w:rPr>
            </w:pPr>
            <w:r>
              <w:rPr>
                <w:rFonts w:hint="eastAsia" w:ascii="宋体" w:hAnsi="宋体" w:eastAsia="宋体" w:cs="宋体"/>
                <w:b/>
                <w:bCs/>
                <w:spacing w:val="-6"/>
                <w:szCs w:val="21"/>
                <w:u w:val="single"/>
              </w:rPr>
              <w:t>报价文件正本与副本及电子档密封为一包；</w:t>
            </w:r>
          </w:p>
          <w:p>
            <w:pPr>
              <w:autoSpaceDE w:val="0"/>
              <w:autoSpaceDN w:val="0"/>
              <w:spacing w:line="300" w:lineRule="exact"/>
              <w:textAlignment w:val="bottom"/>
              <w:rPr>
                <w:rFonts w:ascii="宋体" w:hAnsi="宋体" w:eastAsia="宋体" w:cs="宋体"/>
                <w:szCs w:val="21"/>
              </w:rPr>
            </w:pPr>
            <w:r>
              <w:rPr>
                <w:rFonts w:hint="eastAsia" w:ascii="宋体" w:hAnsi="宋体" w:eastAsia="宋体" w:cs="宋体"/>
                <w:szCs w:val="21"/>
              </w:rPr>
              <w:t>在外包装上注明投标项目名称、项目编号、投标人全称及开标时启封字样，并加盖公章。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17</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投标文件递交截止时间</w:t>
            </w:r>
          </w:p>
        </w:tc>
        <w:tc>
          <w:tcPr>
            <w:tcW w:w="6314" w:type="dxa"/>
            <w:tcBorders>
              <w:right w:val="single" w:color="auto" w:sz="12" w:space="0"/>
            </w:tcBorders>
            <w:vAlign w:val="center"/>
          </w:tcPr>
          <w:p>
            <w:pPr>
              <w:autoSpaceDE w:val="0"/>
              <w:autoSpaceDN w:val="0"/>
              <w:spacing w:line="300" w:lineRule="exact"/>
              <w:textAlignment w:val="bottom"/>
              <w:rPr>
                <w:rFonts w:ascii="宋体" w:hAnsi="宋体" w:eastAsia="宋体" w:cs="宋体"/>
                <w:szCs w:val="21"/>
              </w:rPr>
            </w:pPr>
            <w:r>
              <w:rPr>
                <w:rFonts w:hint="eastAsia" w:ascii="宋体" w:hAnsi="宋体" w:eastAsia="宋体" w:cs="宋体"/>
                <w:szCs w:val="21"/>
              </w:rPr>
              <w:t>按公告规定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18</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开标时间、地点</w:t>
            </w:r>
          </w:p>
        </w:tc>
        <w:tc>
          <w:tcPr>
            <w:tcW w:w="6314" w:type="dxa"/>
            <w:tcBorders>
              <w:right w:val="single" w:color="auto" w:sz="12" w:space="0"/>
            </w:tcBorders>
            <w:vAlign w:val="center"/>
          </w:tcPr>
          <w:p>
            <w:pPr>
              <w:autoSpaceDE w:val="0"/>
              <w:autoSpaceDN w:val="0"/>
              <w:spacing w:line="300" w:lineRule="exact"/>
              <w:textAlignment w:val="bottom"/>
              <w:rPr>
                <w:rFonts w:ascii="宋体" w:hAnsi="宋体" w:eastAsia="宋体" w:cs="宋体"/>
                <w:szCs w:val="21"/>
              </w:rPr>
            </w:pPr>
            <w:r>
              <w:rPr>
                <w:rFonts w:hint="eastAsia" w:ascii="宋体" w:hAnsi="宋体" w:eastAsia="宋体" w:cs="宋体"/>
                <w:szCs w:val="21"/>
              </w:rPr>
              <w:t>按公告规定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59" w:type="dxa"/>
            <w:tcBorders>
              <w:left w:val="single" w:color="auto" w:sz="12" w:space="0"/>
            </w:tcBorders>
            <w:vAlign w:val="center"/>
          </w:tcPr>
          <w:p>
            <w:pPr>
              <w:jc w:val="center"/>
              <w:rPr>
                <w:rFonts w:ascii="宋体" w:hAnsi="宋体" w:eastAsia="宋体" w:cs="宋体"/>
                <w:szCs w:val="21"/>
              </w:rPr>
            </w:pPr>
            <w:r>
              <w:rPr>
                <w:rFonts w:hint="eastAsia" w:ascii="宋体" w:hAnsi="宋体" w:eastAsia="宋体" w:cs="宋体"/>
                <w:szCs w:val="21"/>
              </w:rPr>
              <w:t>19</w:t>
            </w:r>
          </w:p>
        </w:tc>
        <w:tc>
          <w:tcPr>
            <w:tcW w:w="2146" w:type="dxa"/>
            <w:vAlign w:val="center"/>
          </w:tcPr>
          <w:p>
            <w:pPr>
              <w:jc w:val="center"/>
              <w:rPr>
                <w:rFonts w:ascii="宋体" w:hAnsi="宋体" w:eastAsia="宋体" w:cs="宋体"/>
                <w:szCs w:val="21"/>
              </w:rPr>
            </w:pPr>
            <w:r>
              <w:rPr>
                <w:rFonts w:hint="eastAsia" w:ascii="宋体" w:hAnsi="宋体" w:eastAsia="宋体" w:cs="宋体"/>
                <w:szCs w:val="21"/>
              </w:rPr>
              <w:t>履约担保</w:t>
            </w:r>
          </w:p>
        </w:tc>
        <w:tc>
          <w:tcPr>
            <w:tcW w:w="6314" w:type="dxa"/>
            <w:tcBorders>
              <w:right w:val="single" w:color="auto" w:sz="12" w:space="0"/>
            </w:tcBorders>
            <w:vAlign w:val="center"/>
          </w:tcPr>
          <w:p>
            <w:pPr>
              <w:widowControl/>
              <w:spacing w:line="288" w:lineRule="auto"/>
              <w:rPr>
                <w:rFonts w:ascii="宋体" w:hAnsi="宋体" w:eastAsia="宋体" w:cs="宋体"/>
              </w:rPr>
            </w:pPr>
            <w:r>
              <w:rPr>
                <w:rFonts w:hint="eastAsia" w:ascii="宋体" w:hAnsi="宋体" w:eastAsia="宋体" w:cs="宋体"/>
              </w:rPr>
              <w:t>1、中标方向招标方提供履约担保，担保方式为：</w:t>
            </w:r>
            <w:r>
              <w:rPr>
                <w:rFonts w:hint="eastAsia" w:ascii="宋体" w:hAnsi="宋体" w:eastAsia="宋体" w:cs="宋体"/>
                <w:u w:val="single"/>
              </w:rPr>
              <w:t xml:space="preserve">  银行汇票、支票、</w:t>
            </w:r>
            <w:r>
              <w:rPr>
                <w:rFonts w:hint="eastAsia" w:ascii="宋体" w:hAnsi="宋体" w:eastAsia="宋体" w:cs="宋体"/>
                <w:szCs w:val="21"/>
                <w:u w:val="single"/>
              </w:rPr>
              <w:t>电汇</w:t>
            </w:r>
            <w:r>
              <w:rPr>
                <w:rFonts w:hint="eastAsia" w:ascii="宋体" w:hAnsi="宋体" w:eastAsia="宋体" w:cs="宋体"/>
                <w:szCs w:val="21"/>
              </w:rPr>
              <w:t>，</w:t>
            </w:r>
            <w:r>
              <w:rPr>
                <w:rFonts w:hint="eastAsia" w:ascii="宋体" w:hAnsi="宋体" w:eastAsia="宋体" w:cs="宋体"/>
              </w:rPr>
              <w:t>担保合同作为本合同附件。担保额度：</w:t>
            </w:r>
            <w:r>
              <w:rPr>
                <w:rFonts w:hint="eastAsia" w:ascii="宋体" w:hAnsi="宋体" w:eastAsia="宋体" w:cs="宋体"/>
                <w:b/>
                <w:bCs/>
              </w:rPr>
              <w:t>合同价的</w:t>
            </w:r>
            <w:r>
              <w:rPr>
                <w:rFonts w:hint="eastAsia" w:ascii="宋体" w:hAnsi="宋体" w:eastAsia="宋体" w:cs="宋体"/>
                <w:b/>
                <w:bCs/>
                <w:u w:val="single"/>
              </w:rPr>
              <w:t>10%</w:t>
            </w:r>
            <w:r>
              <w:rPr>
                <w:rFonts w:hint="eastAsia" w:ascii="宋体" w:hAnsi="宋体" w:eastAsia="宋体" w:cs="宋体"/>
                <w:b/>
                <w:bCs/>
              </w:rPr>
              <w:t>。</w:t>
            </w:r>
            <w:r>
              <w:rPr>
                <w:rFonts w:hint="eastAsia" w:ascii="宋体" w:hAnsi="宋体" w:eastAsia="宋体" w:cs="宋体"/>
              </w:rPr>
              <w:t>中标方在合同协议签订前3天内，应按合同规定向招标方提交履约担保。</w:t>
            </w:r>
          </w:p>
          <w:p>
            <w:pPr>
              <w:widowControl/>
              <w:spacing w:line="288" w:lineRule="auto"/>
              <w:rPr>
                <w:rFonts w:ascii="宋体" w:hAnsi="宋体" w:eastAsia="宋体" w:cs="宋体"/>
              </w:rPr>
            </w:pPr>
            <w:r>
              <w:rPr>
                <w:rFonts w:hint="eastAsia" w:ascii="宋体" w:hAnsi="宋体" w:eastAsia="宋体" w:cs="宋体"/>
              </w:rPr>
              <w:t>2、双方约定的其他担保事项：无</w:t>
            </w:r>
          </w:p>
          <w:p>
            <w:pPr>
              <w:widowControl/>
              <w:spacing w:line="288" w:lineRule="auto"/>
              <w:rPr>
                <w:rFonts w:ascii="宋体" w:hAnsi="宋体" w:eastAsia="宋体" w:cs="宋体"/>
              </w:rPr>
            </w:pPr>
            <w:r>
              <w:rPr>
                <w:rFonts w:hint="eastAsia" w:ascii="宋体" w:hAnsi="宋体" w:eastAsia="宋体" w:cs="宋体"/>
              </w:rPr>
              <w:t>3、如中标方原因造成合同中止，履约担保金不返还。</w:t>
            </w:r>
          </w:p>
          <w:p>
            <w:pPr>
              <w:rPr>
                <w:rFonts w:ascii="宋体" w:hAnsi="宋体" w:eastAsia="宋体" w:cs="宋体"/>
              </w:rPr>
            </w:pPr>
            <w:r>
              <w:rPr>
                <w:rFonts w:hint="eastAsia" w:ascii="宋体" w:hAnsi="宋体" w:eastAsia="宋体" w:cs="宋体"/>
              </w:rPr>
              <w:t>4、如中标方不能按投标承诺和合同要求履约，招标方将有权扣除相应甚至全部履约担保。</w:t>
            </w:r>
          </w:p>
          <w:p>
            <w:pPr>
              <w:rPr>
                <w:rFonts w:ascii="宋体" w:hAnsi="宋体" w:eastAsia="宋体" w:cs="宋体"/>
                <w:b/>
                <w:szCs w:val="21"/>
              </w:rPr>
            </w:pPr>
            <w:r>
              <w:rPr>
                <w:rFonts w:hint="eastAsia" w:ascii="宋体" w:hAnsi="宋体" w:eastAsia="宋体" w:cs="宋体"/>
              </w:rPr>
              <w:t>5、</w:t>
            </w:r>
            <w:r>
              <w:rPr>
                <w:rFonts w:hint="eastAsia" w:ascii="宋体" w:hAnsi="宋体" w:eastAsia="宋体" w:cs="宋体"/>
                <w:b/>
                <w:szCs w:val="21"/>
              </w:rPr>
              <w:t>为防止投标人低价抢标，招标控制价的</w:t>
            </w:r>
            <w:r>
              <w:rPr>
                <w:rFonts w:hint="eastAsia" w:ascii="宋体" w:hAnsi="宋体" w:eastAsia="宋体" w:cs="宋体"/>
                <w:b/>
                <w:szCs w:val="21"/>
                <w:u w:val="single"/>
              </w:rPr>
              <w:t>82%</w:t>
            </w:r>
            <w:r>
              <w:rPr>
                <w:rFonts w:hint="eastAsia" w:ascii="宋体" w:hAnsi="宋体" w:eastAsia="宋体" w:cs="宋体"/>
                <w:b/>
                <w:szCs w:val="21"/>
              </w:rPr>
              <w:t>作为风险控制价，凡低于该风险控制价的，中标人在提交履约保证金的同时必须额外提交中标价净值与风险控制价的差额。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20</w:t>
            </w:r>
          </w:p>
        </w:tc>
        <w:tc>
          <w:tcPr>
            <w:tcW w:w="2146" w:type="dxa"/>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评标方法及标准</w:t>
            </w:r>
          </w:p>
        </w:tc>
        <w:tc>
          <w:tcPr>
            <w:tcW w:w="6314" w:type="dxa"/>
            <w:tcBorders>
              <w:right w:val="single" w:color="auto" w:sz="12" w:space="0"/>
            </w:tcBorders>
            <w:vAlign w:val="center"/>
          </w:tcPr>
          <w:p>
            <w:pPr>
              <w:autoSpaceDE w:val="0"/>
              <w:autoSpaceDN w:val="0"/>
              <w:spacing w:line="300" w:lineRule="exact"/>
              <w:textAlignment w:val="bottom"/>
              <w:rPr>
                <w:rFonts w:ascii="宋体" w:hAnsi="宋体" w:eastAsia="宋体" w:cs="宋体"/>
                <w:szCs w:val="21"/>
              </w:rPr>
            </w:pPr>
            <w:r>
              <w:rPr>
                <w:rFonts w:hint="eastAsia" w:ascii="宋体" w:hAnsi="宋体" w:eastAsia="宋体" w:cs="宋体"/>
                <w:bCs/>
                <w:spacing w:val="-6"/>
              </w:rPr>
              <w:t>综合评估法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21</w:t>
            </w:r>
          </w:p>
        </w:tc>
        <w:tc>
          <w:tcPr>
            <w:tcW w:w="2146" w:type="dxa"/>
            <w:vAlign w:val="center"/>
          </w:tcPr>
          <w:p>
            <w:pPr>
              <w:autoSpaceDE w:val="0"/>
              <w:autoSpaceDN w:val="0"/>
              <w:spacing w:line="300" w:lineRule="exact"/>
              <w:jc w:val="center"/>
              <w:textAlignment w:val="bottom"/>
              <w:rPr>
                <w:rFonts w:ascii="宋体" w:hAnsi="宋体" w:eastAsia="宋体" w:cs="宋体"/>
                <w:b/>
                <w:szCs w:val="21"/>
              </w:rPr>
            </w:pPr>
            <w:r>
              <w:rPr>
                <w:rFonts w:hint="eastAsia" w:ascii="宋体" w:hAnsi="宋体" w:eastAsia="宋体" w:cs="宋体"/>
                <w:b/>
                <w:szCs w:val="21"/>
              </w:rPr>
              <w:t>最高限价</w:t>
            </w:r>
          </w:p>
        </w:tc>
        <w:tc>
          <w:tcPr>
            <w:tcW w:w="6314" w:type="dxa"/>
            <w:tcBorders>
              <w:right w:val="single" w:color="auto" w:sz="12" w:space="0"/>
            </w:tcBorders>
            <w:vAlign w:val="center"/>
          </w:tcPr>
          <w:p>
            <w:pPr>
              <w:autoSpaceDE w:val="0"/>
              <w:autoSpaceDN w:val="0"/>
              <w:spacing w:line="300" w:lineRule="exact"/>
              <w:textAlignment w:val="bottom"/>
              <w:rPr>
                <w:rFonts w:ascii="宋体" w:hAnsi="宋体" w:eastAsia="宋体" w:cs="宋体"/>
                <w:b/>
                <w:szCs w:val="21"/>
              </w:rPr>
            </w:pPr>
            <w:r>
              <w:rPr>
                <w:rFonts w:hint="eastAsia" w:ascii="宋体" w:hAnsi="宋体" w:eastAsia="宋体" w:cs="宋体"/>
                <w:b/>
                <w:szCs w:val="21"/>
              </w:rPr>
              <w:t>最高限价人民币7493155.54元，超过最高限价的按无效标处理。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22</w:t>
            </w:r>
          </w:p>
        </w:tc>
        <w:tc>
          <w:tcPr>
            <w:tcW w:w="2146" w:type="dxa"/>
            <w:vAlign w:val="center"/>
          </w:tcPr>
          <w:p>
            <w:pPr>
              <w:rPr>
                <w:rFonts w:ascii="宋体" w:hAnsi="宋体" w:eastAsia="宋体" w:cs="宋体"/>
              </w:rPr>
            </w:pPr>
            <w:r>
              <w:rPr>
                <w:rFonts w:hint="eastAsia" w:ascii="宋体" w:hAnsi="宋体" w:eastAsia="宋体" w:cs="宋体"/>
                <w:b/>
                <w:snapToGrid w:val="0"/>
                <w:kern w:val="10"/>
                <w:szCs w:val="21"/>
              </w:rPr>
              <w:t>中标结果公示媒体</w:t>
            </w:r>
          </w:p>
        </w:tc>
        <w:tc>
          <w:tcPr>
            <w:tcW w:w="6314" w:type="dxa"/>
            <w:tcBorders>
              <w:right w:val="single" w:color="auto" w:sz="12" w:space="0"/>
            </w:tcBorders>
            <w:vAlign w:val="center"/>
          </w:tcPr>
          <w:p>
            <w:pPr>
              <w:rPr>
                <w:rFonts w:ascii="宋体" w:hAnsi="宋体" w:eastAsia="宋体" w:cs="宋体"/>
                <w:sz w:val="28"/>
                <w:szCs w:val="28"/>
              </w:rPr>
            </w:pPr>
            <w:r>
              <w:rPr>
                <w:rFonts w:hint="eastAsia" w:ascii="宋体" w:hAnsi="宋体" w:eastAsia="宋体" w:cs="宋体"/>
              </w:rPr>
              <w:t>中国政府采购网、浙江大学采购网</w:t>
            </w:r>
            <w:r>
              <w:rPr>
                <w:rFonts w:hint="eastAsia" w:ascii="宋体" w:hAnsi="宋体" w:eastAsia="宋体" w:cs="宋体"/>
                <w:szCs w:val="21"/>
              </w:rPr>
              <w:t>等相关网站或媒体。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23</w:t>
            </w:r>
          </w:p>
        </w:tc>
        <w:tc>
          <w:tcPr>
            <w:tcW w:w="2146" w:type="dxa"/>
            <w:vAlign w:val="center"/>
          </w:tcPr>
          <w:p>
            <w:pPr>
              <w:jc w:val="center"/>
              <w:rPr>
                <w:rFonts w:ascii="宋体" w:hAnsi="宋体" w:eastAsia="宋体" w:cs="宋体"/>
                <w:bCs/>
                <w:kern w:val="0"/>
                <w:szCs w:val="21"/>
              </w:rPr>
            </w:pPr>
            <w:r>
              <w:rPr>
                <w:rFonts w:hint="eastAsia" w:ascii="宋体" w:hAnsi="宋体" w:eastAsia="宋体" w:cs="宋体"/>
                <w:bCs/>
                <w:kern w:val="0"/>
                <w:szCs w:val="21"/>
              </w:rPr>
              <w:t>采购代理服务费、造价编制服务费</w:t>
            </w:r>
          </w:p>
        </w:tc>
        <w:tc>
          <w:tcPr>
            <w:tcW w:w="6314" w:type="dxa"/>
            <w:tcBorders>
              <w:right w:val="single" w:color="auto" w:sz="12" w:space="0"/>
            </w:tcBorders>
            <w:vAlign w:val="center"/>
          </w:tcPr>
          <w:p>
            <w:pPr>
              <w:spacing w:line="300" w:lineRule="exact"/>
              <w:rPr>
                <w:rFonts w:ascii="宋体" w:hAnsi="宋体" w:eastAsia="宋体" w:cs="宋体"/>
                <w:bCs/>
                <w:kern w:val="10"/>
                <w:szCs w:val="21"/>
                <w:lang w:val="zh-TW"/>
              </w:rPr>
            </w:pPr>
            <w:r>
              <w:rPr>
                <w:rFonts w:hint="eastAsia" w:ascii="宋体" w:hAnsi="宋体" w:eastAsia="宋体" w:cs="宋体"/>
                <w:bCs/>
                <w:kern w:val="10"/>
                <w:szCs w:val="21"/>
                <w:lang w:val="zh-TW"/>
              </w:rPr>
              <w:t>1、参照合同编号：ZUPC-GK-FW-2020002-2规定的招标费率，招标全过程代理费按下表的70%收取，采取差额累进计费方式，按照中标通知书确定的金额，向中标人收取服务费。</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1"/>
              <w:gridCol w:w="1395"/>
              <w:gridCol w:w="1295"/>
              <w:gridCol w:w="1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724" w:type="pct"/>
                  <w:tcBorders>
                    <w:top w:val="single" w:color="auto" w:sz="4" w:space="0"/>
                    <w:left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中标金额</w:t>
                  </w:r>
                </w:p>
              </w:tc>
              <w:tc>
                <w:tcPr>
                  <w:tcW w:w="1146" w:type="pct"/>
                  <w:tcBorders>
                    <w:top w:val="single" w:color="auto" w:sz="4" w:space="0"/>
                    <w:left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货物招标</w:t>
                  </w:r>
                </w:p>
              </w:tc>
              <w:tc>
                <w:tcPr>
                  <w:tcW w:w="1064" w:type="pct"/>
                  <w:tcBorders>
                    <w:top w:val="single" w:color="auto" w:sz="4" w:space="0"/>
                    <w:left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服务招标</w:t>
                  </w:r>
                </w:p>
              </w:tc>
              <w:tc>
                <w:tcPr>
                  <w:tcW w:w="1064" w:type="pct"/>
                  <w:tcBorders>
                    <w:top w:val="single" w:color="auto" w:sz="4" w:space="0"/>
                    <w:left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72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100万元以下</w:t>
                  </w:r>
                </w:p>
              </w:tc>
              <w:tc>
                <w:tcPr>
                  <w:tcW w:w="1146"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1.5%</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1.5%</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72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100万－500万元</w:t>
                  </w:r>
                </w:p>
              </w:tc>
              <w:tc>
                <w:tcPr>
                  <w:tcW w:w="1146"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1.1%</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0.8%</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72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500-1000万元</w:t>
                  </w:r>
                </w:p>
              </w:tc>
              <w:tc>
                <w:tcPr>
                  <w:tcW w:w="1146"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0.8%</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0.45%</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72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1000-5000万元</w:t>
                  </w:r>
                </w:p>
              </w:tc>
              <w:tc>
                <w:tcPr>
                  <w:tcW w:w="1146"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0.5%</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0.25%</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0.35%</w:t>
                  </w:r>
                </w:p>
              </w:tc>
            </w:tr>
          </w:tbl>
          <w:p>
            <w:pPr>
              <w:spacing w:line="300" w:lineRule="exact"/>
              <w:rPr>
                <w:rFonts w:ascii="宋体" w:hAnsi="宋体" w:eastAsia="宋体" w:cs="宋体"/>
                <w:bCs/>
                <w:kern w:val="10"/>
                <w:szCs w:val="21"/>
                <w:lang w:val="zh-TW"/>
              </w:rPr>
            </w:pPr>
            <w:r>
              <w:rPr>
                <w:rFonts w:hint="eastAsia" w:ascii="宋体" w:hAnsi="宋体" w:eastAsia="宋体" w:cs="宋体"/>
                <w:bCs/>
                <w:kern w:val="10"/>
                <w:szCs w:val="21"/>
                <w:lang w:val="zh-TW"/>
              </w:rPr>
              <w:t>2、中标人在领取中标通知书前，应向招标代理机构交纳招标代理服务费。</w:t>
            </w:r>
          </w:p>
          <w:p>
            <w:pPr>
              <w:spacing w:line="300" w:lineRule="exact"/>
              <w:rPr>
                <w:rFonts w:ascii="宋体" w:hAnsi="宋体" w:eastAsia="宋体" w:cs="宋体"/>
                <w:bCs/>
                <w:kern w:val="10"/>
                <w:szCs w:val="21"/>
                <w:lang w:val="zh-TW"/>
              </w:rPr>
            </w:pPr>
            <w:r>
              <w:rPr>
                <w:rFonts w:hint="eastAsia" w:ascii="宋体" w:hAnsi="宋体" w:eastAsia="宋体" w:cs="宋体"/>
                <w:bCs/>
                <w:kern w:val="10"/>
                <w:szCs w:val="21"/>
                <w:lang w:val="zh-TW"/>
              </w:rPr>
              <w:t>3、招标代理服务费以电汇方式支付。</w:t>
            </w:r>
          </w:p>
          <w:p>
            <w:pPr>
              <w:spacing w:line="300" w:lineRule="exact"/>
              <w:rPr>
                <w:rFonts w:ascii="宋体" w:hAnsi="宋体" w:eastAsia="宋体" w:cs="宋体"/>
                <w:bCs/>
                <w:kern w:val="10"/>
                <w:szCs w:val="21"/>
                <w:lang w:val="zh-TW"/>
              </w:rPr>
            </w:pPr>
            <w:r>
              <w:rPr>
                <w:rFonts w:hint="eastAsia" w:ascii="宋体" w:hAnsi="宋体" w:eastAsia="宋体" w:cs="宋体"/>
                <w:bCs/>
                <w:kern w:val="10"/>
                <w:szCs w:val="21"/>
                <w:lang w:val="zh-TW"/>
              </w:rPr>
              <w:t>4、中标人如未按上述规定办理，本招标代理机构有权对不足部分进行追索。</w:t>
            </w:r>
          </w:p>
          <w:p>
            <w:pPr>
              <w:spacing w:line="300" w:lineRule="exact"/>
              <w:rPr>
                <w:rFonts w:ascii="宋体" w:hAnsi="宋体" w:eastAsia="宋体" w:cs="宋体"/>
                <w:bCs/>
                <w:kern w:val="10"/>
                <w:szCs w:val="21"/>
                <w:lang w:val="zh-TW"/>
              </w:rPr>
            </w:pPr>
            <w:r>
              <w:rPr>
                <w:rFonts w:hint="eastAsia" w:ascii="宋体" w:hAnsi="宋体" w:eastAsia="宋体" w:cs="宋体"/>
                <w:bCs/>
                <w:kern w:val="10"/>
                <w:szCs w:val="21"/>
                <w:lang w:val="zh-TW"/>
              </w:rPr>
              <w:t>5、服务费缴纳账号：</w:t>
            </w:r>
          </w:p>
          <w:p>
            <w:pPr>
              <w:spacing w:line="300" w:lineRule="exact"/>
              <w:rPr>
                <w:rFonts w:ascii="宋体" w:hAnsi="宋体" w:eastAsia="宋体" w:cs="宋体"/>
                <w:bCs/>
                <w:kern w:val="10"/>
                <w:szCs w:val="21"/>
                <w:lang w:val="zh-TW"/>
              </w:rPr>
            </w:pPr>
            <w:r>
              <w:rPr>
                <w:rFonts w:hint="eastAsia" w:ascii="宋体" w:hAnsi="宋体" w:eastAsia="宋体" w:cs="宋体"/>
                <w:bCs/>
                <w:kern w:val="10"/>
                <w:szCs w:val="21"/>
                <w:lang w:val="zh-TW"/>
              </w:rPr>
              <w:t>户名：浙江五石工程咨询有限公司萧山分公司</w:t>
            </w:r>
          </w:p>
          <w:p>
            <w:pPr>
              <w:spacing w:line="300" w:lineRule="exact"/>
              <w:rPr>
                <w:rFonts w:ascii="宋体" w:hAnsi="宋体" w:eastAsia="宋体" w:cs="宋体"/>
                <w:bCs/>
                <w:kern w:val="10"/>
                <w:szCs w:val="21"/>
                <w:lang w:val="zh-TW"/>
              </w:rPr>
            </w:pPr>
            <w:r>
              <w:rPr>
                <w:rFonts w:hint="eastAsia" w:ascii="宋体" w:hAnsi="宋体" w:eastAsia="宋体" w:cs="宋体"/>
                <w:bCs/>
                <w:kern w:val="10"/>
                <w:szCs w:val="21"/>
                <w:lang w:val="zh-TW"/>
              </w:rPr>
              <w:t>账号：33020160201000004399</w:t>
            </w:r>
          </w:p>
          <w:p>
            <w:pPr>
              <w:spacing w:line="300" w:lineRule="exact"/>
              <w:rPr>
                <w:rFonts w:ascii="宋体" w:hAnsi="宋体" w:eastAsia="宋体" w:cs="宋体"/>
                <w:bCs/>
                <w:kern w:val="10"/>
                <w:szCs w:val="21"/>
                <w:lang w:val="zh-TW"/>
              </w:rPr>
            </w:pPr>
            <w:r>
              <w:rPr>
                <w:rFonts w:hint="eastAsia" w:ascii="宋体" w:hAnsi="宋体" w:eastAsia="宋体" w:cs="宋体"/>
                <w:bCs/>
                <w:kern w:val="10"/>
                <w:szCs w:val="21"/>
                <w:lang w:val="zh-TW"/>
              </w:rPr>
              <w:t>开户行：浙江泰隆商业银行股份有限公司杭州祥符小微企业专营支行</w:t>
            </w:r>
          </w:p>
          <w:p>
            <w:pPr>
              <w:spacing w:line="360" w:lineRule="auto"/>
              <w:rPr>
                <w:rFonts w:ascii="宋体" w:hAnsi="宋体" w:eastAsia="宋体" w:cs="宋体"/>
                <w:bCs/>
              </w:rPr>
            </w:pPr>
            <w:r>
              <w:rPr>
                <w:rFonts w:hint="eastAsia" w:ascii="宋体" w:hAnsi="宋体" w:eastAsia="宋体" w:cs="宋体"/>
                <w:bCs/>
                <w:kern w:val="10"/>
                <w:szCs w:val="21"/>
                <w:lang w:val="zh-TW"/>
              </w:rPr>
              <w:t>精确查找祥符支行行号：313331080163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959" w:type="dxa"/>
            <w:tcBorders>
              <w:left w:val="single" w:color="auto" w:sz="12" w:space="0"/>
            </w:tcBorders>
            <w:vAlign w:val="center"/>
          </w:tcPr>
          <w:p>
            <w:pPr>
              <w:autoSpaceDE w:val="0"/>
              <w:autoSpaceDN w:val="0"/>
              <w:spacing w:line="300" w:lineRule="exact"/>
              <w:jc w:val="center"/>
              <w:textAlignment w:val="bottom"/>
              <w:rPr>
                <w:rFonts w:ascii="宋体" w:hAnsi="宋体" w:eastAsia="宋体" w:cs="宋体"/>
                <w:szCs w:val="21"/>
              </w:rPr>
            </w:pPr>
            <w:r>
              <w:rPr>
                <w:rFonts w:hint="eastAsia" w:ascii="宋体" w:hAnsi="宋体" w:eastAsia="宋体" w:cs="宋体"/>
                <w:szCs w:val="21"/>
              </w:rPr>
              <w:t>24</w:t>
            </w:r>
          </w:p>
        </w:tc>
        <w:tc>
          <w:tcPr>
            <w:tcW w:w="2146" w:type="dxa"/>
            <w:vAlign w:val="center"/>
          </w:tcPr>
          <w:p>
            <w:pPr>
              <w:jc w:val="center"/>
              <w:rPr>
                <w:rFonts w:ascii="宋体" w:hAnsi="宋体" w:eastAsia="宋体" w:cs="宋体"/>
                <w:b/>
                <w:kern w:val="0"/>
                <w:szCs w:val="21"/>
              </w:rPr>
            </w:pPr>
            <w:r>
              <w:rPr>
                <w:rStyle w:val="20"/>
                <w:rFonts w:hint="eastAsia" w:ascii="宋体" w:hAnsi="宋体" w:eastAsia="宋体" w:cs="宋体"/>
              </w:rPr>
              <w:t>投标保证金</w:t>
            </w:r>
          </w:p>
        </w:tc>
        <w:tc>
          <w:tcPr>
            <w:tcW w:w="6314" w:type="dxa"/>
            <w:tcBorders>
              <w:right w:val="single" w:color="auto" w:sz="12" w:space="0"/>
            </w:tcBorders>
            <w:vAlign w:val="center"/>
          </w:tcPr>
          <w:p>
            <w:pPr>
              <w:widowControl/>
              <w:spacing w:line="360" w:lineRule="auto"/>
              <w:jc w:val="left"/>
              <w:rPr>
                <w:rFonts w:ascii="宋体" w:hAnsi="宋体" w:eastAsia="宋体" w:cs="宋体"/>
                <w:lang w:val="zh-TW" w:eastAsia="zh-TW"/>
              </w:rPr>
            </w:pPr>
            <w:r>
              <w:rPr>
                <w:rStyle w:val="20"/>
                <w:rFonts w:hint="eastAsia" w:ascii="宋体" w:hAnsi="宋体" w:eastAsia="宋体" w:cs="宋体"/>
              </w:rPr>
              <w:t>投标保证金：</w:t>
            </w:r>
            <w:r>
              <w:rPr>
                <w:rFonts w:hint="eastAsia" w:ascii="宋体" w:hAnsi="宋体" w:eastAsia="宋体" w:cs="宋体"/>
              </w:rPr>
              <w:t>人民币140000元。提交投标保证金时间：每天上午9:00—11:30，下午2:00—4:30，节假日除外。于2020年10月09日15点前</w:t>
            </w:r>
            <w:r>
              <w:rPr>
                <w:rFonts w:hint="eastAsia" w:ascii="宋体" w:hAnsi="宋体" w:eastAsia="宋体" w:cs="宋体"/>
                <w:lang w:val="zh-TW"/>
              </w:rPr>
              <w:t>电汇到达指定账号</w:t>
            </w:r>
            <w:r>
              <w:rPr>
                <w:rFonts w:hint="eastAsia" w:ascii="宋体" w:hAnsi="宋体" w:eastAsia="宋体" w:cs="宋体"/>
                <w:lang w:val="zh-TW" w:eastAsia="zh-TW"/>
              </w:rPr>
              <w:t>（电汇时请注明项目编号）</w:t>
            </w:r>
          </w:p>
          <w:p>
            <w:pPr>
              <w:widowControl/>
              <w:spacing w:line="360" w:lineRule="auto"/>
              <w:jc w:val="left"/>
              <w:rPr>
                <w:rFonts w:ascii="宋体" w:hAnsi="宋体" w:eastAsia="宋体" w:cs="宋体"/>
              </w:rPr>
            </w:pPr>
            <w:r>
              <w:rPr>
                <w:rFonts w:hint="eastAsia" w:ascii="宋体" w:hAnsi="宋体" w:eastAsia="宋体" w:cs="宋体"/>
              </w:rPr>
              <w:t>单位名称：浙江五石工程咨询有限公司</w:t>
            </w:r>
          </w:p>
          <w:p>
            <w:pPr>
              <w:widowControl/>
              <w:spacing w:line="360" w:lineRule="auto"/>
              <w:jc w:val="left"/>
              <w:rPr>
                <w:rFonts w:ascii="宋体" w:hAnsi="宋体" w:eastAsia="宋体" w:cs="宋体"/>
              </w:rPr>
            </w:pPr>
            <w:r>
              <w:rPr>
                <w:rFonts w:hint="eastAsia" w:ascii="宋体" w:hAnsi="宋体" w:eastAsia="宋体" w:cs="宋体"/>
              </w:rPr>
              <w:t>账    号：583595811900015</w:t>
            </w:r>
          </w:p>
          <w:p>
            <w:pPr>
              <w:widowControl/>
              <w:spacing w:line="360" w:lineRule="auto"/>
              <w:jc w:val="left"/>
              <w:rPr>
                <w:rFonts w:ascii="宋体" w:hAnsi="宋体" w:eastAsia="宋体" w:cs="宋体"/>
                <w:b/>
                <w:bCs/>
              </w:rPr>
            </w:pPr>
            <w:r>
              <w:rPr>
                <w:rFonts w:hint="eastAsia" w:ascii="宋体" w:hAnsi="宋体" w:eastAsia="宋体" w:cs="宋体"/>
              </w:rPr>
              <w:t>开 户 行：浙江民泰商业银行杭州钱江新城支行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959" w:type="dxa"/>
            <w:tcBorders>
              <w:left w:val="single" w:color="auto" w:sz="12" w:space="0"/>
            </w:tcBorders>
            <w:vAlign w:val="center"/>
          </w:tcPr>
          <w:p>
            <w:pPr>
              <w:spacing w:line="300" w:lineRule="exact"/>
              <w:jc w:val="center"/>
              <w:rPr>
                <w:rFonts w:ascii="宋体" w:hAnsi="宋体" w:eastAsia="宋体" w:cs="宋体"/>
                <w:kern w:val="0"/>
                <w:szCs w:val="21"/>
              </w:rPr>
            </w:pPr>
            <w:r>
              <w:rPr>
                <w:rFonts w:hint="eastAsia" w:ascii="宋体" w:hAnsi="宋体" w:eastAsia="宋体" w:cs="宋体"/>
                <w:kern w:val="0"/>
                <w:szCs w:val="21"/>
              </w:rPr>
              <w:t>25</w:t>
            </w:r>
          </w:p>
        </w:tc>
        <w:tc>
          <w:tcPr>
            <w:tcW w:w="2146" w:type="dxa"/>
            <w:vAlign w:val="center"/>
          </w:tcPr>
          <w:p>
            <w:pPr>
              <w:spacing w:line="300" w:lineRule="exact"/>
              <w:jc w:val="center"/>
              <w:rPr>
                <w:rFonts w:ascii="宋体" w:hAnsi="宋体" w:eastAsia="宋体" w:cs="宋体"/>
                <w:b/>
                <w:kern w:val="0"/>
                <w:szCs w:val="21"/>
              </w:rPr>
            </w:pPr>
            <w:r>
              <w:rPr>
                <w:rFonts w:hint="eastAsia" w:ascii="宋体" w:hAnsi="宋体" w:eastAsia="宋体" w:cs="宋体"/>
                <w:b/>
                <w:kern w:val="0"/>
                <w:szCs w:val="21"/>
              </w:rPr>
              <w:t>特别提醒</w:t>
            </w:r>
          </w:p>
        </w:tc>
        <w:tc>
          <w:tcPr>
            <w:tcW w:w="6314" w:type="dxa"/>
            <w:tcBorders>
              <w:right w:val="single" w:color="auto" w:sz="12" w:space="0"/>
            </w:tcBorders>
            <w:vAlign w:val="center"/>
          </w:tcPr>
          <w:p>
            <w:pPr>
              <w:spacing w:line="300" w:lineRule="exact"/>
              <w:rPr>
                <w:rFonts w:ascii="宋体" w:hAnsi="宋体" w:eastAsia="宋体" w:cs="宋体"/>
                <w:bCs/>
                <w:kern w:val="10"/>
                <w:szCs w:val="21"/>
              </w:rPr>
            </w:pPr>
            <w:r>
              <w:rPr>
                <w:rFonts w:hint="eastAsia" w:ascii="宋体" w:hAnsi="宋体" w:eastAsia="宋体" w:cs="宋体"/>
                <w:bCs/>
                <w:kern w:val="10"/>
                <w:szCs w:val="21"/>
              </w:rPr>
              <w:t>根据相关采购法律法规规定：</w:t>
            </w:r>
          </w:p>
          <w:p>
            <w:pPr>
              <w:spacing w:line="300" w:lineRule="exact"/>
              <w:rPr>
                <w:rFonts w:ascii="宋体" w:hAnsi="宋体" w:eastAsia="宋体" w:cs="宋体"/>
                <w:bCs/>
                <w:kern w:val="10"/>
                <w:szCs w:val="21"/>
              </w:rPr>
            </w:pPr>
            <w:r>
              <w:rPr>
                <w:rFonts w:hint="eastAsia" w:ascii="宋体" w:hAnsi="宋体" w:eastAsia="宋体" w:cs="宋体"/>
                <w:bCs/>
                <w:kern w:val="10"/>
                <w:szCs w:val="21"/>
              </w:rPr>
              <w:t>1）采购人或采购代理机构将对本项目供应商的信用信息进行查询。</w:t>
            </w:r>
          </w:p>
          <w:p>
            <w:pPr>
              <w:spacing w:line="300" w:lineRule="exact"/>
              <w:rPr>
                <w:rFonts w:ascii="宋体" w:hAnsi="宋体" w:eastAsia="宋体" w:cs="宋体"/>
                <w:bCs/>
                <w:kern w:val="10"/>
                <w:szCs w:val="21"/>
              </w:rPr>
            </w:pPr>
            <w:r>
              <w:rPr>
                <w:rFonts w:hint="eastAsia" w:ascii="宋体" w:hAnsi="宋体" w:eastAsia="宋体" w:cs="宋体"/>
                <w:bCs/>
                <w:kern w:val="10"/>
                <w:szCs w:val="21"/>
              </w:rPr>
              <w:t>2）查询渠道为信用中国网站（www.creditchina.gov.cn）、中国政府采购网（www.ccgp.gov.cn）。</w:t>
            </w:r>
          </w:p>
          <w:p>
            <w:pPr>
              <w:spacing w:line="300" w:lineRule="exact"/>
              <w:rPr>
                <w:rFonts w:ascii="宋体" w:hAnsi="宋体" w:eastAsia="宋体" w:cs="宋体"/>
                <w:bCs/>
                <w:kern w:val="10"/>
                <w:szCs w:val="21"/>
              </w:rPr>
            </w:pPr>
            <w:r>
              <w:rPr>
                <w:rFonts w:hint="eastAsia" w:ascii="宋体" w:hAnsi="宋体" w:eastAsia="宋体" w:cs="宋体"/>
                <w:bCs/>
                <w:kern w:val="10"/>
                <w:szCs w:val="21"/>
              </w:rPr>
              <w:t>3）信用信息截止时点为从本项目投标截止日往前追溯三年，期间被列入失信被执行人名单、重大税收违法案件当事人名单、政府采购严重违法失信行为记录名单等供应商信用信息均将用于本项目。</w:t>
            </w:r>
          </w:p>
          <w:p>
            <w:pPr>
              <w:spacing w:line="300" w:lineRule="exact"/>
              <w:rPr>
                <w:rFonts w:ascii="宋体" w:hAnsi="宋体" w:eastAsia="宋体" w:cs="宋体"/>
                <w:bCs/>
                <w:kern w:val="10"/>
                <w:szCs w:val="21"/>
              </w:rPr>
            </w:pPr>
            <w:r>
              <w:rPr>
                <w:rFonts w:hint="eastAsia" w:ascii="宋体" w:hAnsi="宋体" w:eastAsia="宋体" w:cs="宋体"/>
                <w:bCs/>
                <w:kern w:val="10"/>
                <w:szCs w:val="21"/>
              </w:rPr>
              <w:t>4）信用信息查询记录和证据以网页截图等方式留存。</w:t>
            </w:r>
          </w:p>
          <w:p>
            <w:pPr>
              <w:spacing w:line="300" w:lineRule="exact"/>
              <w:rPr>
                <w:rFonts w:ascii="宋体" w:hAnsi="宋体" w:eastAsia="宋体" w:cs="宋体"/>
                <w:bCs/>
                <w:kern w:val="10"/>
                <w:szCs w:val="21"/>
              </w:rPr>
            </w:pPr>
            <w:r>
              <w:rPr>
                <w:rFonts w:hint="eastAsia" w:ascii="宋体" w:hAnsi="宋体" w:eastAsia="宋体" w:cs="宋体"/>
                <w:bCs/>
                <w:kern w:val="10"/>
                <w:szCs w:val="21"/>
              </w:rPr>
              <w:t>5）投标截止日当日网站显示的信用信息将作为评审和确定中标人的依据。</w:t>
            </w:r>
          </w:p>
          <w:p>
            <w:pPr>
              <w:spacing w:line="300" w:lineRule="exact"/>
              <w:rPr>
                <w:rFonts w:ascii="宋体" w:hAnsi="宋体" w:eastAsia="宋体" w:cs="宋体"/>
                <w:bCs/>
                <w:kern w:val="10"/>
                <w:szCs w:val="21"/>
              </w:rPr>
            </w:pPr>
            <w:r>
              <w:rPr>
                <w:rFonts w:hint="eastAsia" w:ascii="宋体" w:hAnsi="宋体" w:eastAsia="宋体" w:cs="宋体"/>
                <w:bCs/>
                <w:kern w:val="10"/>
                <w:szCs w:val="21"/>
              </w:rPr>
              <w:t>6）联合体成员存在不良信用记录的，视同联合体存在不良信用记录。</w:t>
            </w:r>
          </w:p>
        </w:tc>
      </w:tr>
    </w:tbl>
    <w:p>
      <w:pPr>
        <w:rPr>
          <w:rFonts w:ascii="宋体" w:hAnsi="宋体" w:eastAsia="宋体" w:cs="宋体"/>
          <w:b/>
          <w:sz w:val="24"/>
        </w:rPr>
      </w:pPr>
      <w:r>
        <w:rPr>
          <w:rFonts w:hint="eastAsia" w:ascii="宋体" w:hAnsi="宋体" w:eastAsia="宋体" w:cs="宋体"/>
          <w:snapToGrid w:val="0"/>
          <w:kern w:val="0"/>
          <w:szCs w:val="21"/>
        </w:rPr>
        <w:t>注：以上内容如有变化将另行书面通知。如通知其中某一内容发生变化，其余未提及的将不作变动。</w:t>
      </w:r>
    </w:p>
    <w:p>
      <w:pPr>
        <w:pStyle w:val="4"/>
        <w:spacing w:after="0"/>
        <w:jc w:val="both"/>
        <w:rPr>
          <w:rFonts w:cs="宋体"/>
          <w:snapToGrid w:val="0"/>
          <w:kern w:val="0"/>
          <w:sz w:val="21"/>
          <w:szCs w:val="21"/>
        </w:rPr>
        <w:sectPr>
          <w:pgSz w:w="11906" w:h="16838"/>
          <w:pgMar w:top="1418" w:right="1588" w:bottom="1418" w:left="1588" w:header="567" w:footer="567" w:gutter="0"/>
          <w:pgNumType w:fmt="decimal"/>
          <w:cols w:space="720" w:num="1"/>
          <w:docGrid w:linePitch="312" w:charSpace="0"/>
        </w:sectPr>
      </w:pPr>
      <w:bookmarkStart w:id="16" w:name="_Toc415814125"/>
      <w:bookmarkStart w:id="17" w:name="_Toc20864"/>
      <w:bookmarkStart w:id="18" w:name="_Toc367274977"/>
      <w:bookmarkStart w:id="19" w:name="_Toc506358594"/>
      <w:bookmarkStart w:id="20" w:name="_Toc240450077"/>
      <w:bookmarkStart w:id="21" w:name="_Toc251566650"/>
    </w:p>
    <w:p>
      <w:pPr>
        <w:pStyle w:val="4"/>
      </w:pPr>
      <w:r>
        <w:rPr>
          <w:rFonts w:hint="eastAsia"/>
        </w:rPr>
        <w:t>一、总则</w:t>
      </w:r>
      <w:bookmarkEnd w:id="16"/>
      <w:bookmarkEnd w:id="17"/>
      <w:bookmarkEnd w:id="18"/>
      <w:bookmarkEnd w:id="19"/>
      <w:bookmarkEnd w:id="20"/>
      <w:bookmarkEnd w:id="21"/>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本次招标工作是根据相关采购法律法规组织和实施。</w:t>
      </w:r>
    </w:p>
    <w:p>
      <w:pPr>
        <w:spacing w:line="360" w:lineRule="auto"/>
        <w:ind w:firstLine="442" w:firstLineChars="200"/>
        <w:rPr>
          <w:rFonts w:ascii="宋体" w:hAnsi="宋体" w:eastAsia="宋体" w:cs="宋体"/>
          <w:b/>
          <w:snapToGrid w:val="0"/>
          <w:kern w:val="0"/>
          <w:szCs w:val="21"/>
        </w:rPr>
      </w:pPr>
      <w:bookmarkStart w:id="22" w:name="_Toc240450079"/>
      <w:bookmarkStart w:id="23" w:name="_Toc251566652"/>
      <w:r>
        <w:rPr>
          <w:rFonts w:hint="eastAsia" w:ascii="宋体" w:hAnsi="宋体" w:eastAsia="宋体" w:cs="宋体"/>
          <w:b/>
          <w:snapToGrid w:val="0"/>
          <w:kern w:val="0"/>
          <w:szCs w:val="21"/>
        </w:rPr>
        <w:t>1．适用范围</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1.1 本招标文件仅适用于本次招标项目。</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1.2 本项目采购方式为公开招标。</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1.3 投标须知为招标文件的通用条款，如通用条款与特定条款有不一致的，请按特定条款执行。</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2．定义</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2.1 “采购人”或“招标人”系指浙江大学。</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2.2 “采购代理机构”系指浙江五石工程咨询有限公司。</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2.3 “投标人”系指响应本次招标，参加本次投标的供应商。</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2.4 “货物”系指投标人按招标文件或合同要求，须向采购人提供的一切材料、设备、机械、仪器、备件、配件、工具、手册及其他技术资料和文字材料。</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2.5 “服务”系指招标文件或合同规定投标人须承担的设计、施工、安装、调试、试运行、技术协助、培训、售后服务以及其他类似的义务。</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2.6 “书面函件”系指任何手写、打印或印刷的文字；官方指定网站公示的内容也可视为书面告知。</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3．合格的投标人及合格的投标货物和服务</w:t>
      </w:r>
    </w:p>
    <w:p>
      <w:pPr>
        <w:spacing w:line="360" w:lineRule="auto"/>
        <w:ind w:firstLine="442" w:firstLineChars="200"/>
        <w:rPr>
          <w:rFonts w:ascii="宋体" w:hAnsi="宋体" w:eastAsia="宋体" w:cs="宋体"/>
          <w:snapToGrid w:val="0"/>
          <w:kern w:val="0"/>
        </w:rPr>
      </w:pPr>
      <w:r>
        <w:rPr>
          <w:rFonts w:hint="eastAsia" w:ascii="宋体" w:hAnsi="宋体" w:eastAsia="宋体" w:cs="宋体"/>
          <w:snapToGrid w:val="0"/>
          <w:kern w:val="0"/>
        </w:rPr>
        <w:t>3.1 合格的投标人，详见采购公告第四条规定的投标人必须具备的资格条件并审查通过。</w:t>
      </w:r>
    </w:p>
    <w:p>
      <w:pPr>
        <w:spacing w:line="360" w:lineRule="auto"/>
        <w:ind w:firstLine="442" w:firstLineChars="200"/>
        <w:rPr>
          <w:rFonts w:ascii="宋体" w:hAnsi="宋体" w:eastAsia="宋体" w:cs="宋体"/>
          <w:snapToGrid w:val="0"/>
          <w:kern w:val="0"/>
        </w:rPr>
      </w:pPr>
      <w:r>
        <w:rPr>
          <w:rFonts w:hint="eastAsia" w:ascii="宋体" w:hAnsi="宋体" w:eastAsia="宋体" w:cs="宋体"/>
          <w:snapToGrid w:val="0"/>
          <w:kern w:val="0"/>
        </w:rPr>
        <w:t>3.2 合格的投标货物和服务，所述的“货物”是指制造、加工或实质上装配了主要部件而形成的货物。商业上公认的产品是指基本特征、性能或功能上与部件有着实质性区别的产品。若投标货物属于国家实行许可证制度或生产注册证制度的，则必须具备相应有效的证书。</w:t>
      </w:r>
    </w:p>
    <w:p>
      <w:pPr>
        <w:spacing w:line="360" w:lineRule="auto"/>
        <w:ind w:firstLine="442" w:firstLineChars="200"/>
        <w:rPr>
          <w:rFonts w:ascii="宋体" w:hAnsi="宋体" w:eastAsia="宋体" w:cs="宋体"/>
          <w:snapToGrid w:val="0"/>
          <w:kern w:val="0"/>
        </w:rPr>
      </w:pPr>
      <w:r>
        <w:rPr>
          <w:rFonts w:hint="eastAsia" w:ascii="宋体" w:hAnsi="宋体" w:eastAsia="宋体" w:cs="宋体"/>
          <w:snapToGrid w:val="0"/>
          <w:kern w:val="0"/>
        </w:rPr>
        <w:t>3.3投标人投标时使用的资格、信誉、荣誉、业绩与认证等，必须属于投标人自身。投标人承诺的项目拟派人员必须为正式员工。如上述材料无法证明属于投标人自身的，应提供其他合法有效的第三方证明材料。</w:t>
      </w:r>
    </w:p>
    <w:p>
      <w:pPr>
        <w:autoSpaceDE w:val="0"/>
        <w:autoSpaceDN w:val="0"/>
        <w:spacing w:line="360" w:lineRule="auto"/>
        <w:ind w:firstLine="442" w:firstLineChars="200"/>
        <w:rPr>
          <w:rFonts w:ascii="宋体" w:hAnsi="宋体" w:eastAsia="宋体" w:cs="宋体"/>
          <w:kern w:val="0"/>
          <w:szCs w:val="21"/>
        </w:rPr>
      </w:pPr>
      <w:r>
        <w:rPr>
          <w:rFonts w:hint="eastAsia" w:ascii="宋体" w:hAnsi="宋体" w:eastAsia="宋体" w:cs="宋体"/>
          <w:snapToGrid w:val="0"/>
          <w:kern w:val="0"/>
        </w:rPr>
        <w:t>3.4</w:t>
      </w:r>
      <w:r>
        <w:rPr>
          <w:rFonts w:hint="eastAsia" w:ascii="宋体" w:hAnsi="宋体" w:eastAsia="宋体" w:cs="宋体"/>
          <w:snapToGrid w:val="0"/>
          <w:kern w:val="0"/>
          <w:szCs w:val="21"/>
        </w:rPr>
        <w:t>本招标文件要求中，</w:t>
      </w:r>
      <w:r>
        <w:rPr>
          <w:rFonts w:hint="eastAsia" w:ascii="宋体" w:hAnsi="宋体" w:eastAsia="宋体" w:cs="宋体"/>
          <w:bCs/>
          <w:szCs w:val="21"/>
        </w:rPr>
        <w:t>▲为实质性要求，负偏离将导致投标无效；</w:t>
      </w:r>
      <w:r>
        <w:rPr>
          <w:rFonts w:hint="eastAsia" w:ascii="宋体" w:hAnsi="宋体" w:eastAsia="宋体" w:cs="宋体"/>
          <w:kern w:val="0"/>
          <w:szCs w:val="21"/>
        </w:rPr>
        <w:t>其他为一般指标，负偏离将导致评审时扣分。</w:t>
      </w:r>
    </w:p>
    <w:p>
      <w:pPr>
        <w:autoSpaceDE w:val="0"/>
        <w:autoSpaceDN w:val="0"/>
        <w:spacing w:line="360" w:lineRule="auto"/>
        <w:ind w:firstLine="442" w:firstLineChars="200"/>
        <w:rPr>
          <w:rFonts w:ascii="宋体" w:hAnsi="宋体" w:eastAsia="宋体" w:cs="宋体"/>
          <w:kern w:val="0"/>
          <w:szCs w:val="21"/>
        </w:rPr>
      </w:pPr>
      <w:r>
        <w:rPr>
          <w:rFonts w:hint="eastAsia" w:ascii="宋体" w:hAnsi="宋体" w:eastAsia="宋体" w:cs="宋体"/>
          <w:kern w:val="0"/>
          <w:szCs w:val="21"/>
        </w:rPr>
        <w:t>投标人的投标文件对有关条款有偏离的，须根据具体的偏离内容填写条款偏离表。未填写的，视为无偏离。</w:t>
      </w:r>
    </w:p>
    <w:p>
      <w:pPr>
        <w:spacing w:line="360" w:lineRule="auto"/>
        <w:ind w:firstLine="442" w:firstLineChars="200"/>
        <w:rPr>
          <w:rFonts w:ascii="宋体" w:hAnsi="宋体" w:eastAsia="宋体" w:cs="宋体"/>
          <w:snapToGrid w:val="0"/>
          <w:kern w:val="0"/>
        </w:rPr>
      </w:pPr>
      <w:r>
        <w:rPr>
          <w:rFonts w:hint="eastAsia" w:ascii="宋体" w:hAnsi="宋体" w:eastAsia="宋体" w:cs="宋体"/>
          <w:kern w:val="0"/>
          <w:szCs w:val="21"/>
        </w:rPr>
        <w:t>如投标人实际响应内容有偏离，而投标文件未如实反馈的，经审核情况属实，其投标无效；即使中标，在合同执行时如发现上述情形，将视情况终止合同，并追究该投标人在投标过程及合同履行时的法律责任。</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4．相关说明</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4.1 投标费用</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投标人应承担其参加投标所涉及的一切费用，不管投标结果如何，采购人对这些费用不负任何责任。</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4.2 投标人在投标活动中提供任何虚假材料或从事其他违法活动的,其投标无效，并报监管部门查处</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4.3 投标人应仔细阅读采购文件的所有内容，按照采购文件的要求提交投标文件。投标文件应对采购文件的要求作出实质性响应，并对所提供的全部资料的真实性承担法律责任。</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4.4信用记录：</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根据相关采购法律法规要求，采购代理机构会对供应商信用记录进行查询并甄别。</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4.4.1信用信息查询的截止时点：投标截止时间。</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 xml:space="preserve">4.4.2查询渠道：“信用中国”（www.creditchina.gov.cn）、“中国政府采购网”（www.ccgp.gov.cn）、 </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4.4.3信用信息的使用规则：投标人存在不良信用记录的，其投标将被作为无效投标被拒绝。</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不良信用记录指：被列入失信被执行人、重大税收违法案件当事人名单、政府采购严重违法失信行为记录名单或浙江政府采购网曝光台中尚在行政处罚期内的。</w:t>
      </w:r>
    </w:p>
    <w:p>
      <w:pPr>
        <w:pStyle w:val="4"/>
      </w:pPr>
      <w:bookmarkStart w:id="24" w:name="_Toc12661"/>
      <w:bookmarkStart w:id="25" w:name="_Toc415814126"/>
      <w:bookmarkStart w:id="26" w:name="_Toc294777232"/>
      <w:bookmarkStart w:id="27" w:name="_Toc240450078"/>
      <w:bookmarkStart w:id="28" w:name="_Toc506358595"/>
      <w:bookmarkStart w:id="29" w:name="_Toc251566651"/>
      <w:bookmarkStart w:id="30" w:name="_Toc367274978"/>
      <w:r>
        <w:rPr>
          <w:rFonts w:hint="eastAsia"/>
        </w:rPr>
        <w:t>二、招标文件</w:t>
      </w:r>
      <w:bookmarkEnd w:id="24"/>
      <w:bookmarkEnd w:id="25"/>
      <w:bookmarkEnd w:id="26"/>
      <w:bookmarkEnd w:id="27"/>
      <w:bookmarkEnd w:id="28"/>
      <w:bookmarkEnd w:id="29"/>
      <w:bookmarkEnd w:id="30"/>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5．招标文件构成</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5.1 本招标文件包括目录所示内容及所有按本须知第6、7条发出的补充资料。</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5.2 除上述所列内容外，采购人和采购代理机构的任何工作人员对投标人所作的任何口头解释、介绍、答复，只能供投标人参考，对采购人、采购代理机构和投标人无任何约束力。</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5.3 招标文件是招标过程进行的有效依据，也是成交后签订合同的依据，对双方均具有约束力，凡不遵守招标文件规定或对招标文件的实质性内容不响应的，将可能被拒绝或以无效标处理。</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5.4 本招标文件由采购人或采购代理机构依据相关法律、法规、规章、省市规定及招标文件进行解释。</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6．招标文件答疑</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 xml:space="preserve">6.1 </w:t>
      </w:r>
      <w:r>
        <w:rPr>
          <w:rFonts w:hint="eastAsia" w:ascii="宋体" w:hAnsi="宋体" w:eastAsia="宋体" w:cs="宋体"/>
          <w:kern w:val="0"/>
          <w:szCs w:val="21"/>
        </w:rPr>
        <w:t>本项目公告期限为5个工作日，供应商认为采购文件使自己的权益受到损害的，可以自收到采购文件之日（发售截止日之后收到采购文件的，以发售截止日为准）或者采购文件公告期限届满之日（公告发布后的第6个工作日）起7个工作日内，以书面形式向采购人和采购代理机构提出质疑。</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6.2 投标人要求解释或澄清的问题应以书面形式送达，并加盖公章、写明日期。</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6.3 所有要求解释或澄清的问题都予以解答，答疑文件与补充文件一起以书面形式告知所有购买招标文件的投标人。</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7．招标文件的澄清与修改</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7.1采购人或者采购代理机构可以对已发出的招标文件进行必要的澄清或者修改。澄清或者修改的内容可能影响投标文件编制的，采购人或者采购代理机构应当在投标截止时间至少5日前，以书面形式通知所有获取招标文件的潜在投标人；不足5日的，采购人或者采购代理机构应当顺延提交投标文件的截止时间。</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7.2 招标文件的修改将以书面形式（包括邮寄、传真）通知所有购买招标文件的投标人，并对其具有约束力。投标人在收到上述通知后，应在24小时内向采购代理机构回函确认。</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7.3 在补充文件发布后，如果投标人认为制作投标文件的时间不充分的，必须在收到补充文件24小时内通知采购人和采购代理机构。否则，视同投标人有充足时间编制投标文件。</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7.4 为使投标人编写投标文件时有充分的时间对招标文件的修改部分进行研究，采购人有权推迟投标截至时间和开标日期，并将此变更书面通知所有购买同一招标文件的投标人。</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7.5 招标文件澄清、答复、修改、补充的内容为招标文件的组成部分。当招标文件与招标文件的答复、澄清、修改、补充通知就同一内容的表述不一致时，以最后发出的书面文件为准。</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7.6 招标文件的澄清、答复、修改或补充都应该通过本代理机构以法定形式发布，除此以外的发布不属于招标文件的组成部分。</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7.7 在招标文件发售截止后，经采购人同意购买招标文件的投标人不得对招标文件及其补充文件提出答疑或质疑。</w:t>
      </w:r>
    </w:p>
    <w:p>
      <w:pPr>
        <w:pStyle w:val="4"/>
      </w:pPr>
      <w:bookmarkStart w:id="31" w:name="_Toc415814127"/>
      <w:bookmarkStart w:id="32" w:name="_Toc506358596"/>
      <w:bookmarkStart w:id="33" w:name="_Toc22759"/>
      <w:bookmarkStart w:id="34" w:name="_Toc367274979"/>
      <w:r>
        <w:rPr>
          <w:rFonts w:hint="eastAsia"/>
        </w:rPr>
        <w:t>三、投标文件的编制</w:t>
      </w:r>
      <w:bookmarkEnd w:id="22"/>
      <w:bookmarkEnd w:id="23"/>
      <w:bookmarkEnd w:id="31"/>
      <w:bookmarkEnd w:id="32"/>
      <w:bookmarkEnd w:id="33"/>
      <w:bookmarkEnd w:id="34"/>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投标人应认真阅读招标文件中所有的事项、格式、条款和技术要求等。如果投标人没有按照招标文件要求和规定编制投标文件及提交全部资料，或者投标没有对招标文件中各方面作出实质性响应，其风险应由投标人承担。</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8．投标文件的语言及计量单位</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8.1 投标文件及投标人与采购人之间与投标有关的来往通知、函件和文件均应使用简体中文。除签名、盖章、专用名称等特殊情形外，以中文汉语以外的文字表述的投标文件视同未提供。投标人提交的支持文件和印刷的文献可以用另一种语言，但相应内容应附有中文翻译文本，在解释投标文件时以中文翻译文本为准。</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8.2 除招标文件另有规定外，投标文件所使用的计量单位，均须采用中华人民共和国法定计量单位，否则视同未响应。</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9．投标文件构成</w:t>
      </w:r>
    </w:p>
    <w:p>
      <w:pPr>
        <w:spacing w:line="360" w:lineRule="auto"/>
        <w:ind w:firstLine="442" w:firstLineChars="200"/>
        <w:rPr>
          <w:rFonts w:ascii="宋体" w:hAnsi="宋体" w:eastAsia="宋体" w:cs="宋体"/>
          <w:b/>
          <w:bCs/>
          <w:snapToGrid w:val="0"/>
          <w:kern w:val="0"/>
          <w:szCs w:val="21"/>
        </w:rPr>
      </w:pPr>
      <w:r>
        <w:rPr>
          <w:rFonts w:hint="eastAsia" w:ascii="宋体" w:hAnsi="宋体" w:eastAsia="宋体" w:cs="宋体"/>
          <w:b/>
          <w:bCs/>
          <w:snapToGrid w:val="0"/>
          <w:kern w:val="0"/>
          <w:szCs w:val="21"/>
        </w:rPr>
        <w:t>投标人递交的投标文件由资格证明文件、资信及技术文件、报价文件三部分与电子版组成。</w:t>
      </w:r>
    </w:p>
    <w:p>
      <w:pPr>
        <w:tabs>
          <w:tab w:val="left" w:pos="6930"/>
        </w:tabs>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b/>
          <w:snapToGrid w:val="0"/>
          <w:kern w:val="0"/>
          <w:szCs w:val="21"/>
        </w:rPr>
        <w:t>9.1 资格证明文件</w:t>
      </w:r>
      <w:r>
        <w:rPr>
          <w:rFonts w:hint="eastAsia" w:ascii="宋体" w:hAnsi="宋体" w:eastAsia="宋体" w:cs="宋体"/>
          <w:snapToGrid w:val="0"/>
          <w:kern w:val="0"/>
          <w:szCs w:val="21"/>
        </w:rPr>
        <w:t>：</w:t>
      </w:r>
      <w:r>
        <w:rPr>
          <w:rFonts w:hint="eastAsia" w:ascii="宋体" w:hAnsi="宋体" w:eastAsia="宋体" w:cs="宋体"/>
          <w:snapToGrid w:val="0"/>
          <w:kern w:val="0"/>
          <w:szCs w:val="21"/>
        </w:rPr>
        <w:tab/>
      </w:r>
    </w:p>
    <w:p>
      <w:pPr>
        <w:spacing w:line="360" w:lineRule="auto"/>
        <w:ind w:firstLine="442" w:firstLineChars="200"/>
        <w:jc w:val="left"/>
        <w:rPr>
          <w:rFonts w:ascii="宋体" w:hAnsi="宋体" w:eastAsia="宋体" w:cs="宋体"/>
          <w:b/>
          <w:snapToGrid w:val="0"/>
          <w:kern w:val="0"/>
          <w:szCs w:val="21"/>
        </w:rPr>
      </w:pPr>
      <w:r>
        <w:rPr>
          <w:rFonts w:hint="eastAsia" w:ascii="宋体" w:hAnsi="宋体" w:eastAsia="宋体" w:cs="宋体"/>
          <w:b/>
          <w:snapToGrid w:val="0"/>
          <w:kern w:val="0"/>
          <w:szCs w:val="21"/>
        </w:rPr>
        <w:t>1.资格审查材料（详见招标文件“第六章应提交的有关投标文件格式范例）</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b/>
          <w:snapToGrid w:val="0"/>
          <w:kern w:val="0"/>
          <w:szCs w:val="21"/>
        </w:rPr>
        <w:t>9.2资信及技术文件</w:t>
      </w:r>
      <w:r>
        <w:rPr>
          <w:rFonts w:hint="eastAsia" w:ascii="宋体" w:hAnsi="宋体" w:eastAsia="宋体" w:cs="宋体"/>
          <w:snapToGrid w:val="0"/>
          <w:kern w:val="0"/>
          <w:szCs w:val="21"/>
        </w:rPr>
        <w:t>；</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资信文件：</w:t>
      </w:r>
    </w:p>
    <w:p>
      <w:pPr>
        <w:numPr>
          <w:ilvl w:val="0"/>
          <w:numId w:val="3"/>
        </w:num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资信技术标评分索引表；</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（2）法定代表人资格证明书或附有法定代表人资格证明书的法定代表人授权书；</w:t>
      </w:r>
    </w:p>
    <w:p>
      <w:pPr>
        <w:spacing w:line="360" w:lineRule="auto"/>
        <w:ind w:firstLine="442" w:firstLineChars="200"/>
        <w:jc w:val="left"/>
        <w:rPr>
          <w:rFonts w:ascii="宋体" w:hAnsi="宋体" w:eastAsia="宋体" w:cs="宋体"/>
        </w:rPr>
      </w:pPr>
      <w:r>
        <w:rPr>
          <w:rFonts w:hint="eastAsia" w:ascii="宋体" w:hAnsi="宋体" w:eastAsia="宋体" w:cs="宋体"/>
          <w:snapToGrid w:val="0"/>
          <w:kern w:val="0"/>
          <w:szCs w:val="21"/>
        </w:rPr>
        <w:t>（3）</w:t>
      </w:r>
      <w:r>
        <w:rPr>
          <w:rFonts w:hint="eastAsia" w:ascii="宋体" w:hAnsi="宋体" w:eastAsia="宋体" w:cs="宋体"/>
        </w:rPr>
        <w:t>提供有效的经营执照复印件并加盖公司公章；（按照资格条件要求提供，如有）；</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（4）</w:t>
      </w:r>
      <w:r>
        <w:rPr>
          <w:rFonts w:hint="eastAsia" w:ascii="宋体" w:hAnsi="宋体" w:eastAsia="宋体" w:cs="宋体"/>
        </w:rPr>
        <w:t>廉政承诺书；</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rPr>
        <w:t>（5）</w:t>
      </w:r>
      <w:r>
        <w:rPr>
          <w:rFonts w:hint="eastAsia" w:ascii="宋体" w:hAnsi="宋体" w:eastAsia="宋体" w:cs="宋体"/>
          <w:snapToGrid w:val="0"/>
          <w:kern w:val="0"/>
          <w:szCs w:val="21"/>
        </w:rPr>
        <w:t>公司基本情况介绍；</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（6）投标声明书；</w:t>
      </w:r>
    </w:p>
    <w:p>
      <w:pPr>
        <w:spacing w:line="360" w:lineRule="auto"/>
        <w:ind w:firstLine="442" w:firstLineChars="200"/>
        <w:jc w:val="left"/>
        <w:rPr>
          <w:rFonts w:ascii="宋体" w:hAnsi="宋体" w:eastAsia="宋体" w:cs="宋体"/>
        </w:rPr>
      </w:pPr>
      <w:r>
        <w:rPr>
          <w:rFonts w:hint="eastAsia" w:ascii="宋体" w:hAnsi="宋体" w:eastAsia="宋体" w:cs="宋体"/>
          <w:snapToGrid w:val="0"/>
          <w:kern w:val="0"/>
          <w:szCs w:val="21"/>
        </w:rPr>
        <w:t>（7）供应商类似工程业绩；</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技术文件：</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（1）施工方案；</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（2）主要设备、材料品牌选择情况（</w:t>
      </w:r>
      <w:r>
        <w:rPr>
          <w:rFonts w:hint="eastAsia" w:ascii="宋体" w:hAnsi="宋体" w:eastAsia="宋体" w:cs="宋体"/>
          <w:b/>
          <w:bCs/>
          <w:snapToGrid w:val="0"/>
          <w:kern w:val="0"/>
          <w:szCs w:val="21"/>
        </w:rPr>
        <w:t>需</w:t>
      </w:r>
      <w:r>
        <w:rPr>
          <w:rFonts w:hint="eastAsia" w:ascii="宋体" w:hAnsi="宋体" w:eastAsia="宋体" w:cs="宋体"/>
          <w:b/>
          <w:bCs/>
        </w:rPr>
        <w:t>明确品牌、规格、型号</w:t>
      </w:r>
      <w:r>
        <w:rPr>
          <w:rFonts w:hint="eastAsia" w:ascii="宋体" w:hAnsi="宋体" w:eastAsia="宋体" w:cs="宋体"/>
          <w:snapToGrid w:val="0"/>
          <w:kern w:val="0"/>
          <w:szCs w:val="21"/>
        </w:rPr>
        <w:t>）</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（3）质量保证措施；</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（4）施工机具和检验仪器的投入；</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（5）工期承诺、进度控制措施及施工质量控制措施；</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（6）投入本项目的工程技术管理人员的专业配置情况；</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（7）关键工序、复杂环节的相应技术措施；</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（8）安全文明施工保证措施；</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（9）材料设备进场计划及施工计划情况；</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（10）合理化建议及售后服务；</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（11）招标文件要求提供的相关检测报告、证明材料等材料；（应列出清单并备注页码，检测报告、相关证明材料等应提供复印件加盖投标人公章，要求清晰无缺漏。原件备查）</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（12）供应商认为需要提供的资料。</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采用文字表述外可附下列图表，图表及格式要求附后，没有图表的可格式自拟。</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附表一  拟投入的主要施工设备表</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附表二  拟配备的试验和检测仪器设备表</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附表三  项目管理班子配备情况表</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附表四、项目经理简历表</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附表五、技术负责人简历表</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附表六、劳动力计划表</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附表七、计划开、竣工日期和施工进度网络图或横道图</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b/>
          <w:snapToGrid w:val="0"/>
          <w:kern w:val="0"/>
          <w:szCs w:val="21"/>
        </w:rPr>
        <w:t>9.3报价文件：</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（1）投标函；</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（2）开标一览表；</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（3）工程量清单报价格式；</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（4）投标方认为需要的其他文件资料。</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9.4 以上内容按照采购文件第六部分附件所附格式填写。没有提供格式的，投标人根据实际情况自行设计并编制。</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10．投标函</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10.1 投标人应完整地填写招标文件中提供的投标函和投标相关附件。</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10.2 投标文件应当对招标文件中有关投标有效期、采购需求等实质性内容作出响应。投标人在满足招标文件实质性要求的基础上，可以提出比招标文件要求更有利于采购人的承诺。</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11．投标报价</w:t>
      </w:r>
    </w:p>
    <w:p>
      <w:pPr>
        <w:spacing w:line="360" w:lineRule="auto"/>
        <w:ind w:firstLine="435"/>
        <w:rPr>
          <w:rFonts w:ascii="宋体" w:hAnsi="宋体" w:eastAsia="宋体" w:cs="宋体"/>
          <w:b/>
          <w:szCs w:val="21"/>
        </w:rPr>
      </w:pPr>
      <w:r>
        <w:rPr>
          <w:rFonts w:hint="eastAsia" w:ascii="宋体" w:hAnsi="宋体" w:eastAsia="宋体" w:cs="宋体"/>
          <w:b/>
          <w:snapToGrid w:val="0"/>
          <w:kern w:val="0"/>
          <w:szCs w:val="21"/>
        </w:rPr>
        <w:t>11.1投标人应按招标文件中规定填写报价有关表格。该部分内容</w:t>
      </w:r>
      <w:r>
        <w:rPr>
          <w:rFonts w:hint="eastAsia" w:ascii="宋体" w:hAnsi="宋体" w:eastAsia="宋体" w:cs="宋体"/>
          <w:b/>
          <w:szCs w:val="21"/>
        </w:rPr>
        <w:t>为在第二阶段开标仪式上唱标的内容，投标人应按格式填写，统一规范不得自行增减内容。当投标函与开标一览表不相一致时，以投标函为准；大写与小写不一致时，以大写为准。</w:t>
      </w:r>
    </w:p>
    <w:p>
      <w:pPr>
        <w:spacing w:line="360" w:lineRule="auto"/>
        <w:ind w:firstLine="442" w:firstLineChars="200"/>
        <w:jc w:val="left"/>
        <w:rPr>
          <w:rFonts w:ascii="宋体" w:hAnsi="宋体" w:eastAsia="宋体" w:cs="宋体"/>
          <w:b/>
          <w:snapToGrid w:val="0"/>
          <w:kern w:val="0"/>
          <w:szCs w:val="21"/>
        </w:rPr>
      </w:pPr>
      <w:r>
        <w:rPr>
          <w:rFonts w:hint="eastAsia" w:ascii="宋体" w:hAnsi="宋体" w:eastAsia="宋体" w:cs="宋体"/>
          <w:b/>
          <w:snapToGrid w:val="0"/>
          <w:kern w:val="0"/>
          <w:szCs w:val="21"/>
        </w:rPr>
        <w:t>11.2招标文件中明确的采购内容的采购、运输以及施工、安装、调试期间潜在可能产生的费用、搬运费（含二次搬运）、二次拆装费、安全文明费、各类措施费、拆除费（含垃圾清运，垃圾清运所涉及的报批等手续均由投标人负责）、凡在投标报价中涉及到企业管理费、利润、措施费、规费、税金等国家、省、市强制性要求的费用，若投标人报价不足或未报价，则视作优惠，一旦中标，投标人自行承担该费用。投标人对合同内容的费用、质量、安全、文明服务等实行全面承包。最后投标报价是履行合同的最终合同价。</w:t>
      </w:r>
    </w:p>
    <w:p>
      <w:pPr>
        <w:spacing w:line="360" w:lineRule="auto"/>
        <w:ind w:firstLine="442" w:firstLineChars="200"/>
        <w:jc w:val="left"/>
        <w:rPr>
          <w:rFonts w:ascii="宋体" w:hAnsi="宋体" w:eastAsia="宋体" w:cs="宋体"/>
          <w:szCs w:val="21"/>
        </w:rPr>
      </w:pPr>
      <w:r>
        <w:rPr>
          <w:rFonts w:hint="eastAsia" w:ascii="宋体" w:hAnsi="宋体" w:eastAsia="宋体" w:cs="宋体"/>
          <w:szCs w:val="21"/>
        </w:rPr>
        <w:t>11.3投标报价须考虑的因素</w:t>
      </w:r>
    </w:p>
    <w:p>
      <w:pPr>
        <w:spacing w:line="360" w:lineRule="auto"/>
        <w:ind w:firstLine="442" w:firstLineChars="200"/>
        <w:jc w:val="left"/>
        <w:rPr>
          <w:rFonts w:ascii="宋体" w:hAnsi="宋体" w:eastAsia="宋体" w:cs="宋体"/>
          <w:szCs w:val="21"/>
        </w:rPr>
      </w:pPr>
      <w:r>
        <w:rPr>
          <w:rFonts w:hint="eastAsia" w:ascii="宋体" w:hAnsi="宋体" w:eastAsia="宋体" w:cs="宋体"/>
          <w:szCs w:val="21"/>
        </w:rPr>
        <w:t>（1）此报价包括但不限于工作、生活、交通、通讯、设备（仪器）、劳力、利润、税收以及服务成果全部验收完毕前可能产生的其他费用。</w:t>
      </w:r>
    </w:p>
    <w:p>
      <w:pPr>
        <w:spacing w:line="360" w:lineRule="auto"/>
        <w:ind w:firstLine="442" w:firstLineChars="200"/>
        <w:jc w:val="left"/>
        <w:rPr>
          <w:rFonts w:ascii="宋体" w:hAnsi="宋体" w:eastAsia="宋体" w:cs="宋体"/>
          <w:szCs w:val="21"/>
        </w:rPr>
      </w:pPr>
      <w:r>
        <w:rPr>
          <w:rFonts w:hint="eastAsia" w:ascii="宋体" w:hAnsi="宋体" w:eastAsia="宋体" w:cs="宋体"/>
          <w:szCs w:val="21"/>
        </w:rPr>
        <w:t>（2）根据国家和浙江省的有关规定，凡要求投标人办理的一切手续（包括投标和中标后供应货物的各种手续）均由投标人自行调查办理，该费用包含在投标报价中。</w:t>
      </w:r>
    </w:p>
    <w:p>
      <w:pPr>
        <w:spacing w:line="360" w:lineRule="auto"/>
        <w:ind w:firstLine="442" w:firstLineChars="200"/>
        <w:jc w:val="left"/>
        <w:rPr>
          <w:rFonts w:ascii="宋体" w:hAnsi="宋体" w:eastAsia="宋体" w:cs="宋体"/>
          <w:szCs w:val="21"/>
        </w:rPr>
      </w:pPr>
      <w:r>
        <w:rPr>
          <w:rFonts w:hint="eastAsia" w:ascii="宋体" w:hAnsi="宋体" w:eastAsia="宋体" w:cs="宋体"/>
          <w:szCs w:val="21"/>
        </w:rPr>
        <w:t>（3）投标人在报价时可自行考虑一定的风险系数（风险包括政策性调价及市场材料价格变化等因素）。招标人不承担风险因素造成的价格变更。</w:t>
      </w:r>
    </w:p>
    <w:p>
      <w:pPr>
        <w:spacing w:line="360" w:lineRule="auto"/>
        <w:ind w:firstLine="442" w:firstLineChars="200"/>
        <w:jc w:val="left"/>
        <w:rPr>
          <w:rFonts w:ascii="宋体" w:hAnsi="宋体" w:eastAsia="宋体" w:cs="宋体"/>
          <w:szCs w:val="21"/>
        </w:rPr>
      </w:pPr>
      <w:r>
        <w:rPr>
          <w:rFonts w:hint="eastAsia" w:ascii="宋体" w:hAnsi="宋体" w:eastAsia="宋体" w:cs="宋体"/>
          <w:szCs w:val="21"/>
        </w:rPr>
        <w:t>（4）投标人可进一步参阅用户需求部分，了解各影响投标报价的因素。除招标人提出的变更要求，投标人所报的价格在合同执行过程中是固定不变的，不得以任何理由予以变更。未计入报价的部分，均视为投标人的优惠，不再调整。</w:t>
      </w:r>
    </w:p>
    <w:p>
      <w:pPr>
        <w:spacing w:line="360" w:lineRule="auto"/>
        <w:ind w:firstLine="442" w:firstLineChars="200"/>
        <w:jc w:val="left"/>
        <w:rPr>
          <w:rFonts w:ascii="宋体" w:hAnsi="宋体" w:eastAsia="宋体" w:cs="宋体"/>
          <w:szCs w:val="21"/>
        </w:rPr>
      </w:pPr>
      <w:r>
        <w:rPr>
          <w:rFonts w:hint="eastAsia" w:ascii="宋体" w:hAnsi="宋体" w:eastAsia="宋体" w:cs="宋体"/>
          <w:szCs w:val="21"/>
        </w:rPr>
        <w:t>11.4 报价明细中采用单价及合价，便于评审及经济性测算。采购人要求的分类报价是为了方便评标，但在任何情况下不限制采购人以其认为最合适的条款签订合同的权力。</w:t>
      </w:r>
    </w:p>
    <w:p>
      <w:pPr>
        <w:spacing w:line="360" w:lineRule="auto"/>
        <w:ind w:firstLine="442" w:firstLineChars="200"/>
        <w:jc w:val="left"/>
        <w:rPr>
          <w:rFonts w:ascii="宋体" w:hAnsi="宋体" w:eastAsia="宋体" w:cs="宋体"/>
          <w:szCs w:val="21"/>
        </w:rPr>
      </w:pPr>
      <w:r>
        <w:rPr>
          <w:rFonts w:hint="eastAsia" w:ascii="宋体" w:hAnsi="宋体" w:eastAsia="宋体" w:cs="宋体"/>
          <w:szCs w:val="21"/>
        </w:rPr>
        <w:t>11.5 招标人不接受任何选择性报价。</w:t>
      </w:r>
    </w:p>
    <w:p>
      <w:pPr>
        <w:spacing w:line="360" w:lineRule="auto"/>
        <w:ind w:firstLine="442" w:firstLineChars="200"/>
        <w:jc w:val="left"/>
        <w:rPr>
          <w:rFonts w:ascii="宋体" w:hAnsi="宋体" w:eastAsia="宋体" w:cs="宋体"/>
          <w:szCs w:val="21"/>
        </w:rPr>
      </w:pPr>
      <w:r>
        <w:rPr>
          <w:rFonts w:hint="eastAsia" w:ascii="宋体" w:hAnsi="宋体" w:eastAsia="宋体" w:cs="宋体"/>
          <w:szCs w:val="21"/>
        </w:rPr>
        <w:t>11.6最低报价不是中标的保证。</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12．投标货币</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投标人用人民币报价。</w:t>
      </w:r>
    </w:p>
    <w:p>
      <w:pPr>
        <w:widowControl/>
        <w:numPr>
          <w:ilvl w:val="0"/>
          <w:numId w:val="4"/>
        </w:numPr>
        <w:spacing w:line="360" w:lineRule="auto"/>
        <w:ind w:firstLine="442" w:firstLineChars="200"/>
        <w:jc w:val="left"/>
        <w:rPr>
          <w:rFonts w:ascii="宋体" w:hAnsi="宋体" w:eastAsia="宋体" w:cs="宋体"/>
          <w:b/>
          <w:snapToGrid w:val="0"/>
          <w:kern w:val="0"/>
          <w:szCs w:val="21"/>
        </w:rPr>
      </w:pPr>
      <w:r>
        <w:rPr>
          <w:rFonts w:hint="eastAsia" w:ascii="宋体" w:hAnsi="宋体" w:eastAsia="宋体" w:cs="宋体"/>
          <w:b/>
          <w:snapToGrid w:val="0"/>
          <w:kern w:val="0"/>
          <w:szCs w:val="21"/>
        </w:rPr>
        <w:t>投标保证金：</w:t>
      </w:r>
    </w:p>
    <w:p>
      <w:pPr>
        <w:pStyle w:val="28"/>
        <w:spacing w:line="360" w:lineRule="auto"/>
        <w:ind w:firstLine="442"/>
        <w:rPr>
          <w:rFonts w:ascii="宋体" w:hAnsi="宋体" w:eastAsia="宋体" w:cs="宋体"/>
          <w:kern w:val="2"/>
          <w:sz w:val="21"/>
          <w:szCs w:val="21"/>
        </w:rPr>
      </w:pPr>
      <w:r>
        <w:rPr>
          <w:rFonts w:hint="eastAsia" w:ascii="宋体" w:hAnsi="宋体" w:eastAsia="宋体" w:cs="宋体"/>
          <w:kern w:val="2"/>
          <w:sz w:val="21"/>
          <w:szCs w:val="21"/>
        </w:rPr>
        <w:t>13.1投标人须按“投标人须知前附表”的规定提供投标保证金。</w:t>
      </w:r>
    </w:p>
    <w:p>
      <w:pPr>
        <w:pStyle w:val="28"/>
        <w:spacing w:line="360" w:lineRule="auto"/>
        <w:ind w:firstLine="442"/>
        <w:rPr>
          <w:rFonts w:ascii="宋体" w:hAnsi="宋体" w:eastAsia="宋体" w:cs="宋体"/>
          <w:kern w:val="2"/>
          <w:sz w:val="21"/>
          <w:szCs w:val="21"/>
        </w:rPr>
      </w:pPr>
      <w:r>
        <w:rPr>
          <w:rFonts w:hint="eastAsia" w:ascii="宋体" w:hAnsi="宋体" w:eastAsia="宋体" w:cs="宋体"/>
          <w:kern w:val="2"/>
          <w:sz w:val="21"/>
          <w:szCs w:val="21"/>
        </w:rPr>
        <w:t>13.2中标人在与招标人签订合同后凭投标保证金缴纳凭证及合同原件办理投标证金退还手续， 投标保证金在5个工作内退还。</w:t>
      </w:r>
    </w:p>
    <w:p>
      <w:pPr>
        <w:pStyle w:val="28"/>
        <w:spacing w:line="360" w:lineRule="auto"/>
        <w:ind w:firstLine="442"/>
        <w:rPr>
          <w:rFonts w:ascii="宋体" w:hAnsi="宋体" w:eastAsia="宋体" w:cs="宋体"/>
          <w:kern w:val="2"/>
          <w:sz w:val="21"/>
          <w:szCs w:val="21"/>
        </w:rPr>
      </w:pPr>
      <w:r>
        <w:rPr>
          <w:rFonts w:hint="eastAsia" w:ascii="宋体" w:hAnsi="宋体" w:eastAsia="宋体" w:cs="宋体"/>
          <w:kern w:val="2"/>
          <w:sz w:val="21"/>
          <w:szCs w:val="21"/>
        </w:rPr>
        <w:t>13.3未中标单位在中标通知书发出后凭投标保证金缴纳凭证办理投标保证金退还手续，投标保证金在5个工作内退还。</w:t>
      </w:r>
    </w:p>
    <w:p>
      <w:pPr>
        <w:pStyle w:val="28"/>
        <w:spacing w:line="360" w:lineRule="auto"/>
        <w:ind w:firstLine="442"/>
        <w:rPr>
          <w:rFonts w:ascii="宋体" w:hAnsi="宋体" w:eastAsia="宋体" w:cs="宋体"/>
          <w:kern w:val="2"/>
          <w:sz w:val="21"/>
          <w:szCs w:val="21"/>
        </w:rPr>
      </w:pPr>
      <w:r>
        <w:rPr>
          <w:rFonts w:hint="eastAsia" w:ascii="宋体" w:hAnsi="宋体" w:eastAsia="宋体" w:cs="宋体"/>
          <w:kern w:val="2"/>
          <w:sz w:val="21"/>
          <w:szCs w:val="21"/>
        </w:rPr>
        <w:t>13.4发生下列情况之一，投标保证金将不予退回。</w:t>
      </w:r>
    </w:p>
    <w:p>
      <w:pPr>
        <w:pStyle w:val="28"/>
        <w:spacing w:line="360" w:lineRule="auto"/>
        <w:ind w:firstLine="442"/>
        <w:rPr>
          <w:rFonts w:ascii="宋体" w:hAnsi="宋体" w:eastAsia="宋体" w:cs="宋体"/>
          <w:kern w:val="2"/>
          <w:sz w:val="21"/>
          <w:szCs w:val="21"/>
        </w:rPr>
      </w:pPr>
      <w:r>
        <w:rPr>
          <w:rFonts w:hint="eastAsia" w:ascii="宋体" w:hAnsi="宋体" w:eastAsia="宋体" w:cs="宋体"/>
          <w:kern w:val="2"/>
          <w:sz w:val="21"/>
          <w:szCs w:val="21"/>
        </w:rPr>
        <w:t>（1）投标人在提交投标文件截止时间后撤回投标文件的；</w:t>
      </w:r>
    </w:p>
    <w:p>
      <w:pPr>
        <w:pStyle w:val="28"/>
        <w:spacing w:line="360" w:lineRule="auto"/>
        <w:ind w:firstLine="442"/>
        <w:rPr>
          <w:rFonts w:ascii="宋体" w:hAnsi="宋体" w:eastAsia="宋体" w:cs="宋体"/>
          <w:kern w:val="2"/>
          <w:sz w:val="21"/>
          <w:szCs w:val="21"/>
        </w:rPr>
      </w:pPr>
      <w:r>
        <w:rPr>
          <w:rFonts w:hint="eastAsia" w:ascii="宋体" w:hAnsi="宋体" w:eastAsia="宋体" w:cs="宋体"/>
          <w:kern w:val="2"/>
          <w:sz w:val="21"/>
          <w:szCs w:val="21"/>
        </w:rPr>
        <w:t>（2）除因不可抗力或招标文件认可的情形以外，成交投标人不与招标人签订合同的；</w:t>
      </w:r>
    </w:p>
    <w:p>
      <w:pPr>
        <w:pStyle w:val="28"/>
        <w:spacing w:line="360" w:lineRule="auto"/>
        <w:ind w:firstLine="420" w:firstLineChars="0"/>
        <w:rPr>
          <w:rFonts w:ascii="宋体" w:hAnsi="宋体" w:eastAsia="宋体" w:cs="宋体"/>
          <w:kern w:val="2"/>
          <w:sz w:val="21"/>
          <w:szCs w:val="21"/>
        </w:rPr>
      </w:pPr>
      <w:r>
        <w:rPr>
          <w:rFonts w:hint="eastAsia" w:ascii="宋体" w:hAnsi="宋体" w:eastAsia="宋体" w:cs="宋体"/>
          <w:kern w:val="2"/>
          <w:sz w:val="21"/>
          <w:szCs w:val="21"/>
        </w:rPr>
        <w:t>（3）投标人在签订合同时向招标人提出附加条件的;</w:t>
      </w:r>
    </w:p>
    <w:p>
      <w:pPr>
        <w:pStyle w:val="28"/>
        <w:spacing w:line="360" w:lineRule="auto"/>
        <w:ind w:firstLine="420" w:firstLineChars="0"/>
        <w:rPr>
          <w:rFonts w:ascii="宋体" w:hAnsi="宋体" w:eastAsia="宋体" w:cs="宋体"/>
          <w:kern w:val="2"/>
          <w:sz w:val="21"/>
          <w:szCs w:val="21"/>
        </w:rPr>
      </w:pPr>
      <w:r>
        <w:rPr>
          <w:rFonts w:hint="eastAsia" w:ascii="宋体" w:hAnsi="宋体" w:eastAsia="宋体" w:cs="宋体"/>
          <w:kern w:val="2"/>
          <w:sz w:val="21"/>
          <w:szCs w:val="21"/>
        </w:rPr>
        <w:t>（4）投标人不按招标文件要求提交履约担保的；</w:t>
      </w:r>
    </w:p>
    <w:p>
      <w:pPr>
        <w:pStyle w:val="28"/>
        <w:spacing w:line="360" w:lineRule="auto"/>
        <w:ind w:firstLine="420" w:firstLineChars="0"/>
        <w:rPr>
          <w:rFonts w:ascii="宋体" w:hAnsi="宋体" w:eastAsia="宋体" w:cs="宋体"/>
          <w:kern w:val="2"/>
          <w:sz w:val="21"/>
          <w:szCs w:val="21"/>
        </w:rPr>
      </w:pPr>
      <w:r>
        <w:rPr>
          <w:rFonts w:hint="eastAsia" w:ascii="宋体" w:hAnsi="宋体" w:eastAsia="宋体" w:cs="宋体"/>
          <w:kern w:val="2"/>
          <w:sz w:val="21"/>
          <w:szCs w:val="21"/>
        </w:rPr>
        <w:t>（5）投标人在投标文件中提供虚假材料的；</w:t>
      </w:r>
    </w:p>
    <w:p>
      <w:pPr>
        <w:pStyle w:val="28"/>
        <w:spacing w:line="360" w:lineRule="auto"/>
        <w:ind w:firstLine="420" w:firstLineChars="0"/>
        <w:rPr>
          <w:rFonts w:ascii="宋体" w:hAnsi="宋体" w:eastAsia="宋体" w:cs="宋体"/>
          <w:kern w:val="2"/>
          <w:sz w:val="21"/>
          <w:szCs w:val="21"/>
        </w:rPr>
      </w:pPr>
      <w:r>
        <w:rPr>
          <w:rFonts w:hint="eastAsia" w:ascii="宋体" w:hAnsi="宋体" w:eastAsia="宋体" w:cs="宋体"/>
          <w:kern w:val="2"/>
          <w:sz w:val="21"/>
          <w:szCs w:val="21"/>
        </w:rPr>
        <w:t>（6）投标人围标或串通投标的；</w:t>
      </w:r>
    </w:p>
    <w:p>
      <w:pPr>
        <w:pStyle w:val="28"/>
        <w:spacing w:line="360" w:lineRule="auto"/>
        <w:ind w:firstLine="420" w:firstLineChars="0"/>
        <w:rPr>
          <w:rFonts w:ascii="宋体" w:hAnsi="宋体" w:eastAsia="宋体" w:cs="宋体"/>
          <w:kern w:val="2"/>
          <w:sz w:val="21"/>
          <w:szCs w:val="21"/>
        </w:rPr>
      </w:pPr>
      <w:r>
        <w:rPr>
          <w:rFonts w:hint="eastAsia" w:ascii="宋体" w:hAnsi="宋体" w:eastAsia="宋体" w:cs="宋体"/>
          <w:kern w:val="2"/>
          <w:sz w:val="21"/>
          <w:szCs w:val="21"/>
        </w:rPr>
        <w:t>（7）投标人向评标小组成员行贿谋求中标的；</w:t>
      </w:r>
    </w:p>
    <w:p>
      <w:pPr>
        <w:pStyle w:val="28"/>
        <w:spacing w:line="360" w:lineRule="auto"/>
        <w:ind w:firstLine="420" w:firstLineChars="0"/>
        <w:rPr>
          <w:rFonts w:ascii="宋体" w:hAnsi="宋体" w:eastAsia="宋体" w:cs="宋体"/>
          <w:kern w:val="2"/>
          <w:sz w:val="21"/>
          <w:szCs w:val="21"/>
        </w:rPr>
      </w:pPr>
      <w:r>
        <w:rPr>
          <w:rFonts w:hint="eastAsia" w:ascii="宋体" w:hAnsi="宋体" w:eastAsia="宋体" w:cs="宋体"/>
          <w:kern w:val="2"/>
          <w:sz w:val="21"/>
          <w:szCs w:val="21"/>
        </w:rPr>
        <w:t>（8）投标人以非法手段影响评标的；</w:t>
      </w:r>
    </w:p>
    <w:p>
      <w:pPr>
        <w:pStyle w:val="28"/>
        <w:spacing w:line="360" w:lineRule="auto"/>
        <w:ind w:firstLine="420" w:firstLineChars="0"/>
        <w:rPr>
          <w:rFonts w:ascii="宋体" w:hAnsi="宋体" w:eastAsia="宋体" w:cs="宋体"/>
          <w:kern w:val="2"/>
          <w:sz w:val="21"/>
          <w:szCs w:val="21"/>
        </w:rPr>
      </w:pPr>
      <w:r>
        <w:rPr>
          <w:rFonts w:hint="eastAsia" w:ascii="宋体" w:hAnsi="宋体" w:eastAsia="宋体" w:cs="宋体"/>
          <w:kern w:val="2"/>
          <w:sz w:val="21"/>
          <w:szCs w:val="21"/>
        </w:rPr>
        <w:t>（9）中标后不按规定缴纳服务费的或不与招标人签订施工合同的；</w:t>
      </w:r>
    </w:p>
    <w:p>
      <w:pPr>
        <w:pStyle w:val="25"/>
        <w:ind w:firstLine="442" w:firstLineChars="200"/>
        <w:rPr>
          <w:rFonts w:ascii="宋体" w:hAnsi="宋体" w:eastAsia="宋体" w:cs="宋体"/>
          <w:color w:val="auto"/>
          <w:kern w:val="2"/>
          <w:sz w:val="21"/>
          <w:szCs w:val="21"/>
        </w:rPr>
      </w:pPr>
      <w:r>
        <w:rPr>
          <w:rFonts w:hint="eastAsia" w:ascii="宋体" w:hAnsi="宋体" w:eastAsia="宋体" w:cs="宋体"/>
          <w:color w:val="auto"/>
          <w:kern w:val="2"/>
          <w:sz w:val="21"/>
          <w:szCs w:val="21"/>
        </w:rPr>
        <w:t>（10）招标文件规定的其他情形。</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14．投标有效期</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14.1 投标文件在开标之日起90日历天内有效。</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14.2 在原定投标有效期满之前，如果出现特殊情况，采购人可以以书面形式向投标人提出延长投标有效期的要求。这种要求与答复均应采用书面形式如传真或信件等。投标人可以拒绝接受采购人的这种要求而放弃投标。采购人在接到投标人书面答复后。接受延长投标有效期的投标人将不会被要求和允许修正其投标，同时受投标有限期约束的所有权力和义务均延长至新的有限期。</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14.3 中标人的投标文件自开标之日起至合同履行完毕止均应保持有效。</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14.4投标人可拒绝接受延期要求而不会导致投标保证金不予退回。同意延长有效期的投标人不能修改投标文件。</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15．投标文件的式样和签署</w:t>
      </w:r>
    </w:p>
    <w:p>
      <w:pPr>
        <w:spacing w:line="360" w:lineRule="auto"/>
        <w:ind w:firstLine="442" w:firstLineChars="200"/>
        <w:jc w:val="left"/>
        <w:rPr>
          <w:rFonts w:ascii="宋体" w:hAnsi="宋体" w:eastAsia="宋体" w:cs="宋体"/>
          <w:snapToGrid w:val="0"/>
          <w:kern w:val="0"/>
          <w:szCs w:val="21"/>
        </w:rPr>
      </w:pPr>
      <w:bookmarkStart w:id="35" w:name="_Toc251566653"/>
      <w:bookmarkStart w:id="36" w:name="_Toc240450080"/>
      <w:r>
        <w:rPr>
          <w:rFonts w:hint="eastAsia" w:ascii="宋体" w:hAnsi="宋体" w:eastAsia="宋体" w:cs="宋体"/>
          <w:snapToGrid w:val="0"/>
          <w:kern w:val="0"/>
          <w:szCs w:val="21"/>
        </w:rPr>
        <w:t>15.1 投标人应按照本招标文件规定的格式和顺序编制、装订投标文件。投标文件内容不完整、编排混乱导致投标文件被误读、漏读，或者在按招标文件规定装订成册的部分查找不到相关内容的，是投标人的责任。</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15.2 投标人递交的纸质投标文件包括 “正本”、“副本”，文件份数见投标须知前附表。</w:t>
      </w:r>
    </w:p>
    <w:p>
      <w:pPr>
        <w:spacing w:line="360" w:lineRule="auto"/>
        <w:ind w:firstLine="442" w:firstLineChars="200"/>
        <w:jc w:val="left"/>
        <w:rPr>
          <w:rFonts w:ascii="宋体" w:hAnsi="宋体" w:eastAsia="宋体" w:cs="宋体"/>
          <w:b/>
          <w:snapToGrid w:val="0"/>
          <w:kern w:val="0"/>
          <w:szCs w:val="21"/>
        </w:rPr>
      </w:pPr>
      <w:r>
        <w:rPr>
          <w:rFonts w:hint="eastAsia" w:ascii="宋体" w:hAnsi="宋体" w:eastAsia="宋体" w:cs="宋体"/>
          <w:b/>
          <w:snapToGrid w:val="0"/>
          <w:kern w:val="0"/>
          <w:szCs w:val="21"/>
        </w:rPr>
        <w:t>投标文件必须胶装（卡纸或铜版纸作封面，不建议硬质纸板做封面），不得出现散页、活页。</w:t>
      </w:r>
    </w:p>
    <w:p>
      <w:pPr>
        <w:spacing w:line="360" w:lineRule="auto"/>
        <w:ind w:firstLine="442" w:firstLineChars="200"/>
        <w:jc w:val="left"/>
        <w:rPr>
          <w:rFonts w:ascii="宋体" w:hAnsi="宋体" w:eastAsia="宋体" w:cs="宋体"/>
          <w:b/>
          <w:snapToGrid w:val="0"/>
          <w:kern w:val="0"/>
          <w:szCs w:val="21"/>
        </w:rPr>
      </w:pPr>
      <w:r>
        <w:rPr>
          <w:rFonts w:hint="eastAsia" w:ascii="宋体" w:hAnsi="宋体" w:eastAsia="宋体" w:cs="宋体"/>
          <w:b/>
          <w:snapToGrid w:val="0"/>
          <w:kern w:val="0"/>
          <w:szCs w:val="21"/>
        </w:rPr>
        <w:t>▲本项目要求投标文件必须胶装，未按此要求装订的将作无效标处理。</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在投标文件封面的右上角须清楚的注明“正本”或“副本”。其中投标文件的正本必须打印或用不褪色墨水书写，字迹须清晰易于辨认。投标文件的正本和副本有不一致的，以正本为准。</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15.3 投标文件的投标函应加盖投标人公章，并经法定代表人或其委托代理人签字。</w:t>
      </w:r>
      <w:r>
        <w:rPr>
          <w:rFonts w:hint="eastAsia" w:ascii="宋体" w:hAnsi="宋体" w:eastAsia="宋体" w:cs="宋体"/>
          <w:b/>
          <w:snapToGrid w:val="0"/>
          <w:kern w:val="0"/>
          <w:szCs w:val="21"/>
        </w:rPr>
        <w:t>投标文件中有委托代理人签字或盖章的必须同时提供法定代表人资格证明书及授权委托函（书）</w:t>
      </w:r>
      <w:r>
        <w:rPr>
          <w:rFonts w:hint="eastAsia" w:ascii="宋体" w:hAnsi="宋体" w:eastAsia="宋体" w:cs="宋体"/>
          <w:snapToGrid w:val="0"/>
          <w:kern w:val="0"/>
          <w:szCs w:val="21"/>
        </w:rPr>
        <w:t>。法定代表人资格证明书及授权委托函格式、签字、盖章及内容均应符合要求，否则投标文件无效。投标文件正本中依据招标文件要求加盖投标人公章</w:t>
      </w:r>
      <w:r>
        <w:rPr>
          <w:rFonts w:hint="eastAsia" w:ascii="宋体" w:hAnsi="宋体" w:eastAsia="宋体" w:cs="宋体"/>
          <w:b/>
          <w:snapToGrid w:val="0"/>
          <w:kern w:val="0"/>
          <w:szCs w:val="21"/>
          <w:u w:val="single"/>
        </w:rPr>
        <w:t>（除此之外的投标专用章、合同章等均视为无效）</w:t>
      </w:r>
      <w:r>
        <w:rPr>
          <w:rFonts w:hint="eastAsia" w:ascii="宋体" w:hAnsi="宋体" w:eastAsia="宋体" w:cs="宋体"/>
          <w:snapToGrid w:val="0"/>
          <w:kern w:val="0"/>
          <w:szCs w:val="21"/>
        </w:rPr>
        <w:t>、法定代表人或其委托代理人签字或盖章的地方须为原件。副本可复印正本内容。</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15.4 除投标人对错误之处必须修改外，全套投标文件应无涂改或行间插字和增删。修改处须有投标人法定代表人或被授权代表的签字或盖章，否则，评标委员会将不予接受。</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15.5 投标文件每册目录所示页码应该是该册唯一的页码，其唯一的页码应该与目录所示的页码相吻合。投标人应针对评标细则逐条编制响应内容并标注对应页码，否则采购人不承担因为该项错误导致找不到目录所示内容而漏评或因标书编制质量而被扣分的责任。</w:t>
      </w:r>
    </w:p>
    <w:p>
      <w:pPr>
        <w:pStyle w:val="25"/>
        <w:rPr>
          <w:rFonts w:ascii="宋体" w:hAnsi="宋体" w:eastAsia="宋体" w:cs="宋体"/>
          <w:color w:val="auto"/>
        </w:rPr>
      </w:pPr>
      <w:r>
        <w:rPr>
          <w:rFonts w:hint="eastAsia" w:ascii="宋体" w:hAnsi="宋体" w:eastAsia="宋体" w:cs="宋体"/>
          <w:snapToGrid w:val="0"/>
          <w:color w:val="auto"/>
          <w:szCs w:val="21"/>
        </w:rPr>
        <w:t xml:space="preserve">  </w:t>
      </w:r>
      <w:r>
        <w:rPr>
          <w:rFonts w:hint="eastAsia" w:ascii="宋体" w:hAnsi="宋体" w:eastAsia="宋体" w:cs="宋体"/>
          <w:snapToGrid w:val="0"/>
          <w:color w:val="auto"/>
          <w:sz w:val="21"/>
          <w:szCs w:val="21"/>
        </w:rPr>
        <w:t xml:space="preserve">  15.6 投标文件须由投标人在规定位置盖章并由投标人代表签署，投标人应写全称。</w:t>
      </w:r>
    </w:p>
    <w:p>
      <w:pPr>
        <w:pStyle w:val="4"/>
      </w:pPr>
      <w:bookmarkStart w:id="37" w:name="_Toc367274980"/>
      <w:bookmarkStart w:id="38" w:name="_Toc30293"/>
      <w:bookmarkStart w:id="39" w:name="_Toc415814128"/>
      <w:bookmarkStart w:id="40" w:name="_Toc506358597"/>
      <w:r>
        <w:rPr>
          <w:rFonts w:hint="eastAsia"/>
        </w:rPr>
        <w:t>四、投标文件的递交</w:t>
      </w:r>
      <w:bookmarkEnd w:id="35"/>
      <w:bookmarkEnd w:id="36"/>
      <w:bookmarkEnd w:id="37"/>
      <w:bookmarkEnd w:id="38"/>
      <w:bookmarkEnd w:id="39"/>
      <w:bookmarkEnd w:id="40"/>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16．投标文件的密封与标志</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16.1  投标人须将投标文件按照分别密封包装。</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16.2密封处加盖投标人公章或密封章。</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密封袋均应注明：</w:t>
      </w:r>
    </w:p>
    <w:p>
      <w:pPr>
        <w:pStyle w:val="9"/>
        <w:spacing w:line="360" w:lineRule="auto"/>
        <w:ind w:left="0" w:rightChars="0" w:firstLine="442" w:firstLineChars="200"/>
        <w:rPr>
          <w:rFonts w:hint="default" w:ascii="宋体" w:hAnsi="宋体" w:eastAsia="宋体" w:cs="宋体"/>
          <w:snapToGrid w:val="0"/>
          <w:kern w:val="0"/>
          <w:sz w:val="21"/>
          <w:szCs w:val="21"/>
        </w:rPr>
      </w:pPr>
      <w:r>
        <w:rPr>
          <w:rFonts w:ascii="宋体" w:hAnsi="宋体" w:eastAsia="宋体" w:cs="宋体"/>
          <w:snapToGrid w:val="0"/>
          <w:kern w:val="0"/>
          <w:sz w:val="21"/>
          <w:szCs w:val="21"/>
        </w:rPr>
        <w:t>采购人名称、采购人地址、投标人名称、投标人地址、标项、项目名称、项目编号、于</w:t>
      </w:r>
    </w:p>
    <w:p>
      <w:pPr>
        <w:pStyle w:val="9"/>
        <w:spacing w:line="360" w:lineRule="auto"/>
        <w:ind w:left="0" w:rightChars="0" w:firstLine="442" w:firstLineChars="200"/>
        <w:rPr>
          <w:rFonts w:hint="default" w:ascii="宋体" w:hAnsi="宋体" w:eastAsia="宋体" w:cs="宋体"/>
          <w:snapToGrid w:val="0"/>
          <w:kern w:val="0"/>
        </w:rPr>
      </w:pPr>
      <w:r>
        <w:rPr>
          <w:rFonts w:ascii="宋体" w:hAnsi="宋体" w:eastAsia="宋体" w:cs="宋体"/>
          <w:snapToGrid w:val="0"/>
          <w:kern w:val="0"/>
          <w:sz w:val="21"/>
          <w:szCs w:val="21"/>
          <w:u w:val="single"/>
        </w:rPr>
        <w:t xml:space="preserve">    </w:t>
      </w:r>
      <w:r>
        <w:rPr>
          <w:rFonts w:ascii="宋体" w:hAnsi="宋体" w:eastAsia="宋体" w:cs="宋体"/>
          <w:snapToGrid w:val="0"/>
          <w:kern w:val="0"/>
          <w:sz w:val="21"/>
          <w:szCs w:val="21"/>
        </w:rPr>
        <w:t>年</w:t>
      </w:r>
      <w:r>
        <w:rPr>
          <w:rFonts w:ascii="宋体" w:hAnsi="宋体" w:eastAsia="宋体" w:cs="宋体"/>
          <w:snapToGrid w:val="0"/>
          <w:kern w:val="0"/>
          <w:sz w:val="21"/>
          <w:szCs w:val="21"/>
          <w:u w:val="single"/>
        </w:rPr>
        <w:t xml:space="preserve">   </w:t>
      </w:r>
      <w:r>
        <w:rPr>
          <w:rFonts w:ascii="宋体" w:hAnsi="宋体" w:eastAsia="宋体" w:cs="宋体"/>
          <w:snapToGrid w:val="0"/>
          <w:kern w:val="0"/>
          <w:sz w:val="21"/>
          <w:szCs w:val="21"/>
        </w:rPr>
        <w:t>月</w:t>
      </w:r>
      <w:r>
        <w:rPr>
          <w:rFonts w:ascii="宋体" w:hAnsi="宋体" w:eastAsia="宋体" w:cs="宋体"/>
          <w:snapToGrid w:val="0"/>
          <w:kern w:val="0"/>
          <w:sz w:val="21"/>
          <w:szCs w:val="21"/>
          <w:u w:val="single"/>
        </w:rPr>
        <w:t xml:space="preserve">   </w:t>
      </w:r>
      <w:r>
        <w:rPr>
          <w:rFonts w:ascii="宋体" w:hAnsi="宋体" w:eastAsia="宋体" w:cs="宋体"/>
          <w:snapToGrid w:val="0"/>
          <w:kern w:val="0"/>
          <w:sz w:val="21"/>
          <w:szCs w:val="21"/>
        </w:rPr>
        <w:t>日</w:t>
      </w:r>
      <w:r>
        <w:rPr>
          <w:rFonts w:ascii="宋体" w:hAnsi="宋体" w:eastAsia="宋体" w:cs="宋体"/>
          <w:snapToGrid w:val="0"/>
          <w:kern w:val="0"/>
          <w:sz w:val="21"/>
          <w:szCs w:val="21"/>
          <w:u w:val="single"/>
        </w:rPr>
        <w:t xml:space="preserve">   </w:t>
      </w:r>
      <w:r>
        <w:rPr>
          <w:rFonts w:ascii="宋体" w:hAnsi="宋体" w:eastAsia="宋体" w:cs="宋体"/>
          <w:snapToGrid w:val="0"/>
          <w:kern w:val="0"/>
          <w:sz w:val="21"/>
          <w:szCs w:val="21"/>
        </w:rPr>
        <w:t>时</w:t>
      </w:r>
      <w:r>
        <w:rPr>
          <w:rFonts w:ascii="宋体" w:hAnsi="宋体" w:eastAsia="宋体" w:cs="宋体"/>
          <w:snapToGrid w:val="0"/>
          <w:kern w:val="0"/>
          <w:sz w:val="21"/>
          <w:szCs w:val="21"/>
          <w:u w:val="single"/>
        </w:rPr>
        <w:t xml:space="preserve">   </w:t>
      </w:r>
      <w:r>
        <w:rPr>
          <w:rFonts w:ascii="宋体" w:hAnsi="宋体" w:eastAsia="宋体" w:cs="宋体"/>
          <w:snapToGrid w:val="0"/>
          <w:kern w:val="0"/>
          <w:sz w:val="21"/>
          <w:szCs w:val="21"/>
        </w:rPr>
        <w:t>分开标，此时间以前不得开封。”</w:t>
      </w:r>
      <w:r>
        <w:rPr>
          <w:rFonts w:ascii="宋体" w:hAnsi="宋体" w:eastAsia="宋体" w:cs="宋体"/>
          <w:snapToGrid w:val="0"/>
          <w:kern w:val="0"/>
          <w:sz w:val="21"/>
        </w:rPr>
        <w:t>并根据本须知前附表的规定填入开标日期和时间。在包封外层上还应写明投标人名称与地址、邮政编码。</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16.3 如果包封没有按上述规定密封并加写标志，采购人对误投或过早启封概不负责。对由此造成的提前开封的投标文件，采购人将予以拒绝，并退还给投标人。</w:t>
      </w:r>
    </w:p>
    <w:p>
      <w:pPr>
        <w:spacing w:line="360" w:lineRule="auto"/>
        <w:ind w:firstLine="442" w:firstLineChars="200"/>
        <w:jc w:val="left"/>
        <w:rPr>
          <w:rFonts w:ascii="宋体" w:hAnsi="宋体" w:eastAsia="宋体" w:cs="宋体"/>
          <w:b/>
          <w:snapToGrid w:val="0"/>
          <w:kern w:val="0"/>
          <w:szCs w:val="21"/>
        </w:rPr>
      </w:pPr>
      <w:r>
        <w:rPr>
          <w:rFonts w:hint="eastAsia" w:ascii="宋体" w:hAnsi="宋体" w:eastAsia="宋体" w:cs="宋体"/>
          <w:b/>
          <w:snapToGrid w:val="0"/>
          <w:kern w:val="0"/>
          <w:szCs w:val="21"/>
        </w:rPr>
        <w:t>16.4资格证明文件正本与副本密封为一包；资信及技术文件正本与副本密封为一包；报价文件正本与副本及电子档密封为一包。如开、评技术标时，发生价格报价泄露的情况，由投标人自行承担相关责任。</w:t>
      </w:r>
    </w:p>
    <w:p>
      <w:pPr>
        <w:spacing w:line="360" w:lineRule="auto"/>
        <w:ind w:firstLine="442" w:firstLineChars="200"/>
        <w:rPr>
          <w:rFonts w:ascii="宋体" w:hAnsi="宋体" w:eastAsia="宋体" w:cs="宋体"/>
          <w:b/>
          <w:snapToGrid w:val="0"/>
          <w:kern w:val="0"/>
          <w:szCs w:val="21"/>
        </w:rPr>
      </w:pPr>
      <w:bookmarkStart w:id="41" w:name="_Toc240450081"/>
      <w:bookmarkStart w:id="42" w:name="_Toc251566654"/>
      <w:r>
        <w:rPr>
          <w:rFonts w:hint="eastAsia" w:ascii="宋体" w:hAnsi="宋体" w:eastAsia="宋体" w:cs="宋体"/>
          <w:b/>
          <w:snapToGrid w:val="0"/>
          <w:kern w:val="0"/>
          <w:szCs w:val="21"/>
        </w:rPr>
        <w:t>17．投标截止期</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17.1 投标人应按前附表规定的日期、时间和地点递交投标文件。</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17.2 采购人收到投标文件的时间不得迟于投标人须知前附表中规定的截止时间。</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17.3 采购人可以按本须知第7条规定，通过修改招标文件适当延长投标截止日期。在此情况下，采购人与投标人受投标截止期制约的所有权利和义务均应延长至新的截止期。</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18．迟交的投标文件</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采购人将拒绝并原封退回在本须知第17条规定的截止期后收到的任何投标文件。</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19．投标文件的修改与撤回</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19.1 投标人在递交投标文件后，可以在规定的投标截止时间前，以书面的形式通知采购人，修改或撤回其投标文件。</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19.2 投标人的修改或撤回通知，应按本须知第16条规定编制、密封、标志和递交（在外层包封上标明“修改”或“撤回”字样）。修改文件同样必须在投标截止时间前送达采购人。</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19.3 在投标截止期之后，投标人不得对其投标作任何修改。</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19.4 从投标截止期至投标人在投标函格式中确定的投标有效期期满这段时间内，投标人不得撤回其投标。</w:t>
      </w:r>
    </w:p>
    <w:p>
      <w:pPr>
        <w:pStyle w:val="4"/>
      </w:pPr>
      <w:bookmarkStart w:id="43" w:name="_Toc367274981"/>
      <w:bookmarkStart w:id="44" w:name="_Toc506358598"/>
      <w:bookmarkStart w:id="45" w:name="_Toc415814129"/>
      <w:bookmarkStart w:id="46" w:name="_Toc26029"/>
      <w:r>
        <w:rPr>
          <w:rFonts w:hint="eastAsia"/>
        </w:rPr>
        <w:t>五、开标</w:t>
      </w:r>
      <w:bookmarkEnd w:id="41"/>
      <w:bookmarkEnd w:id="42"/>
      <w:bookmarkEnd w:id="43"/>
      <w:bookmarkEnd w:id="44"/>
      <w:bookmarkEnd w:id="45"/>
      <w:bookmarkEnd w:id="46"/>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20．开标</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20.1 采购人将于前附表规定的时间和地点公开开标。若采购人按本须知第7条规定，通过修改招标文件更改了开标时间和地点的，以后者为准。</w:t>
      </w:r>
    </w:p>
    <w:p>
      <w:pPr>
        <w:spacing w:line="360" w:lineRule="auto"/>
        <w:ind w:firstLine="442" w:firstLineChars="200"/>
        <w:jc w:val="left"/>
        <w:rPr>
          <w:rFonts w:ascii="宋体" w:hAnsi="宋体" w:eastAsia="宋体" w:cs="宋体"/>
          <w:b/>
          <w:bCs/>
          <w:snapToGrid w:val="0"/>
          <w:kern w:val="0"/>
          <w:szCs w:val="21"/>
        </w:rPr>
      </w:pPr>
      <w:r>
        <w:rPr>
          <w:rFonts w:hint="eastAsia" w:ascii="宋体" w:hAnsi="宋体" w:eastAsia="宋体" w:cs="宋体"/>
          <w:b/>
          <w:bCs/>
          <w:snapToGrid w:val="0"/>
          <w:kern w:val="0"/>
          <w:szCs w:val="21"/>
        </w:rPr>
        <w:t>20.2 开标大会邀请所有投标人代表参加。参加开标的投标人的法定代表人或其委托代理人（以下称投标人代表）必须随带本人居民身份证或公安机关出具的临时居民身份证明或港澳台胞证或护照原件</w:t>
      </w:r>
      <w:r>
        <w:rPr>
          <w:rFonts w:hint="eastAsia" w:ascii="宋体" w:hAnsi="宋体" w:eastAsia="宋体" w:cs="宋体"/>
          <w:b/>
          <w:bCs/>
          <w:snapToGrid w:val="0"/>
          <w:kern w:val="0"/>
          <w:szCs w:val="21"/>
          <w:u w:val="single"/>
        </w:rPr>
        <w:t>（其他诸如驾驶证、市民卡等一律视为未提供有效的身份证明）</w:t>
      </w:r>
      <w:r>
        <w:rPr>
          <w:rFonts w:hint="eastAsia" w:ascii="宋体" w:hAnsi="宋体" w:eastAsia="宋体" w:cs="宋体"/>
          <w:b/>
          <w:bCs/>
          <w:snapToGrid w:val="0"/>
          <w:kern w:val="0"/>
          <w:szCs w:val="21"/>
        </w:rPr>
        <w:t>和法定代表人资格证明或法定代表人委托书原件。投标人如不派代表参加开标大会的，事后不得对采购相关人员、开标过程和开标结果提出异议。</w:t>
      </w:r>
    </w:p>
    <w:p>
      <w:pPr>
        <w:spacing w:line="360" w:lineRule="auto"/>
        <w:ind w:firstLine="442" w:firstLineChars="200"/>
        <w:jc w:val="left"/>
        <w:rPr>
          <w:rFonts w:ascii="宋体" w:hAnsi="宋体" w:eastAsia="宋体" w:cs="宋体"/>
          <w:b/>
          <w:snapToGrid w:val="0"/>
          <w:kern w:val="0"/>
          <w:szCs w:val="21"/>
        </w:rPr>
      </w:pPr>
      <w:r>
        <w:rPr>
          <w:rFonts w:hint="eastAsia" w:ascii="宋体" w:hAnsi="宋体" w:eastAsia="宋体" w:cs="宋体"/>
          <w:snapToGrid w:val="0"/>
          <w:kern w:val="0"/>
          <w:szCs w:val="21"/>
        </w:rPr>
        <w:t>投标人如是法人代表的，只须按前款提供并出示相关证明、证件即可；如是法人代表授权一个以上代表参加投标的，应按实参加，并在相应文件上同时签署</w:t>
      </w:r>
      <w:r>
        <w:rPr>
          <w:rFonts w:hint="eastAsia" w:ascii="宋体" w:hAnsi="宋体" w:eastAsia="宋体" w:cs="宋体"/>
          <w:b/>
          <w:snapToGrid w:val="0"/>
          <w:kern w:val="0"/>
          <w:szCs w:val="21"/>
        </w:rPr>
        <w:t>。</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b/>
          <w:snapToGrid w:val="0"/>
          <w:kern w:val="0"/>
          <w:szCs w:val="21"/>
        </w:rPr>
        <w:t>20.3 开标程序</w:t>
      </w:r>
      <w:r>
        <w:rPr>
          <w:rFonts w:hint="eastAsia" w:ascii="宋体" w:hAnsi="宋体" w:eastAsia="宋体" w:cs="宋体"/>
          <w:snapToGrid w:val="0"/>
          <w:kern w:val="0"/>
          <w:szCs w:val="21"/>
        </w:rPr>
        <w:t>：</w:t>
      </w:r>
    </w:p>
    <w:p>
      <w:pPr>
        <w:spacing w:line="360" w:lineRule="auto"/>
        <w:ind w:firstLine="442" w:firstLineChars="200"/>
        <w:jc w:val="left"/>
        <w:rPr>
          <w:rFonts w:ascii="宋体" w:hAnsi="宋体" w:eastAsia="宋体" w:cs="宋体"/>
          <w:b/>
          <w:snapToGrid w:val="0"/>
          <w:kern w:val="0"/>
          <w:szCs w:val="21"/>
        </w:rPr>
      </w:pPr>
      <w:r>
        <w:rPr>
          <w:rFonts w:hint="eastAsia" w:ascii="宋体" w:hAnsi="宋体" w:eastAsia="宋体" w:cs="宋体"/>
          <w:b/>
          <w:snapToGrid w:val="0"/>
          <w:kern w:val="0"/>
          <w:szCs w:val="21"/>
        </w:rPr>
        <w:t>本项目按照先拆封资格证明文件、资信及技术文件，后拆封报价文件的顺序进行。具体按以下程序进行：</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（1）开标大会由采购人或采购代理机构主持，</w:t>
      </w:r>
      <w:r>
        <w:rPr>
          <w:rFonts w:hint="eastAsia" w:ascii="宋体" w:hAnsi="宋体" w:eastAsia="宋体" w:cs="宋体"/>
          <w:kern w:val="0"/>
          <w:szCs w:val="21"/>
        </w:rPr>
        <w:t>介绍开标现场的人员情况，宣读递交采购投标文件的投标人名单、开标纪律、应当回避的情形等注意事项，组织投标人签署不存在影响公平竞</w:t>
      </w:r>
      <w:r>
        <w:rPr>
          <w:rFonts w:hint="eastAsia" w:ascii="宋体" w:hAnsi="宋体" w:eastAsia="宋体" w:cs="宋体"/>
          <w:snapToGrid w:val="0"/>
          <w:kern w:val="0"/>
          <w:szCs w:val="21"/>
        </w:rPr>
        <w:t>争的《采购活动现场确认声明书》；</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（2）提请现场监督人员查验投标文件密封情况，并签署《开标情况见证》。</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3）采购代理机构先对投标单位资格证明文件进行拆封、查验、核实（含对投标单位投标保证金缴纳情况进行查验、核实），资格证明文件审查不通过的，不再进行资信及技术文件、报价文件的拆封。并退还其他投标文件。</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（4）对资格审查通过的资信及技术文件进行拆封，对不符合装订要求的投标文件，由现场工作人员退还投标单位。</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5）采购代理机构对于通过资格审查以及投标文件装订要求检查的投标单位的报价文件进行拆封，宣读《投标（开标）一览表》有关内容及投标价格，同时当场制作并打印开标记录表，并由各投标单位法定代表人或其授权代表确认其投标价格。唱标结束后，采购代理机构将所有投标文件送至评审地点，由评标委员会对投标单位的资信及技术文件、报价文件进行评审。</w:t>
      </w:r>
    </w:p>
    <w:p>
      <w:pPr>
        <w:pStyle w:val="10"/>
        <w:spacing w:line="360" w:lineRule="auto"/>
        <w:ind w:firstLine="377" w:firstLineChars="171"/>
        <w:rPr>
          <w:rFonts w:ascii="宋体" w:hAnsi="宋体" w:eastAsia="宋体" w:cs="宋体"/>
        </w:rPr>
      </w:pPr>
      <w:r>
        <w:rPr>
          <w:rFonts w:hint="eastAsia" w:ascii="宋体" w:hAnsi="宋体" w:eastAsia="宋体" w:cs="宋体"/>
          <w:snapToGrid w:val="0"/>
          <w:kern w:val="0"/>
        </w:rPr>
        <w:t>（6）评标委员会评审期间若出现无效投标人现象，由主持人宣告资信、技术、报价评审无效投标人名称及理由，并由投标人在询标纪要表单中签字确认。</w:t>
      </w:r>
    </w:p>
    <w:p>
      <w:pPr>
        <w:pStyle w:val="10"/>
        <w:spacing w:line="360" w:lineRule="auto"/>
        <w:ind w:firstLine="377" w:firstLineChars="171"/>
        <w:rPr>
          <w:rFonts w:ascii="宋体" w:hAnsi="宋体" w:eastAsia="宋体" w:cs="宋体"/>
        </w:rPr>
      </w:pPr>
      <w:r>
        <w:rPr>
          <w:rFonts w:hint="eastAsia" w:ascii="宋体" w:hAnsi="宋体" w:eastAsia="宋体" w:cs="宋体"/>
        </w:rPr>
        <w:t>（7）</w:t>
      </w:r>
      <w:r>
        <w:rPr>
          <w:rFonts w:hint="eastAsia" w:ascii="宋体" w:hAnsi="宋体" w:eastAsia="宋体" w:cs="宋体"/>
          <w:snapToGrid w:val="0"/>
          <w:kern w:val="0"/>
        </w:rPr>
        <w:t>评标委员会评审结束后，采购代理机构宣布中标（成交）候选投标人名单，及招标人最终确定中标或成交投标人名单的时间和公告方式等。</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20.4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投标人未参加开标的，视同认可开标结果。</w:t>
      </w:r>
    </w:p>
    <w:p>
      <w:pPr>
        <w:pStyle w:val="4"/>
      </w:pPr>
      <w:bookmarkStart w:id="47" w:name="_Toc506358599"/>
      <w:bookmarkStart w:id="48" w:name="_Toc30697"/>
      <w:r>
        <w:rPr>
          <w:rFonts w:hint="eastAsia"/>
        </w:rPr>
        <w:t>六、评标</w:t>
      </w:r>
      <w:bookmarkEnd w:id="47"/>
      <w:bookmarkEnd w:id="48"/>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21．评标</w:t>
      </w:r>
    </w:p>
    <w:p>
      <w:pPr>
        <w:spacing w:line="360" w:lineRule="auto"/>
        <w:ind w:firstLine="442" w:firstLineChars="200"/>
        <w:jc w:val="left"/>
        <w:rPr>
          <w:rFonts w:ascii="宋体" w:hAnsi="宋体" w:eastAsia="宋体" w:cs="宋体"/>
          <w:b/>
          <w:snapToGrid w:val="0"/>
          <w:kern w:val="0"/>
          <w:szCs w:val="21"/>
        </w:rPr>
      </w:pPr>
      <w:r>
        <w:rPr>
          <w:rFonts w:hint="eastAsia" w:ascii="宋体" w:hAnsi="宋体" w:eastAsia="宋体" w:cs="宋体"/>
          <w:b/>
          <w:snapToGrid w:val="0"/>
          <w:kern w:val="0"/>
          <w:szCs w:val="21"/>
        </w:rPr>
        <w:t>21.1 评标组织</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评标工作由招标采购单位负责组织，依法组建由5人及以上奇数的人员组成的评标委员会，负责对投标文件进行审查、质询、评审等。评标委员会由采购相关专家等组成，其中采购专家不得少于成员总数的三分之二。</w:t>
      </w:r>
    </w:p>
    <w:p>
      <w:pPr>
        <w:spacing w:line="360" w:lineRule="auto"/>
        <w:ind w:firstLine="442" w:firstLineChars="200"/>
        <w:jc w:val="left"/>
        <w:rPr>
          <w:rFonts w:ascii="宋体" w:hAnsi="宋体" w:eastAsia="宋体" w:cs="宋体"/>
          <w:b/>
          <w:snapToGrid w:val="0"/>
          <w:kern w:val="0"/>
          <w:szCs w:val="21"/>
        </w:rPr>
      </w:pPr>
      <w:r>
        <w:rPr>
          <w:rFonts w:hint="eastAsia" w:ascii="宋体" w:hAnsi="宋体" w:eastAsia="宋体" w:cs="宋体"/>
          <w:b/>
          <w:snapToGrid w:val="0"/>
          <w:kern w:val="0"/>
          <w:szCs w:val="21"/>
        </w:rPr>
        <w:t>21.2评标纪律</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本次评标工作将在严格保密的情况下进行，评标委员会成员名单在定标前将保密。</w:t>
      </w:r>
    </w:p>
    <w:p>
      <w:pPr>
        <w:spacing w:line="360" w:lineRule="auto"/>
        <w:ind w:firstLine="442" w:firstLineChars="200"/>
        <w:jc w:val="left"/>
        <w:rPr>
          <w:rFonts w:ascii="宋体" w:hAnsi="宋体" w:eastAsia="宋体" w:cs="宋体"/>
          <w:b/>
          <w:snapToGrid w:val="0"/>
          <w:kern w:val="0"/>
          <w:szCs w:val="21"/>
        </w:rPr>
      </w:pPr>
      <w:r>
        <w:rPr>
          <w:rFonts w:hint="eastAsia" w:ascii="宋体" w:hAnsi="宋体" w:eastAsia="宋体" w:cs="宋体"/>
          <w:b/>
          <w:snapToGrid w:val="0"/>
          <w:kern w:val="0"/>
          <w:szCs w:val="21"/>
        </w:rPr>
        <w:t>21.3评标办法</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采用</w:t>
      </w:r>
      <w:r>
        <w:rPr>
          <w:rFonts w:hint="eastAsia" w:ascii="宋体" w:hAnsi="宋体" w:eastAsia="宋体" w:cs="宋体"/>
          <w:bCs/>
          <w:spacing w:val="-6"/>
        </w:rPr>
        <w:t>综合评估</w:t>
      </w:r>
      <w:r>
        <w:rPr>
          <w:rFonts w:hint="eastAsia" w:ascii="宋体" w:hAnsi="宋体" w:eastAsia="宋体" w:cs="宋体"/>
          <w:snapToGrid w:val="0"/>
          <w:kern w:val="0"/>
          <w:szCs w:val="21"/>
        </w:rPr>
        <w:t>法，详见招标文件第五部分“评标办法”。</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22．废标</w:t>
      </w:r>
    </w:p>
    <w:p>
      <w:pPr>
        <w:spacing w:line="360" w:lineRule="auto"/>
        <w:ind w:firstLine="442" w:firstLineChars="200"/>
        <w:jc w:val="left"/>
        <w:rPr>
          <w:rFonts w:ascii="宋体" w:hAnsi="宋体" w:eastAsia="宋体" w:cs="宋体"/>
          <w:snapToGrid w:val="0"/>
          <w:kern w:val="0"/>
          <w:szCs w:val="21"/>
        </w:rPr>
      </w:pPr>
      <w:bookmarkStart w:id="49" w:name="_Toc251566655"/>
      <w:bookmarkStart w:id="50" w:name="_Toc240450082"/>
      <w:r>
        <w:rPr>
          <w:rFonts w:hint="eastAsia" w:ascii="宋体" w:hAnsi="宋体" w:eastAsia="宋体" w:cs="宋体"/>
          <w:snapToGrid w:val="0"/>
          <w:kern w:val="0"/>
          <w:szCs w:val="21"/>
        </w:rPr>
        <w:t>22.1出现下列情形之一的，应予以废标：</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 xml:space="preserve">（1）符合专业条件的供应商或者对招标文件作实质响应的供应商不足三家的； </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 xml:space="preserve">（2）出现影响采购公正的违法、违规行为的； </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 xml:space="preserve">（3）投标人的报价均超过了采购预算，采购人不能支付的； </w:t>
      </w:r>
    </w:p>
    <w:p>
      <w:pPr>
        <w:spacing w:line="360" w:lineRule="auto"/>
        <w:ind w:firstLine="442" w:firstLineChars="200"/>
        <w:jc w:val="left"/>
        <w:rPr>
          <w:rFonts w:ascii="宋体" w:hAnsi="宋体" w:eastAsia="宋体" w:cs="宋体"/>
        </w:rPr>
      </w:pPr>
      <w:r>
        <w:rPr>
          <w:rFonts w:hint="eastAsia" w:ascii="宋体" w:hAnsi="宋体" w:eastAsia="宋体" w:cs="宋体"/>
          <w:snapToGrid w:val="0"/>
          <w:kern w:val="0"/>
          <w:szCs w:val="21"/>
        </w:rPr>
        <w:t>（4）因重大变故，采购任务取消的。</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22.2 废标后，采购人应当将废标理由通知所有投标人并重新组织招标；或者经主管部门批准，采取其他方式组织采购。</w:t>
      </w:r>
    </w:p>
    <w:p>
      <w:pPr>
        <w:pStyle w:val="4"/>
      </w:pPr>
      <w:bookmarkStart w:id="51" w:name="_Toc294777236"/>
      <w:bookmarkStart w:id="52" w:name="_Toc415814130"/>
      <w:bookmarkStart w:id="53" w:name="_Toc15067"/>
      <w:bookmarkStart w:id="54" w:name="_Toc367274982"/>
      <w:bookmarkStart w:id="55" w:name="_Toc506358600"/>
      <w:r>
        <w:rPr>
          <w:rFonts w:hint="eastAsia"/>
        </w:rPr>
        <w:t>七、确定中标人及授予合同</w:t>
      </w:r>
      <w:bookmarkEnd w:id="49"/>
      <w:bookmarkEnd w:id="50"/>
      <w:bookmarkEnd w:id="51"/>
      <w:bookmarkEnd w:id="52"/>
      <w:bookmarkEnd w:id="53"/>
      <w:bookmarkEnd w:id="54"/>
      <w:bookmarkEnd w:id="55"/>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23．中标人的确定</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23.1采购代理机构自评审结束之日起2个工作日内将评审报告送交采购人。采购人自收到评审报告之日起5个工作日内在评审报告推荐的中标候选人中按顺序确定中标人。</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23.2采购代理机构自中标人确定之日起2个工作日内，发出中标通知书，并将在发布招标公告的同一网站公告中标结果。</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23.3在采购机构发出中标通知书前，预中标人有违反有关法律法规和本用户需求行为的，则取消其预中标资格。</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zCs w:val="21"/>
        </w:rPr>
        <w:t>如果中标候选人放弃中标资格的，则招标人重新组织采购</w:t>
      </w:r>
      <w:r>
        <w:rPr>
          <w:rFonts w:hint="eastAsia" w:ascii="宋体" w:hAnsi="宋体" w:eastAsia="宋体" w:cs="宋体"/>
          <w:snapToGrid w:val="0"/>
          <w:kern w:val="0"/>
          <w:szCs w:val="21"/>
        </w:rPr>
        <w:t>。</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24．合同授予</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24.1 本项目的合同将授予按本须知第23.1款所确定的中标人。</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24.2 中标人因不可抗力或者自身原因不能履行合同的，</w:t>
      </w:r>
      <w:r>
        <w:rPr>
          <w:rFonts w:hint="eastAsia" w:ascii="宋体" w:hAnsi="宋体" w:eastAsia="宋体" w:cs="宋体"/>
          <w:szCs w:val="21"/>
        </w:rPr>
        <w:t>则招标人重新组织采购。</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25．签订合同</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25.1 中标人应按中标通知书规定的时间与招标人签订合同。中标人在领取中标通知书时须向招标人提供一份关于本项目在实施过程中的相关人员的通讯录作为合同附件。</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25.2 中标人如不遵守招标文件或投标文件各项条款的邀约与要约，或在接到中标通知书后借故拖延，或提出采购机构不能接受的条件，致使合同无法签订，或</w:t>
      </w:r>
      <w:r>
        <w:rPr>
          <w:rFonts w:hint="eastAsia" w:ascii="宋体" w:hAnsi="宋体" w:eastAsia="宋体" w:cs="宋体"/>
          <w:szCs w:val="21"/>
        </w:rPr>
        <w:t>中标人无正当理由拒签合同的现象，</w:t>
      </w:r>
      <w:r>
        <w:rPr>
          <w:rFonts w:hint="eastAsia" w:ascii="宋体" w:hAnsi="宋体" w:eastAsia="宋体" w:cs="宋体"/>
          <w:snapToGrid w:val="0"/>
          <w:kern w:val="0"/>
          <w:szCs w:val="21"/>
        </w:rPr>
        <w:t>招标人将取消其中标资格，</w:t>
      </w:r>
      <w:r>
        <w:rPr>
          <w:rFonts w:hint="eastAsia" w:ascii="宋体" w:hAnsi="宋体" w:eastAsia="宋体" w:cs="宋体"/>
          <w:szCs w:val="21"/>
        </w:rPr>
        <w:t>其投标保证金不予退还；给招标人造成的损失超过投标保证金数额的，中标人还应当对超过部分予以赔偿。</w:t>
      </w:r>
      <w:r>
        <w:rPr>
          <w:rFonts w:hint="eastAsia" w:ascii="宋体" w:hAnsi="宋体" w:eastAsia="宋体" w:cs="宋体"/>
          <w:snapToGrid w:val="0"/>
          <w:kern w:val="0"/>
          <w:szCs w:val="21"/>
        </w:rPr>
        <w:t>但执行国家政策或不可抗力原因不在此列。</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25.3 招标文件、中标人的投标文件及投标修改文件、评标过程中有关澄清文件及经投标人法定代表人或授权代表签字确认的询标回复和承诺及中标通知书均作为合同组成部分。</w:t>
      </w:r>
    </w:p>
    <w:p>
      <w:pPr>
        <w:spacing w:line="360" w:lineRule="auto"/>
        <w:ind w:firstLine="442" w:firstLineChars="200"/>
        <w:jc w:val="left"/>
        <w:rPr>
          <w:rFonts w:ascii="宋体" w:hAnsi="宋体" w:eastAsia="宋体" w:cs="宋体"/>
          <w:szCs w:val="21"/>
        </w:rPr>
      </w:pPr>
      <w:r>
        <w:rPr>
          <w:rFonts w:hint="eastAsia" w:ascii="宋体" w:hAnsi="宋体" w:eastAsia="宋体" w:cs="宋体"/>
          <w:snapToGrid w:val="0"/>
          <w:kern w:val="0"/>
          <w:szCs w:val="21"/>
        </w:rPr>
        <w:t>25.4在中标人签订合同并生效后，采购机构及时将未中标的结果通知其他投标人</w:t>
      </w:r>
      <w:r>
        <w:rPr>
          <w:rFonts w:hint="eastAsia" w:ascii="宋体" w:hAnsi="宋体" w:eastAsia="宋体" w:cs="宋体"/>
          <w:szCs w:val="21"/>
        </w:rPr>
        <w:t>。</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25.5 在采购代理机构发出中标通知书前，预中标供应商有违反有关法律法规和本项目要求行为的，则取消该投标人的预中标资格，并根据评标委员会推荐的中标候选人先后顺序，将下一顺序单位作为预中标公示单位，或由评标委员会提出重新组织采购等建议。</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25.6 如中标人拒绝承担中标的项目，致使合同无法签订，采购人将取消其中标资格，并根据评标委员会推荐的中标候选人先后顺序，将下一顺序单位作为预中标公示单位，或由评标委员会提出重新组织采购等建议。</w:t>
      </w:r>
    </w:p>
    <w:p>
      <w:pPr>
        <w:pStyle w:val="25"/>
        <w:rPr>
          <w:rFonts w:ascii="宋体" w:hAnsi="宋体" w:eastAsia="宋体" w:cs="宋体"/>
          <w:color w:val="auto"/>
        </w:rPr>
      </w:pP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26．履约保证</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26.1 中标人须向招标人提交履约担保。履约担保金额及标准见投标须知前附表。</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26.2 如果中标人没有按照上述第25或26.1条相关规定执行，招标人将有充分理由取消该中标决定。</w:t>
      </w:r>
    </w:p>
    <w:p>
      <w:pPr>
        <w:pStyle w:val="25"/>
        <w:spacing w:line="360" w:lineRule="auto"/>
        <w:ind w:firstLine="442" w:firstLineChars="200"/>
        <w:rPr>
          <w:rFonts w:ascii="宋体" w:hAnsi="宋体" w:eastAsia="宋体" w:cs="宋体"/>
          <w:snapToGrid w:val="0"/>
          <w:color w:val="auto"/>
          <w:sz w:val="21"/>
          <w:szCs w:val="21"/>
        </w:rPr>
      </w:pPr>
      <w:r>
        <w:rPr>
          <w:rFonts w:hint="eastAsia" w:ascii="宋体" w:hAnsi="宋体" w:eastAsia="宋体" w:cs="宋体"/>
          <w:snapToGrid w:val="0"/>
          <w:color w:val="auto"/>
          <w:sz w:val="21"/>
          <w:szCs w:val="21"/>
        </w:rPr>
        <w:t>26.3 中标人不能按本章投标人须知前附表要求提交履约担保的，视为放弃中标，其投标保证金不予退还，给招标人造成的损失超过投标保证金数额的，中标人还应当对超过部分予以赔偿。</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27.采购代理服务费</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27.1参照合同编号：ZUPC-GK-FW-2020002-2规定的招标费率，招标全过程代理费按下表的70%收取，采取差额累进计费方式，按照中标通知书确定的金额，向中标人收取服务费。</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7"/>
        <w:gridCol w:w="2259"/>
        <w:gridCol w:w="2097"/>
        <w:gridCol w:w="2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724" w:type="pct"/>
            <w:tcBorders>
              <w:top w:val="single" w:color="auto" w:sz="4" w:space="0"/>
              <w:left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中标金额</w:t>
            </w:r>
          </w:p>
        </w:tc>
        <w:tc>
          <w:tcPr>
            <w:tcW w:w="1146" w:type="pct"/>
            <w:tcBorders>
              <w:top w:val="single" w:color="auto" w:sz="4" w:space="0"/>
              <w:left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货物招标</w:t>
            </w:r>
          </w:p>
        </w:tc>
        <w:tc>
          <w:tcPr>
            <w:tcW w:w="1064" w:type="pct"/>
            <w:tcBorders>
              <w:top w:val="single" w:color="auto" w:sz="4" w:space="0"/>
              <w:left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服务招标</w:t>
            </w:r>
          </w:p>
        </w:tc>
        <w:tc>
          <w:tcPr>
            <w:tcW w:w="1064" w:type="pct"/>
            <w:tcBorders>
              <w:top w:val="single" w:color="auto" w:sz="4" w:space="0"/>
              <w:left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72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100万元以下</w:t>
            </w:r>
          </w:p>
        </w:tc>
        <w:tc>
          <w:tcPr>
            <w:tcW w:w="1146"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1.5%</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1.5%</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72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100万－500万元</w:t>
            </w:r>
          </w:p>
        </w:tc>
        <w:tc>
          <w:tcPr>
            <w:tcW w:w="1146"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1.1%</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0.8%</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72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500-1000万元</w:t>
            </w:r>
          </w:p>
        </w:tc>
        <w:tc>
          <w:tcPr>
            <w:tcW w:w="1146"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0.8%</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0.45%</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72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1000-5000万元</w:t>
            </w:r>
          </w:p>
        </w:tc>
        <w:tc>
          <w:tcPr>
            <w:tcW w:w="1146"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0.5%</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0.25%</w:t>
            </w:r>
          </w:p>
        </w:tc>
        <w:tc>
          <w:tcPr>
            <w:tcW w:w="1064" w:type="pct"/>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宋体" w:hAnsi="宋体" w:eastAsia="宋体" w:cs="宋体"/>
              </w:rPr>
            </w:pPr>
            <w:r>
              <w:rPr>
                <w:rFonts w:hint="eastAsia" w:ascii="宋体" w:hAnsi="宋体" w:eastAsia="宋体" w:cs="宋体"/>
              </w:rPr>
              <w:t>0.35%</w:t>
            </w:r>
          </w:p>
        </w:tc>
      </w:tr>
    </w:tbl>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27.2中标人在领取中标通知书前，应向招标代理机构交纳招标代理服务费。</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27.3招标代理服务费以电汇方式支付。</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27.4中标人如未按上述规定办理，本招标代理机构有权对不足部分进行追索。</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27.5服务费缴纳账号：</w:t>
      </w:r>
    </w:p>
    <w:p>
      <w:pPr>
        <w:spacing w:line="360" w:lineRule="auto"/>
        <w:ind w:firstLine="884" w:firstLineChars="400"/>
        <w:jc w:val="left"/>
        <w:rPr>
          <w:rFonts w:ascii="宋体" w:hAnsi="宋体" w:eastAsia="宋体" w:cs="宋体"/>
          <w:snapToGrid w:val="0"/>
          <w:kern w:val="0"/>
          <w:szCs w:val="21"/>
        </w:rPr>
      </w:pPr>
      <w:r>
        <w:rPr>
          <w:rFonts w:hint="eastAsia" w:ascii="宋体" w:hAnsi="宋体" w:eastAsia="宋体" w:cs="宋体"/>
          <w:snapToGrid w:val="0"/>
          <w:kern w:val="0"/>
          <w:szCs w:val="21"/>
        </w:rPr>
        <w:t>户名：浙江五石工程咨询有限公司萧山分公司</w:t>
      </w:r>
    </w:p>
    <w:p>
      <w:pPr>
        <w:spacing w:line="360" w:lineRule="auto"/>
        <w:ind w:firstLine="884" w:firstLineChars="400"/>
        <w:jc w:val="left"/>
        <w:rPr>
          <w:rFonts w:ascii="宋体" w:hAnsi="宋体" w:eastAsia="宋体" w:cs="宋体"/>
          <w:snapToGrid w:val="0"/>
          <w:kern w:val="0"/>
          <w:szCs w:val="21"/>
        </w:rPr>
      </w:pPr>
      <w:r>
        <w:rPr>
          <w:rFonts w:hint="eastAsia" w:ascii="宋体" w:hAnsi="宋体" w:eastAsia="宋体" w:cs="宋体"/>
          <w:snapToGrid w:val="0"/>
          <w:kern w:val="0"/>
          <w:szCs w:val="21"/>
        </w:rPr>
        <w:t>账号：33020160201000004399</w:t>
      </w:r>
    </w:p>
    <w:p>
      <w:pPr>
        <w:spacing w:line="360" w:lineRule="auto"/>
        <w:ind w:firstLine="884" w:firstLineChars="400"/>
        <w:jc w:val="left"/>
        <w:rPr>
          <w:rFonts w:ascii="宋体" w:hAnsi="宋体" w:eastAsia="宋体" w:cs="宋体"/>
          <w:snapToGrid w:val="0"/>
          <w:kern w:val="0"/>
          <w:szCs w:val="21"/>
        </w:rPr>
      </w:pPr>
      <w:r>
        <w:rPr>
          <w:rFonts w:hint="eastAsia" w:ascii="宋体" w:hAnsi="宋体" w:eastAsia="宋体" w:cs="宋体"/>
          <w:snapToGrid w:val="0"/>
          <w:kern w:val="0"/>
          <w:szCs w:val="21"/>
        </w:rPr>
        <w:t>开户行：浙江泰隆商业银行股份有限公司杭州祥符小微企业专营支行</w:t>
      </w:r>
    </w:p>
    <w:p>
      <w:pPr>
        <w:spacing w:line="360" w:lineRule="auto"/>
        <w:ind w:firstLine="884" w:firstLineChars="400"/>
        <w:rPr>
          <w:rFonts w:ascii="宋体" w:hAnsi="宋体" w:eastAsia="宋体" w:cs="宋体"/>
          <w:bCs/>
        </w:rPr>
      </w:pPr>
      <w:r>
        <w:rPr>
          <w:rFonts w:hint="eastAsia" w:ascii="宋体" w:hAnsi="宋体" w:eastAsia="宋体" w:cs="宋体"/>
          <w:snapToGrid w:val="0"/>
          <w:kern w:val="0"/>
          <w:szCs w:val="21"/>
        </w:rPr>
        <w:t>精确查找祥符支行行号：313331080163</w:t>
      </w:r>
    </w:p>
    <w:bookmarkEnd w:id="12"/>
    <w:bookmarkEnd w:id="13"/>
    <w:bookmarkEnd w:id="14"/>
    <w:bookmarkEnd w:id="15"/>
    <w:p>
      <w:pPr>
        <w:pStyle w:val="4"/>
      </w:pPr>
      <w:bookmarkStart w:id="56" w:name="_Toc415578066"/>
      <w:bookmarkStart w:id="57" w:name="_Toc506358601"/>
      <w:bookmarkStart w:id="58" w:name="_Toc30151"/>
      <w:bookmarkStart w:id="59" w:name="_Toc415814131"/>
      <w:r>
        <w:rPr>
          <w:rFonts w:hint="eastAsia"/>
        </w:rPr>
        <w:t>八、质疑</w:t>
      </w:r>
      <w:bookmarkEnd w:id="56"/>
      <w:bookmarkEnd w:id="57"/>
      <w:bookmarkEnd w:id="58"/>
      <w:bookmarkEnd w:id="59"/>
      <w:r>
        <w:rPr>
          <w:rFonts w:hint="eastAsia"/>
        </w:rPr>
        <w:t xml:space="preserve"> </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根据采购相关法律法规的规定，采购供应商（投标人，下同）可以依法提起质疑。</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28.1供应商询问</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供应商对本项目采购活动事项有疑问的，可以向采购机构提出询问，招标人或者招标代理机构应当在3个工作日内对供应商依法提出的询问作出答复，但答复的内容不得涉及商业秘密。</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28.2供应商质疑</w:t>
      </w:r>
    </w:p>
    <w:p>
      <w:pPr>
        <w:spacing w:line="360" w:lineRule="auto"/>
        <w:ind w:firstLine="442" w:firstLineChars="200"/>
        <w:jc w:val="left"/>
        <w:rPr>
          <w:rFonts w:ascii="宋体" w:hAnsi="宋体" w:eastAsia="宋体" w:cs="宋体"/>
          <w:snapToGrid w:val="0"/>
          <w:kern w:val="0"/>
          <w:szCs w:val="21"/>
        </w:rPr>
      </w:pPr>
      <w:bookmarkStart w:id="60" w:name="_Toc415578067"/>
      <w:bookmarkStart w:id="61" w:name="_Toc415814132"/>
      <w:bookmarkStart w:id="62" w:name="_Toc504215346"/>
      <w:bookmarkStart w:id="63" w:name="_Toc506358602"/>
      <w:r>
        <w:rPr>
          <w:rFonts w:hint="eastAsia" w:ascii="宋体" w:hAnsi="宋体" w:eastAsia="宋体" w:cs="宋体"/>
          <w:snapToGrid w:val="0"/>
          <w:kern w:val="0"/>
          <w:szCs w:val="21"/>
        </w:rPr>
        <w:t>28.2.1供应商认为采购文件、采购过程、中标或者成交结果使自己的权益受到损害的，可以在知道或者应知其权益受到损害之日起7个工作日内，以书面形式向采购人、采购代理机构提出质疑。</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本项目要求供应商在法定质疑期内一次性提出针对同一采购程序环节的质疑。</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28.2.2提出质疑的供应商（以下简称质疑供应商）应当是参与所质疑项目采购活动的供应商。</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潜在供应商已依法获取其可质疑的采购文件的，可以对该文件提出质疑。对采购文件提出质疑的，应当在获取采购文件或者采购文件公告期限届满之日起7个工作日内提出。</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28.2.3供应商提出质疑应当提交质疑函和必要的证明材料。质疑函应当包括下列内容：</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（一）供应商的姓名或者名称、地址、邮编、联系人及联系电话；</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（二）质疑项目的名称、编号；</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（三）具体、明确的质疑事项和与质疑事项相关的请求；</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（四）事实依据；</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（五）必要的法律依据；</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（六）提出质疑的日期。</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供应商为自然人的，应当由本人签字；供应商为法人或者其他组织的，应当由法定代表人、主要负责人，或者其授权代表签字或者盖章，并加盖公章。</w:t>
      </w:r>
    </w:p>
    <w:p>
      <w:pPr>
        <w:spacing w:line="360" w:lineRule="auto"/>
        <w:ind w:firstLine="442" w:firstLineChars="200"/>
        <w:jc w:val="left"/>
        <w:rPr>
          <w:rFonts w:ascii="宋体" w:hAnsi="宋体" w:eastAsia="宋体" w:cs="宋体"/>
          <w:snapToGrid w:val="0"/>
          <w:kern w:val="0"/>
        </w:rPr>
      </w:pPr>
      <w:r>
        <w:rPr>
          <w:rFonts w:hint="eastAsia" w:ascii="宋体" w:hAnsi="宋体" w:eastAsia="宋体" w:cs="宋体"/>
          <w:snapToGrid w:val="0"/>
          <w:kern w:val="0"/>
          <w:szCs w:val="21"/>
        </w:rPr>
        <w:t>28.2.4采购人、采购代理机构在收到法定质疑期内发出的质疑函后7个工作日内作出答复，并以书面形式通知质疑供应商和其他有关供应商。质疑答复的内容不得涉及商业秘密。</w:t>
      </w:r>
    </w:p>
    <w:p>
      <w:pPr>
        <w:pStyle w:val="4"/>
      </w:pPr>
      <w:bookmarkStart w:id="64" w:name="_Toc10155"/>
      <w:r>
        <w:rPr>
          <w:rFonts w:hint="eastAsia"/>
        </w:rPr>
        <w:t>九、</w:t>
      </w:r>
      <w:bookmarkEnd w:id="60"/>
      <w:bookmarkEnd w:id="61"/>
      <w:r>
        <w:rPr>
          <w:rFonts w:hint="eastAsia"/>
        </w:rPr>
        <w:t>其他</w:t>
      </w:r>
      <w:bookmarkEnd w:id="62"/>
      <w:bookmarkEnd w:id="63"/>
      <w:bookmarkEnd w:id="64"/>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29．采购结束</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29.1中标人与招标人签订合同生效后即为采购结束。</w:t>
      </w:r>
    </w:p>
    <w:p>
      <w:pPr>
        <w:spacing w:line="360" w:lineRule="auto"/>
        <w:ind w:firstLine="442" w:firstLineChars="200"/>
        <w:rPr>
          <w:rFonts w:ascii="宋体" w:hAnsi="宋体" w:eastAsia="宋体" w:cs="宋体"/>
          <w:snapToGrid w:val="0"/>
          <w:kern w:val="0"/>
          <w:szCs w:val="21"/>
        </w:rPr>
      </w:pPr>
      <w:r>
        <w:rPr>
          <w:rFonts w:hint="eastAsia" w:ascii="宋体" w:hAnsi="宋体" w:eastAsia="宋体" w:cs="宋体"/>
          <w:snapToGrid w:val="0"/>
          <w:kern w:val="0"/>
          <w:szCs w:val="21"/>
        </w:rPr>
        <w:t>29.2本项目的投标文件不予退回。</w:t>
      </w:r>
    </w:p>
    <w:p>
      <w:pPr>
        <w:spacing w:line="360" w:lineRule="auto"/>
        <w:ind w:firstLine="442" w:firstLineChars="200"/>
        <w:rPr>
          <w:rFonts w:ascii="宋体" w:hAnsi="宋体" w:eastAsia="宋体" w:cs="宋体"/>
          <w:b/>
          <w:szCs w:val="21"/>
        </w:rPr>
      </w:pPr>
      <w:r>
        <w:rPr>
          <w:rFonts w:hint="eastAsia" w:ascii="宋体" w:hAnsi="宋体" w:eastAsia="宋体" w:cs="宋体"/>
          <w:b/>
          <w:szCs w:val="21"/>
        </w:rPr>
        <w:t>30. 售后服务考核</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招标代理机构和招标人将按照采购相关法律法规，对供应商进行考核，招标代理机构和招标人不定期对合同的履约情况进行检查，发现弄虚作假，偷工减料，以次充好，达不到国家、行业有关标准和技术文件规定的，一经查实，招标代理机构和招标人将视情况提请罚没履约担保，终止合同，并给予网上通报，禁止其三年内参与招标人采购活动，给招标人造成损失的，供应商须承担赔偿责任。</w:t>
      </w:r>
    </w:p>
    <w:p>
      <w:pPr>
        <w:spacing w:line="360" w:lineRule="auto"/>
        <w:ind w:firstLine="442" w:firstLineChars="200"/>
        <w:rPr>
          <w:rFonts w:ascii="宋体" w:hAnsi="宋体" w:eastAsia="宋体" w:cs="宋体"/>
          <w:b/>
          <w:snapToGrid w:val="0"/>
          <w:kern w:val="0"/>
          <w:szCs w:val="21"/>
        </w:rPr>
      </w:pPr>
      <w:r>
        <w:rPr>
          <w:rFonts w:hint="eastAsia" w:ascii="宋体" w:hAnsi="宋体" w:eastAsia="宋体" w:cs="宋体"/>
          <w:b/>
          <w:snapToGrid w:val="0"/>
          <w:kern w:val="0"/>
          <w:szCs w:val="21"/>
        </w:rPr>
        <w:t>31.解释权</w:t>
      </w:r>
    </w:p>
    <w:p>
      <w:pPr>
        <w:spacing w:line="360" w:lineRule="auto"/>
        <w:ind w:firstLine="442"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凡涉及本次招标文件的解释权均属于浙江大学。</w:t>
      </w:r>
    </w:p>
    <w:p>
      <w:pPr>
        <w:pStyle w:val="3"/>
        <w:rPr>
          <w:rFonts w:cs="宋体"/>
          <w:szCs w:val="32"/>
        </w:rPr>
      </w:pPr>
      <w:bookmarkStart w:id="65" w:name="_Toc107822570"/>
      <w:bookmarkStart w:id="66" w:name="_Toc226969353"/>
      <w:bookmarkStart w:id="67" w:name="_Toc227057959"/>
      <w:bookmarkStart w:id="68" w:name="_Toc506358603"/>
      <w:bookmarkStart w:id="69" w:name="_Toc415814133"/>
      <w:bookmarkStart w:id="70" w:name="_Toc107822520"/>
      <w:bookmarkStart w:id="71" w:name="_Toc226969316"/>
      <w:bookmarkStart w:id="72" w:name="_Toc227057922"/>
      <w:r>
        <w:rPr>
          <w:rFonts w:hint="eastAsia" w:cs="宋体"/>
          <w:szCs w:val="32"/>
        </w:rPr>
        <w:br w:type="page"/>
      </w:r>
      <w:bookmarkStart w:id="73" w:name="_Toc24632"/>
      <w:r>
        <w:rPr>
          <w:rFonts w:hint="eastAsia" w:cs="宋体"/>
          <w:szCs w:val="32"/>
        </w:rPr>
        <w:t xml:space="preserve">第三章  </w:t>
      </w:r>
      <w:bookmarkEnd w:id="65"/>
      <w:bookmarkEnd w:id="66"/>
      <w:bookmarkEnd w:id="67"/>
      <w:r>
        <w:rPr>
          <w:rFonts w:hint="eastAsia" w:cs="宋体"/>
          <w:szCs w:val="32"/>
        </w:rPr>
        <w:t>用户需求</w:t>
      </w:r>
      <w:bookmarkEnd w:id="68"/>
      <w:bookmarkEnd w:id="69"/>
      <w:bookmarkEnd w:id="73"/>
      <w:bookmarkStart w:id="74" w:name="_Toc515222961"/>
    </w:p>
    <w:bookmarkEnd w:id="74"/>
    <w:p>
      <w:pPr>
        <w:pStyle w:val="4"/>
      </w:pPr>
      <w:bookmarkStart w:id="75" w:name="_Toc426996356"/>
      <w:bookmarkStart w:id="76" w:name="_Toc506358623"/>
      <w:bookmarkStart w:id="77" w:name="_Toc415814137"/>
      <w:r>
        <w:rPr>
          <w:rFonts w:hint="eastAsia"/>
        </w:rPr>
        <w:t>一、项目概述</w:t>
      </w:r>
    </w:p>
    <w:p>
      <w:pPr>
        <w:spacing w:line="360" w:lineRule="auto"/>
        <w:ind w:firstLine="442" w:firstLineChars="200"/>
      </w:pPr>
      <w:r>
        <w:rPr>
          <w:rFonts w:hint="eastAsia"/>
        </w:rPr>
        <w:t>浙江大学国际校区微纳公共平台由微纳加工平台和微纳表征平台两部分组成。一期工程主要建设微纳超净间加工平台，二期主要建设微纳表征平台。微纳平台位于海宁国际校区教学南区西侧组团交叉研究大楼一至二层，一层建微纳加工平台，二层预留于微纳表征平台的建设。</w:t>
      </w:r>
    </w:p>
    <w:p>
      <w:pPr>
        <w:spacing w:line="360" w:lineRule="auto"/>
        <w:ind w:firstLine="442" w:firstLineChars="200"/>
      </w:pPr>
      <w:r>
        <w:rPr>
          <w:rFonts w:hint="eastAsia"/>
        </w:rPr>
        <w:t>本项目（一层）总建筑面积约1326平方米，其中净化实验区域面积约720平方米（包括百级洁净用房约100平方米，千级洁净用房约440平方米，万级洁净用房约180平方米）。项目主要建设内容包括百级、千级、万级洁净用房以及洁净设备用房、特气设备间、更衣室等辅助用房、值班管理用房等，能够完成基本的清洗、化学处理，基本的微米级手动光刻，基本的金属镀膜和介质成膜，基本的刻蚀；能够完成基本的工艺表征和测试。此改造单体包含专业：暖通系统、电气系统、给排水系统、纯水系统、装饰装修系统、自控系统、设备冷却水系统的新建工程以及消防局部整改工程。</w:t>
      </w:r>
    </w:p>
    <w:p>
      <w:pPr>
        <w:spacing w:line="360" w:lineRule="auto"/>
        <w:ind w:firstLine="442" w:firstLineChars="200"/>
        <w:rPr>
          <w:rFonts w:ascii="宋体" w:hAnsi="宋体" w:eastAsia="宋体" w:cs="宋体"/>
          <w:szCs w:val="21"/>
        </w:rPr>
      </w:pPr>
      <w:r>
        <w:rPr>
          <w:rFonts w:hint="eastAsia" w:ascii="宋体" w:hAnsi="宋体" w:eastAsia="宋体" w:cs="宋体"/>
          <w:szCs w:val="21"/>
        </w:rPr>
        <w:t>本项目发包范围内的（工程量清单）工程由承包人包工包料、包检测、包质量、包安全防护、包文明施工、包工期、包验收、包二次搬运、包垃圾清运、包拆装、包二次拆装、包安装调试（包括但不限于工程量清单制作、施工等）。建设工程安全防护、文明施工措施费用不得作为竞争性费用，其他措施项目费均包含在投标总价中，与施工相关的管理要求所需要的费用包含在投标总报价中。</w:t>
      </w:r>
      <w:bookmarkEnd w:id="75"/>
    </w:p>
    <w:p>
      <w:pPr>
        <w:pStyle w:val="4"/>
      </w:pPr>
      <w:r>
        <w:rPr>
          <w:rFonts w:hint="eastAsia"/>
        </w:rPr>
        <w:t>二、规范要求</w:t>
      </w:r>
    </w:p>
    <w:p>
      <w:pPr>
        <w:widowControl/>
        <w:spacing w:line="360" w:lineRule="auto"/>
        <w:ind w:firstLine="442" w:firstLineChars="200"/>
        <w:rPr>
          <w:rFonts w:ascii="宋体" w:hAnsi="宋体" w:eastAsia="宋体" w:cs="宋体"/>
          <w:sz w:val="20"/>
          <w:szCs w:val="20"/>
        </w:rPr>
      </w:pPr>
      <w:r>
        <w:rPr>
          <w:rFonts w:hint="eastAsia" w:ascii="宋体" w:hAnsi="宋体" w:eastAsia="宋体" w:cs="宋体"/>
          <w:szCs w:val="21"/>
        </w:rPr>
        <w:t>依据图纸、工程量清单要求及现场踏勘，本工程项目的材料、设备、施工必须达到现行中华人民共和国及省、市、行业的一切有关法规、规范的要求，如下述标准及规范要求有出入则以国家规定的标准和规范，有新标准按新标准执行、行业标准及规范，有新标准按新标准执行；</w:t>
      </w:r>
    </w:p>
    <w:p>
      <w:pPr>
        <w:pStyle w:val="4"/>
      </w:pPr>
      <w:r>
        <w:rPr>
          <w:rFonts w:hint="eastAsia"/>
        </w:rPr>
        <w:t>三、施工要求</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1、本工程施工严格按照规范要求进行施工，达到各项拟定的设计指标。</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2、本工程施工按实验环境的设计、建造、验收除了满足本技术文件的要求外，还须符合如下标准：</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GB 50591-2010  《洁净室施工及验收规范》</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GB 50736-2012  《民用建筑供暖通风与空气调节设计规范》</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GB 50243-2016  《通风与空调工程施工质量验收规范》</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GB/T 13554-2008《高效空气过滤器》</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GB/T 13554-2008《高效空气过滤器》</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JBJ59-99       《建筑施工安全检查标准》</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GB 50472       《电子工业洁净厂房设计规范》</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JGJ/T16-2008   《民用建筑电气设计规范》</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GB 50210-2001  《建筑装饰装修工程质量验收规范》</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GB 50303-2002  《建筑电气工程施工质量验收规范》</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GB 50346-2011  《生物安全实验室建筑技术规范》</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GB50016        《建筑设计防火规范》（2018版）</w:t>
      </w:r>
    </w:p>
    <w:p>
      <w:pPr>
        <w:spacing w:beforeLines="20" w:afterLines="20" w:line="360" w:lineRule="auto"/>
        <w:rPr>
          <w:szCs w:val="21"/>
        </w:rPr>
      </w:pPr>
      <w:r>
        <w:rPr>
          <w:rFonts w:hint="eastAsia"/>
          <w:szCs w:val="21"/>
        </w:rPr>
        <w:t>行业标准、规范的条款如有不一致或多项选择，投标人应告知招标人并按招标人指定的高标准执行。规范如有最新版本按最新版本执行。</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3、在免费保修期内，中标人对有缺陷的部位必须无偿地给予修理与更换，并承担一切由此引起的对招标人或第三者的直接损失，除非该缺陷是由于人为破坏或合同规定的不可抗因素造成的损坏。</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4、中标人必须对所承包的工程的质量负全部责任，其责任不因其他材料生产商提供的保证书而减轻或更改。</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5、施工时注意做好必要的劳动保护工作。</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6、本项目产生工人除夜间值班人员外不得住宿在项目所在地，需由投标人自行解决，投标时充分考虑此因素涉及的费用。</w:t>
      </w:r>
    </w:p>
    <w:p>
      <w:pPr>
        <w:widowControl/>
        <w:spacing w:line="360" w:lineRule="auto"/>
        <w:ind w:firstLine="442" w:firstLineChars="200"/>
        <w:rPr>
          <w:rFonts w:ascii="宋体" w:hAnsi="宋体" w:eastAsia="宋体" w:cs="宋体"/>
          <w:szCs w:val="21"/>
        </w:rPr>
      </w:pPr>
      <w:r>
        <w:rPr>
          <w:rFonts w:hint="eastAsia" w:ascii="宋体" w:hAnsi="宋体" w:eastAsia="宋体" w:cs="宋体"/>
          <w:szCs w:val="21"/>
        </w:rPr>
        <w:t>7、中标人应严格按照采购人及校园管理单位的要求，结合工程量清单，对有不同特点及工艺要求的施工部位进行针对性施工。保质保量的施工，杜绝偷工减料、以次充好等情况的发生。</w:t>
      </w:r>
    </w:p>
    <w:p>
      <w:pPr>
        <w:pStyle w:val="26"/>
        <w:ind w:left="0"/>
        <w:rPr>
          <w:rFonts w:ascii="宋体" w:hAnsi="宋体" w:eastAsia="宋体" w:cs="宋体"/>
        </w:rPr>
      </w:pPr>
    </w:p>
    <w:p>
      <w:pPr>
        <w:pStyle w:val="4"/>
      </w:pPr>
      <w:bookmarkStart w:id="78" w:name="_Toc32471"/>
      <w:bookmarkStart w:id="79" w:name="_Toc14835"/>
      <w:bookmarkStart w:id="80" w:name="_Toc8599"/>
      <w:bookmarkStart w:id="81" w:name="_Toc980"/>
      <w:bookmarkStart w:id="82" w:name="_Toc21937"/>
      <w:r>
        <w:rPr>
          <w:rFonts w:hint="eastAsia"/>
        </w:rPr>
        <w:t>四、实验室建筑配套及专业需求</w:t>
      </w:r>
      <w:bookmarkEnd w:id="78"/>
      <w:bookmarkEnd w:id="79"/>
      <w:bookmarkEnd w:id="80"/>
      <w:bookmarkEnd w:id="81"/>
      <w:bookmarkEnd w:id="82"/>
    </w:p>
    <w:p>
      <w:pPr>
        <w:pStyle w:val="5"/>
        <w:ind w:firstLine="444"/>
      </w:pPr>
      <w:bookmarkStart w:id="83" w:name="_Toc23475"/>
      <w:r>
        <w:rPr>
          <w:rFonts w:hint="eastAsia"/>
        </w:rPr>
        <w:t>（一）建筑要求</w:t>
      </w:r>
      <w:bookmarkEnd w:id="83"/>
    </w:p>
    <w:p>
      <w:pPr>
        <w:spacing w:line="360" w:lineRule="auto"/>
        <w:ind w:firstLine="442" w:firstLineChars="200"/>
        <w:rPr>
          <w:rFonts w:ascii="宋体" w:hAnsi="宋体" w:eastAsia="宋体" w:cs="宋体"/>
          <w:szCs w:val="21"/>
        </w:rPr>
      </w:pPr>
      <w:r>
        <w:rPr>
          <w:rFonts w:hint="eastAsia" w:ascii="宋体" w:hAnsi="宋体" w:eastAsia="宋体" w:cs="宋体"/>
          <w:szCs w:val="21"/>
        </w:rPr>
        <w:t>1、此次改造项目主体实验室位于建筑一层，整体有净化要求，投标方需要充分勘察现场，确认好设计的通风管道、水管道的走向与现场条件相吻合，现场暂定风管道上午面的区域为5~7轴/AA~AB轴新风机房北墙位置。暂定空调机房有两处，机房一为3~5轴/X~Y轴处空调机房，机房二为11~13轴/AB~AC处空调机房，纯水间为机房二东南角 ，投标方需给纯水下水地沟提咨，对应的配电间位于纯水间隔壁。</w:t>
      </w:r>
    </w:p>
    <w:p>
      <w:pPr>
        <w:spacing w:line="360" w:lineRule="auto"/>
        <w:ind w:firstLine="442" w:firstLineChars="200"/>
        <w:rPr>
          <w:rFonts w:ascii="宋体" w:hAnsi="宋体" w:eastAsia="宋体" w:cs="宋体"/>
          <w:szCs w:val="21"/>
        </w:rPr>
      </w:pPr>
      <w:r>
        <w:rPr>
          <w:rFonts w:hint="eastAsia" w:ascii="宋体" w:hAnsi="宋体" w:eastAsia="宋体" w:cs="宋体"/>
          <w:szCs w:val="21"/>
        </w:rPr>
        <w:t>2、实验室对应的冷热源外机放置于屋面，对应水管以立管的形式拉到机房。</w:t>
      </w:r>
    </w:p>
    <w:p>
      <w:pPr>
        <w:pStyle w:val="5"/>
        <w:ind w:firstLine="444"/>
      </w:pPr>
      <w:bookmarkStart w:id="84" w:name="_Toc30254"/>
      <w:bookmarkStart w:id="85" w:name="_Toc24096"/>
      <w:bookmarkStart w:id="86" w:name="_Toc11712"/>
      <w:bookmarkStart w:id="87" w:name="_Toc15260"/>
      <w:r>
        <w:rPr>
          <w:rFonts w:hint="eastAsia"/>
        </w:rPr>
        <w:t>（二）</w:t>
      </w:r>
      <w:bookmarkEnd w:id="84"/>
      <w:bookmarkEnd w:id="85"/>
      <w:bookmarkEnd w:id="86"/>
      <w:r>
        <w:rPr>
          <w:rFonts w:hint="eastAsia"/>
        </w:rPr>
        <w:t>工艺需求</w:t>
      </w:r>
      <w:bookmarkEnd w:id="87"/>
    </w:p>
    <w:p>
      <w:pPr>
        <w:spacing w:line="360" w:lineRule="auto"/>
        <w:ind w:firstLine="442" w:firstLineChars="200"/>
        <w:rPr>
          <w:rFonts w:ascii="宋体" w:hAnsi="宋体" w:eastAsia="宋体" w:cs="宋体"/>
          <w:szCs w:val="21"/>
        </w:rPr>
      </w:pPr>
      <w:r>
        <w:rPr>
          <w:rFonts w:hint="eastAsia" w:ascii="宋体" w:hAnsi="宋体" w:eastAsia="宋体" w:cs="宋体"/>
          <w:szCs w:val="21"/>
        </w:rPr>
        <w:t>1、此次实验室部分：</w:t>
      </w:r>
    </w:p>
    <w:p>
      <w:pPr>
        <w:spacing w:line="360" w:lineRule="auto"/>
        <w:ind w:firstLine="442" w:firstLineChars="200"/>
        <w:rPr>
          <w:rFonts w:ascii="宋体" w:hAnsi="宋体" w:eastAsia="宋体" w:cs="宋体"/>
          <w:szCs w:val="21"/>
        </w:rPr>
      </w:pPr>
      <w:r>
        <w:rPr>
          <w:rFonts w:hint="eastAsia" w:ascii="宋体" w:hAnsi="宋体" w:eastAsia="宋体" w:cs="宋体"/>
          <w:szCs w:val="21"/>
        </w:rPr>
        <w:t>万级清洗区：更衣区、风淋室、物流缓冲、万级净化区等；</w:t>
      </w:r>
    </w:p>
    <w:p>
      <w:pPr>
        <w:spacing w:line="360" w:lineRule="auto"/>
        <w:ind w:firstLine="442" w:firstLineChars="200"/>
        <w:rPr>
          <w:rFonts w:ascii="宋体" w:hAnsi="宋体" w:eastAsia="宋体" w:cs="宋体"/>
          <w:szCs w:val="21"/>
        </w:rPr>
      </w:pPr>
      <w:r>
        <w:rPr>
          <w:rFonts w:hint="eastAsia" w:ascii="宋体" w:hAnsi="宋体" w:eastAsia="宋体" w:cs="宋体"/>
          <w:szCs w:val="21"/>
        </w:rPr>
        <w:t>整体要求净化等级：万级</w:t>
      </w:r>
    </w:p>
    <w:p>
      <w:pPr>
        <w:spacing w:line="360" w:lineRule="auto"/>
        <w:ind w:firstLine="442" w:firstLineChars="200"/>
        <w:rPr>
          <w:rFonts w:ascii="宋体" w:hAnsi="宋体" w:eastAsia="宋体" w:cs="宋体"/>
          <w:szCs w:val="21"/>
        </w:rPr>
      </w:pPr>
      <w:r>
        <w:rPr>
          <w:rFonts w:hint="eastAsia" w:ascii="宋体" w:hAnsi="宋体" w:eastAsia="宋体" w:cs="宋体"/>
          <w:szCs w:val="21"/>
        </w:rPr>
        <w:t>温湿度精度要求：夏季22±2℃，55±10%，冬季20±2℃，50±10%</w:t>
      </w:r>
    </w:p>
    <w:p>
      <w:pPr>
        <w:spacing w:line="360" w:lineRule="auto"/>
        <w:ind w:firstLine="442" w:firstLineChars="200"/>
        <w:rPr>
          <w:rFonts w:ascii="宋体" w:hAnsi="宋体" w:eastAsia="宋体" w:cs="宋体"/>
          <w:szCs w:val="21"/>
        </w:rPr>
      </w:pPr>
      <w:r>
        <w:rPr>
          <w:rFonts w:hint="eastAsia" w:ascii="宋体" w:hAnsi="宋体" w:eastAsia="宋体" w:cs="宋体"/>
          <w:szCs w:val="21"/>
        </w:rPr>
        <w:t>波动度要求：夏季温度±1℃，湿度±5%，冬季温度±0.5℃，湿度±5%</w:t>
      </w:r>
    </w:p>
    <w:p>
      <w:pPr>
        <w:spacing w:line="360" w:lineRule="auto"/>
        <w:ind w:firstLine="442" w:firstLineChars="200"/>
        <w:rPr>
          <w:rFonts w:ascii="宋体" w:hAnsi="宋体" w:eastAsia="宋体" w:cs="宋体"/>
          <w:szCs w:val="21"/>
        </w:rPr>
      </w:pPr>
      <w:r>
        <w:rPr>
          <w:rFonts w:hint="eastAsia" w:ascii="宋体" w:hAnsi="宋体" w:eastAsia="宋体" w:cs="宋体"/>
          <w:szCs w:val="21"/>
        </w:rPr>
        <w:t>千级仪器区：氧化炉/退火高温区；ALD/PECVD/RIE区域；电子束蒸发/磁控溅射区域以及相关灰区。</w:t>
      </w:r>
    </w:p>
    <w:p>
      <w:pPr>
        <w:spacing w:line="360" w:lineRule="auto"/>
        <w:ind w:firstLine="442" w:firstLineChars="200"/>
        <w:rPr>
          <w:rFonts w:ascii="宋体" w:hAnsi="宋体" w:eastAsia="宋体" w:cs="宋体"/>
          <w:szCs w:val="21"/>
        </w:rPr>
      </w:pPr>
      <w:r>
        <w:rPr>
          <w:rFonts w:hint="eastAsia" w:ascii="宋体" w:hAnsi="宋体" w:eastAsia="宋体" w:cs="宋体"/>
          <w:szCs w:val="21"/>
        </w:rPr>
        <w:t>整体要求净化等级：千级</w:t>
      </w:r>
    </w:p>
    <w:p>
      <w:pPr>
        <w:spacing w:line="360" w:lineRule="auto"/>
        <w:ind w:firstLine="442" w:firstLineChars="200"/>
        <w:rPr>
          <w:rFonts w:ascii="宋体" w:hAnsi="宋体" w:eastAsia="宋体" w:cs="宋体"/>
          <w:szCs w:val="21"/>
        </w:rPr>
      </w:pPr>
      <w:r>
        <w:rPr>
          <w:rFonts w:hint="eastAsia" w:ascii="宋体" w:hAnsi="宋体" w:eastAsia="宋体" w:cs="宋体"/>
          <w:szCs w:val="21"/>
        </w:rPr>
        <w:t>温湿度精度要求：夏季22±1℃，55±10%，冬季20±1℃，50±10%</w:t>
      </w:r>
    </w:p>
    <w:p>
      <w:pPr>
        <w:spacing w:line="360" w:lineRule="auto"/>
        <w:ind w:firstLine="442" w:firstLineChars="200"/>
        <w:rPr>
          <w:rFonts w:ascii="宋体" w:hAnsi="宋体" w:eastAsia="宋体" w:cs="宋体"/>
          <w:szCs w:val="21"/>
        </w:rPr>
      </w:pPr>
      <w:r>
        <w:rPr>
          <w:rFonts w:hint="eastAsia" w:ascii="宋体" w:hAnsi="宋体" w:eastAsia="宋体" w:cs="宋体"/>
          <w:szCs w:val="21"/>
        </w:rPr>
        <w:t>波动度要求：夏季温度±0.5℃，湿度±5%，冬季温度±0.5℃，湿度±5%</w:t>
      </w:r>
    </w:p>
    <w:p>
      <w:pPr>
        <w:spacing w:line="360" w:lineRule="auto"/>
        <w:ind w:firstLine="442" w:firstLineChars="200"/>
        <w:rPr>
          <w:rFonts w:ascii="宋体" w:hAnsi="宋体" w:eastAsia="宋体" w:cs="宋体"/>
          <w:szCs w:val="21"/>
        </w:rPr>
      </w:pPr>
      <w:r>
        <w:rPr>
          <w:rFonts w:hint="eastAsia" w:ascii="宋体" w:hAnsi="宋体" w:eastAsia="宋体" w:cs="宋体"/>
          <w:szCs w:val="21"/>
        </w:rPr>
        <w:t>百级黄光区：黄光区、缓冲区以及相关灰区.</w:t>
      </w:r>
    </w:p>
    <w:p>
      <w:pPr>
        <w:spacing w:line="360" w:lineRule="auto"/>
        <w:ind w:firstLine="442" w:firstLineChars="200"/>
        <w:rPr>
          <w:rFonts w:ascii="宋体" w:hAnsi="宋体" w:eastAsia="宋体" w:cs="宋体"/>
          <w:szCs w:val="21"/>
        </w:rPr>
      </w:pPr>
      <w:r>
        <w:rPr>
          <w:rFonts w:hint="eastAsia" w:ascii="宋体" w:hAnsi="宋体" w:eastAsia="宋体" w:cs="宋体"/>
          <w:szCs w:val="21"/>
        </w:rPr>
        <w:t>整体要求净化等级：百级</w:t>
      </w:r>
    </w:p>
    <w:p>
      <w:pPr>
        <w:spacing w:line="360" w:lineRule="auto"/>
        <w:ind w:firstLine="442" w:firstLineChars="200"/>
        <w:rPr>
          <w:rFonts w:ascii="宋体" w:hAnsi="宋体" w:eastAsia="宋体" w:cs="宋体"/>
          <w:szCs w:val="21"/>
        </w:rPr>
      </w:pPr>
      <w:r>
        <w:rPr>
          <w:rFonts w:hint="eastAsia" w:ascii="宋体" w:hAnsi="宋体" w:eastAsia="宋体" w:cs="宋体"/>
          <w:szCs w:val="21"/>
        </w:rPr>
        <w:t>温湿度精度要求：夏季22±0.3℃，55±5%，冬季20±0.3℃，50±5%</w:t>
      </w:r>
    </w:p>
    <w:p>
      <w:pPr>
        <w:spacing w:line="360" w:lineRule="auto"/>
        <w:ind w:firstLine="442" w:firstLineChars="200"/>
        <w:rPr>
          <w:rFonts w:ascii="宋体" w:hAnsi="宋体" w:eastAsia="宋体" w:cs="宋体"/>
          <w:szCs w:val="21"/>
        </w:rPr>
      </w:pPr>
      <w:r>
        <w:rPr>
          <w:rFonts w:hint="eastAsia" w:ascii="宋体" w:hAnsi="宋体" w:eastAsia="宋体" w:cs="宋体"/>
          <w:szCs w:val="21"/>
        </w:rPr>
        <w:t>波动度要求：夏季温度±0.1℃，湿度±5%，冬季温度±0.1℃，湿度±5%</w:t>
      </w:r>
    </w:p>
    <w:p>
      <w:pPr>
        <w:spacing w:line="360" w:lineRule="auto"/>
        <w:ind w:firstLine="442" w:firstLineChars="200"/>
        <w:rPr>
          <w:rFonts w:ascii="宋体" w:hAnsi="宋体" w:eastAsia="宋体" w:cs="宋体"/>
          <w:szCs w:val="21"/>
        </w:rPr>
      </w:pPr>
      <w:r>
        <w:rPr>
          <w:rFonts w:hint="eastAsia" w:ascii="宋体" w:hAnsi="宋体" w:eastAsia="宋体" w:cs="宋体"/>
          <w:szCs w:val="21"/>
        </w:rPr>
        <w:t>2、实验室部分设备需求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2.1、真空烘箱</w:t>
      </w:r>
    </w:p>
    <w:p>
      <w:pPr>
        <w:spacing w:line="360" w:lineRule="auto"/>
        <w:ind w:firstLine="442" w:firstLineChars="200"/>
        <w:rPr>
          <w:rFonts w:ascii="宋体" w:hAnsi="宋体" w:eastAsia="宋体" w:cs="宋体"/>
          <w:szCs w:val="21"/>
        </w:rPr>
      </w:pPr>
      <w:r>
        <w:rPr>
          <w:rFonts w:hint="eastAsia" w:ascii="宋体" w:hAnsi="宋体" w:eastAsia="宋体" w:cs="宋体"/>
          <w:szCs w:val="21"/>
        </w:rPr>
        <w:drawing>
          <wp:anchor distT="0" distB="0" distL="114300" distR="114300" simplePos="0" relativeHeight="251658240" behindDoc="0" locked="0" layoutInCell="1" allowOverlap="1">
            <wp:simplePos x="0" y="0"/>
            <wp:positionH relativeFrom="column">
              <wp:posOffset>2263775</wp:posOffset>
            </wp:positionH>
            <wp:positionV relativeFrom="paragraph">
              <wp:posOffset>179070</wp:posOffset>
            </wp:positionV>
            <wp:extent cx="3934460" cy="2862580"/>
            <wp:effectExtent l="0" t="0" r="8890" b="13970"/>
            <wp:wrapSquare wrapText="bothSides"/>
            <wp:docPr id="1" name="图片 2" descr="C:\Users\caozhen\Desktop\海宁\设备及论证报告\烘箱\271218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caozhen\Desktop\海宁\设备及论证报告\烘箱\271218485.jpg"/>
                    <pic:cNvPicPr>
                      <a:picLocks noChangeAspect="1"/>
                    </pic:cNvPicPr>
                  </pic:nvPicPr>
                  <pic:blipFill>
                    <a:blip r:embed="rId22" cstate="print"/>
                    <a:stretch>
                      <a:fillRect/>
                    </a:stretch>
                  </pic:blipFill>
                  <pic:spPr>
                    <a:xfrm>
                      <a:off x="0" y="0"/>
                      <a:ext cx="3934460" cy="2862580"/>
                    </a:xfrm>
                    <a:prstGeom prst="rect">
                      <a:avLst/>
                    </a:prstGeom>
                    <a:noFill/>
                    <a:ln>
                      <a:noFill/>
                    </a:ln>
                  </pic:spPr>
                </pic:pic>
              </a:graphicData>
            </a:graphic>
          </wp:anchor>
        </w:drawing>
      </w:r>
      <w:r>
        <w:rPr>
          <w:rFonts w:hint="eastAsia" w:ascii="宋体" w:hAnsi="宋体" w:eastAsia="宋体" w:cs="宋体"/>
          <w:szCs w:val="21"/>
        </w:rPr>
        <w:t>排气要求：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Console Exhaust</w:t>
      </w:r>
    </w:p>
    <w:p>
      <w:pPr>
        <w:spacing w:line="360" w:lineRule="auto"/>
        <w:ind w:firstLine="442" w:firstLineChars="200"/>
        <w:rPr>
          <w:rFonts w:ascii="宋体" w:hAnsi="宋体" w:eastAsia="宋体" w:cs="宋体"/>
          <w:szCs w:val="21"/>
        </w:rPr>
      </w:pPr>
      <w:r>
        <w:rPr>
          <w:rFonts w:hint="eastAsia" w:ascii="宋体" w:hAnsi="宋体" w:eastAsia="宋体" w:cs="宋体"/>
          <w:szCs w:val="21"/>
        </w:rPr>
        <w:t>Connection: 3’’ Duct Collar</w:t>
      </w:r>
    </w:p>
    <w:p>
      <w:pPr>
        <w:spacing w:line="360" w:lineRule="auto"/>
        <w:ind w:firstLine="442" w:firstLineChars="200"/>
        <w:rPr>
          <w:rFonts w:ascii="宋体" w:hAnsi="宋体" w:eastAsia="宋体" w:cs="宋体"/>
          <w:szCs w:val="21"/>
        </w:rPr>
      </w:pPr>
      <w:r>
        <w:rPr>
          <w:rFonts w:hint="eastAsia" w:ascii="宋体" w:hAnsi="宋体" w:eastAsia="宋体" w:cs="宋体"/>
          <w:szCs w:val="21"/>
        </w:rPr>
        <w:t>Suction: -0.5 inch water column</w:t>
      </w:r>
    </w:p>
    <w:p>
      <w:pPr>
        <w:spacing w:line="360" w:lineRule="auto"/>
        <w:ind w:firstLine="442" w:firstLineChars="200"/>
        <w:rPr>
          <w:rFonts w:ascii="宋体" w:hAnsi="宋体" w:eastAsia="宋体" w:cs="宋体"/>
          <w:szCs w:val="21"/>
        </w:rPr>
      </w:pPr>
      <w:r>
        <w:rPr>
          <w:rFonts w:hint="eastAsia" w:ascii="宋体" w:hAnsi="宋体" w:eastAsia="宋体" w:cs="宋体"/>
          <w:szCs w:val="21"/>
        </w:rPr>
        <w:t>Flow Rate: 20 scfm</w:t>
      </w:r>
    </w:p>
    <w:p>
      <w:pPr>
        <w:spacing w:line="360" w:lineRule="auto"/>
        <w:ind w:firstLine="442" w:firstLineChars="200"/>
        <w:rPr>
          <w:rFonts w:ascii="宋体" w:hAnsi="宋体" w:eastAsia="宋体" w:cs="宋体"/>
          <w:szCs w:val="21"/>
        </w:rPr>
      </w:pPr>
      <w:r>
        <w:rPr>
          <w:rFonts w:hint="eastAsia" w:ascii="宋体" w:hAnsi="宋体" w:eastAsia="宋体" w:cs="宋体"/>
          <w:szCs w:val="21"/>
        </w:rPr>
        <w:t>Maximum Temp: 30℃</w:t>
      </w:r>
    </w:p>
    <w:p>
      <w:pPr>
        <w:spacing w:line="360" w:lineRule="auto"/>
        <w:ind w:firstLine="442" w:firstLineChars="200"/>
        <w:rPr>
          <w:rFonts w:ascii="宋体" w:hAnsi="宋体" w:eastAsia="宋体" w:cs="宋体"/>
          <w:szCs w:val="21"/>
        </w:rPr>
      </w:pPr>
      <w:r>
        <w:rPr>
          <w:rFonts w:hint="eastAsia" w:ascii="宋体" w:hAnsi="宋体" w:eastAsia="宋体" w:cs="宋体"/>
          <w:szCs w:val="21"/>
        </w:rPr>
        <w:t>Chemical Housing Exhaust</w:t>
      </w:r>
    </w:p>
    <w:p>
      <w:pPr>
        <w:spacing w:line="360" w:lineRule="auto"/>
        <w:ind w:firstLine="442" w:firstLineChars="200"/>
        <w:rPr>
          <w:rFonts w:ascii="宋体" w:hAnsi="宋体" w:eastAsia="宋体" w:cs="宋体"/>
          <w:szCs w:val="21"/>
        </w:rPr>
      </w:pPr>
      <w:r>
        <w:rPr>
          <w:rFonts w:hint="eastAsia" w:ascii="宋体" w:hAnsi="宋体" w:eastAsia="宋体" w:cs="宋体"/>
          <w:szCs w:val="21"/>
        </w:rPr>
        <w:t>Connection: 2’’ Duct Collar</w:t>
      </w:r>
    </w:p>
    <w:p>
      <w:pPr>
        <w:spacing w:line="360" w:lineRule="auto"/>
        <w:ind w:firstLine="442" w:firstLineChars="200"/>
        <w:rPr>
          <w:rFonts w:ascii="宋体" w:hAnsi="宋体" w:eastAsia="宋体" w:cs="宋体"/>
          <w:szCs w:val="21"/>
        </w:rPr>
      </w:pPr>
      <w:r>
        <w:rPr>
          <w:rFonts w:hint="eastAsia" w:ascii="宋体" w:hAnsi="宋体" w:eastAsia="宋体" w:cs="宋体"/>
          <w:szCs w:val="21"/>
        </w:rPr>
        <w:t>Suction: -0.5 inch water column</w:t>
      </w:r>
    </w:p>
    <w:p>
      <w:pPr>
        <w:spacing w:line="360" w:lineRule="auto"/>
        <w:ind w:firstLine="442" w:firstLineChars="200"/>
        <w:rPr>
          <w:rFonts w:ascii="宋体" w:hAnsi="宋体" w:eastAsia="宋体" w:cs="宋体"/>
          <w:szCs w:val="21"/>
        </w:rPr>
      </w:pPr>
      <w:r>
        <w:rPr>
          <w:rFonts w:hint="eastAsia" w:ascii="宋体" w:hAnsi="宋体" w:eastAsia="宋体" w:cs="宋体"/>
          <w:szCs w:val="21"/>
        </w:rPr>
        <w:t>Flow Rate: 20 scfm</w:t>
      </w:r>
    </w:p>
    <w:p>
      <w:pPr>
        <w:spacing w:line="360" w:lineRule="auto"/>
        <w:ind w:firstLine="442" w:firstLineChars="200"/>
        <w:rPr>
          <w:rFonts w:ascii="宋体" w:hAnsi="宋体" w:eastAsia="宋体" w:cs="宋体"/>
          <w:szCs w:val="21"/>
        </w:rPr>
      </w:pPr>
      <w:r>
        <w:rPr>
          <w:rFonts w:hint="eastAsia" w:ascii="宋体" w:hAnsi="宋体" w:eastAsia="宋体" w:cs="宋体"/>
          <w:szCs w:val="21"/>
        </w:rPr>
        <w:t>Maximum Temp: Ambient</w:t>
      </w:r>
    </w:p>
    <w:p>
      <w:pPr>
        <w:spacing w:line="360" w:lineRule="auto"/>
        <w:ind w:firstLine="442" w:firstLineChars="200"/>
        <w:rPr>
          <w:rFonts w:ascii="宋体" w:hAnsi="宋体" w:eastAsia="宋体" w:cs="宋体"/>
          <w:szCs w:val="21"/>
        </w:rPr>
      </w:pPr>
      <w:r>
        <w:rPr>
          <w:rFonts w:hint="eastAsia" w:ascii="宋体" w:hAnsi="宋体" w:eastAsia="宋体" w:cs="宋体"/>
          <w:szCs w:val="21"/>
        </w:rPr>
        <w:t>2.2、电子束蒸发</w:t>
      </w:r>
    </w:p>
    <w:p>
      <w:pPr>
        <w:spacing w:line="360" w:lineRule="auto"/>
        <w:ind w:firstLine="442" w:firstLineChars="200"/>
        <w:rPr>
          <w:rFonts w:ascii="宋体" w:hAnsi="宋体" w:eastAsia="宋体" w:cs="宋体"/>
          <w:szCs w:val="21"/>
        </w:rPr>
      </w:pPr>
      <w:r>
        <w:rPr>
          <w:rFonts w:hint="eastAsia" w:ascii="宋体" w:hAnsi="宋体" w:eastAsia="宋体" w:cs="宋体"/>
          <w:szCs w:val="21"/>
        </w:rPr>
        <w:t>冷却水要求：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冷却循环水机。设备总进出水管为1寸水管（水管内径φ32X外径φ40）。</w:t>
      </w:r>
    </w:p>
    <w:p>
      <w:pPr>
        <w:spacing w:line="360" w:lineRule="auto"/>
        <w:ind w:firstLine="442" w:firstLineChars="200"/>
        <w:rPr>
          <w:rFonts w:ascii="宋体" w:hAnsi="宋体" w:eastAsia="宋体" w:cs="宋体"/>
          <w:szCs w:val="21"/>
        </w:rPr>
      </w:pPr>
      <w:r>
        <w:rPr>
          <w:rFonts w:hint="eastAsia" w:ascii="宋体" w:hAnsi="宋体" w:eastAsia="宋体" w:cs="宋体"/>
          <w:szCs w:val="21"/>
        </w:rPr>
        <w:t>注意：实验室里最好有可接1寸的水管的水源和足够长的水管，以方便冷却循环水机加水（约40L）及后续维护换水。水质应为1MΩ去离子水。如使用经过滤装置后的自来水需要经常换水，以避免设备水冷管道阻塞。</w:t>
      </w:r>
    </w:p>
    <w:p>
      <w:pPr>
        <w:spacing w:line="360" w:lineRule="auto"/>
        <w:ind w:firstLine="442" w:firstLineChars="200"/>
        <w:rPr>
          <w:rFonts w:ascii="宋体" w:hAnsi="宋体" w:eastAsia="宋体" w:cs="宋体"/>
          <w:szCs w:val="21"/>
        </w:rPr>
      </w:pPr>
      <w:r>
        <w:rPr>
          <w:rFonts w:hint="eastAsia" w:ascii="宋体" w:hAnsi="宋体" w:eastAsia="宋体" w:cs="宋体"/>
          <w:szCs w:val="21"/>
        </w:rPr>
        <w:drawing>
          <wp:anchor distT="0" distB="0" distL="0" distR="0" simplePos="0" relativeHeight="251659264" behindDoc="0" locked="0" layoutInCell="1" allowOverlap="1">
            <wp:simplePos x="0" y="0"/>
            <wp:positionH relativeFrom="column">
              <wp:posOffset>3121660</wp:posOffset>
            </wp:positionH>
            <wp:positionV relativeFrom="paragraph">
              <wp:posOffset>26035</wp:posOffset>
            </wp:positionV>
            <wp:extent cx="2546350" cy="3255010"/>
            <wp:effectExtent l="0" t="0" r="6350" b="2540"/>
            <wp:wrapSquare wrapText="bothSides"/>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23" cstate="print"/>
                    <a:stretch>
                      <a:fillRect/>
                    </a:stretch>
                  </pic:blipFill>
                  <pic:spPr>
                    <a:xfrm>
                      <a:off x="0" y="0"/>
                      <a:ext cx="2546350" cy="3255010"/>
                    </a:xfrm>
                    <a:prstGeom prst="rect">
                      <a:avLst/>
                    </a:prstGeom>
                    <a:noFill/>
                    <a:ln>
                      <a:noFill/>
                    </a:ln>
                  </pic:spPr>
                </pic:pic>
              </a:graphicData>
            </a:graphic>
          </wp:anchor>
        </w:drawing>
      </w:r>
      <w:r>
        <w:rPr>
          <w:rFonts w:hint="eastAsia" w:ascii="宋体" w:hAnsi="宋体" w:eastAsia="宋体" w:cs="宋体"/>
          <w:szCs w:val="21"/>
        </w:rPr>
        <w:t>2.3、LPCVD&amp;氧化炉</w:t>
      </w:r>
    </w:p>
    <w:p>
      <w:pPr>
        <w:spacing w:line="360" w:lineRule="auto"/>
        <w:ind w:firstLine="442" w:firstLineChars="200"/>
        <w:rPr>
          <w:rFonts w:ascii="宋体" w:hAnsi="宋体" w:eastAsia="宋体" w:cs="宋体"/>
          <w:szCs w:val="21"/>
        </w:rPr>
      </w:pPr>
      <w:r>
        <w:rPr>
          <w:rFonts w:hint="eastAsia" w:ascii="宋体" w:hAnsi="宋体" w:eastAsia="宋体" w:cs="宋体"/>
          <w:szCs w:val="21"/>
        </w:rPr>
        <w:t>1. 排气要求: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 xml:space="preserve">Scavenger exhaustion： </w:t>
      </w:r>
    </w:p>
    <w:p>
      <w:pPr>
        <w:spacing w:line="360" w:lineRule="auto"/>
        <w:ind w:firstLine="442" w:firstLineChars="200"/>
        <w:rPr>
          <w:rFonts w:ascii="宋体" w:hAnsi="宋体" w:eastAsia="宋体" w:cs="宋体"/>
          <w:szCs w:val="21"/>
        </w:rPr>
      </w:pPr>
      <w:r>
        <w:rPr>
          <w:rFonts w:hint="eastAsia" w:ascii="宋体" w:hAnsi="宋体" w:eastAsia="宋体" w:cs="宋体"/>
          <w:szCs w:val="21"/>
        </w:rPr>
        <w:t>3x210 nm3/h = 630 nm3/h</w:t>
      </w:r>
    </w:p>
    <w:p>
      <w:pPr>
        <w:spacing w:line="360" w:lineRule="auto"/>
        <w:ind w:firstLine="442" w:firstLineChars="200"/>
        <w:rPr>
          <w:rFonts w:ascii="宋体" w:hAnsi="宋体" w:eastAsia="宋体" w:cs="宋体"/>
          <w:szCs w:val="21"/>
        </w:rPr>
      </w:pPr>
      <w:r>
        <w:rPr>
          <w:rFonts w:hint="eastAsia" w:ascii="宋体" w:hAnsi="宋体" w:eastAsia="宋体" w:cs="宋体"/>
          <w:szCs w:val="21"/>
        </w:rPr>
        <w:t>(4x210 nm3/h = 840 nm3/h)</w:t>
      </w:r>
    </w:p>
    <w:p>
      <w:pPr>
        <w:spacing w:line="360" w:lineRule="auto"/>
        <w:ind w:firstLine="442" w:firstLineChars="200"/>
        <w:rPr>
          <w:rFonts w:ascii="宋体" w:hAnsi="宋体" w:eastAsia="宋体" w:cs="宋体"/>
          <w:szCs w:val="21"/>
        </w:rPr>
      </w:pPr>
      <w:r>
        <w:rPr>
          <w:rFonts w:hint="eastAsia" w:ascii="宋体" w:hAnsi="宋体" w:eastAsia="宋体" w:cs="宋体"/>
          <w:szCs w:val="21"/>
        </w:rPr>
        <w:t>3x ø100 mm, -500 Pa</w:t>
      </w:r>
    </w:p>
    <w:p>
      <w:pPr>
        <w:spacing w:line="360" w:lineRule="auto"/>
        <w:ind w:firstLine="442" w:firstLineChars="200"/>
        <w:rPr>
          <w:rFonts w:ascii="宋体" w:hAnsi="宋体" w:eastAsia="宋体" w:cs="宋体"/>
          <w:szCs w:val="21"/>
        </w:rPr>
      </w:pPr>
      <w:r>
        <w:rPr>
          <w:rFonts w:hint="eastAsia" w:ascii="宋体" w:hAnsi="宋体" w:eastAsia="宋体" w:cs="宋体"/>
          <w:szCs w:val="21"/>
        </w:rPr>
        <w:t>Scavenger cabinet exhaustion:</w:t>
      </w:r>
    </w:p>
    <w:p>
      <w:pPr>
        <w:spacing w:line="360" w:lineRule="auto"/>
        <w:ind w:firstLine="442" w:firstLineChars="200"/>
        <w:rPr>
          <w:rFonts w:ascii="宋体" w:hAnsi="宋体" w:eastAsia="宋体" w:cs="宋体"/>
          <w:szCs w:val="21"/>
        </w:rPr>
      </w:pPr>
      <w:r>
        <w:rPr>
          <w:rFonts w:hint="eastAsia" w:ascii="宋体" w:hAnsi="宋体" w:eastAsia="宋体" w:cs="宋体"/>
          <w:szCs w:val="21"/>
        </w:rPr>
        <w:t>500 nm3/h,ø150 mm, -500 Pa</w:t>
      </w:r>
    </w:p>
    <w:p>
      <w:pPr>
        <w:spacing w:line="360" w:lineRule="auto"/>
        <w:ind w:firstLine="442" w:firstLineChars="200"/>
        <w:rPr>
          <w:rFonts w:ascii="宋体" w:hAnsi="宋体" w:eastAsia="宋体" w:cs="宋体"/>
          <w:szCs w:val="21"/>
        </w:rPr>
      </w:pPr>
      <w:r>
        <w:rPr>
          <w:rFonts w:hint="eastAsia" w:ascii="宋体" w:hAnsi="宋体" w:eastAsia="宋体" w:cs="宋体"/>
          <w:szCs w:val="21"/>
        </w:rPr>
        <w:t>Source cabinet exhaustion:</w:t>
      </w:r>
    </w:p>
    <w:p>
      <w:pPr>
        <w:spacing w:line="360" w:lineRule="auto"/>
        <w:ind w:firstLine="442" w:firstLineChars="200"/>
        <w:rPr>
          <w:rFonts w:ascii="宋体" w:hAnsi="宋体" w:eastAsia="宋体" w:cs="宋体"/>
          <w:szCs w:val="21"/>
        </w:rPr>
      </w:pPr>
      <w:r>
        <w:rPr>
          <w:rFonts w:hint="eastAsia" w:ascii="宋体" w:hAnsi="宋体" w:eastAsia="宋体" w:cs="宋体"/>
          <w:szCs w:val="21"/>
        </w:rPr>
        <w:drawing>
          <wp:anchor distT="0" distB="0" distL="114300" distR="114300" simplePos="0" relativeHeight="251660288" behindDoc="0" locked="0" layoutInCell="1" allowOverlap="1">
            <wp:simplePos x="0" y="0"/>
            <wp:positionH relativeFrom="column">
              <wp:posOffset>3121660</wp:posOffset>
            </wp:positionH>
            <wp:positionV relativeFrom="paragraph">
              <wp:posOffset>101600</wp:posOffset>
            </wp:positionV>
            <wp:extent cx="3206115" cy="3425825"/>
            <wp:effectExtent l="0" t="0" r="13335" b="3175"/>
            <wp:wrapSquare wrapText="bothSides"/>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24" cstate="print"/>
                    <a:stretch>
                      <a:fillRect/>
                    </a:stretch>
                  </pic:blipFill>
                  <pic:spPr>
                    <a:xfrm>
                      <a:off x="0" y="0"/>
                      <a:ext cx="3206115" cy="3425825"/>
                    </a:xfrm>
                    <a:prstGeom prst="rect">
                      <a:avLst/>
                    </a:prstGeom>
                    <a:noFill/>
                    <a:ln>
                      <a:noFill/>
                    </a:ln>
                  </pic:spPr>
                </pic:pic>
              </a:graphicData>
            </a:graphic>
          </wp:anchor>
        </w:drawing>
      </w:r>
      <w:r>
        <w:rPr>
          <w:rFonts w:hint="eastAsia" w:ascii="宋体" w:hAnsi="宋体" w:eastAsia="宋体" w:cs="宋体"/>
          <w:szCs w:val="21"/>
        </w:rPr>
        <w:t>500 nm3/h,ø200 mm, -500 Pa</w:t>
      </w:r>
    </w:p>
    <w:p>
      <w:pPr>
        <w:spacing w:line="360" w:lineRule="auto"/>
        <w:ind w:firstLine="442" w:firstLineChars="200"/>
        <w:rPr>
          <w:rFonts w:ascii="宋体" w:hAnsi="宋体" w:eastAsia="宋体" w:cs="宋体"/>
          <w:szCs w:val="21"/>
        </w:rPr>
      </w:pPr>
      <w:r>
        <w:rPr>
          <w:rFonts w:hint="eastAsia" w:ascii="宋体" w:hAnsi="宋体" w:eastAsia="宋体" w:cs="宋体"/>
          <w:szCs w:val="21"/>
        </w:rPr>
        <w:t>Bubler exhaustion:</w:t>
      </w:r>
    </w:p>
    <w:p>
      <w:pPr>
        <w:spacing w:line="360" w:lineRule="auto"/>
        <w:ind w:firstLine="442" w:firstLineChars="200"/>
        <w:rPr>
          <w:rFonts w:ascii="宋体" w:hAnsi="宋体" w:eastAsia="宋体" w:cs="宋体"/>
          <w:szCs w:val="21"/>
        </w:rPr>
      </w:pPr>
      <w:r>
        <w:rPr>
          <w:rFonts w:hint="eastAsia" w:ascii="宋体" w:hAnsi="宋体" w:eastAsia="宋体" w:cs="宋体"/>
          <w:szCs w:val="21"/>
        </w:rPr>
        <w:t>500 nm3/h,</w:t>
      </w:r>
    </w:p>
    <w:p>
      <w:pPr>
        <w:spacing w:line="360" w:lineRule="auto"/>
        <w:ind w:firstLine="442" w:firstLineChars="200"/>
        <w:rPr>
          <w:rFonts w:ascii="宋体" w:hAnsi="宋体" w:eastAsia="宋体" w:cs="宋体"/>
          <w:szCs w:val="21"/>
        </w:rPr>
      </w:pPr>
      <w:r>
        <w:rPr>
          <w:rFonts w:hint="eastAsia" w:ascii="宋体" w:hAnsi="宋体" w:eastAsia="宋体" w:cs="宋体"/>
          <w:szCs w:val="21"/>
        </w:rPr>
        <w:t>ø100 mm, -500 Pa</w:t>
      </w:r>
    </w:p>
    <w:p>
      <w:pPr>
        <w:spacing w:line="360" w:lineRule="auto"/>
        <w:ind w:firstLine="442" w:firstLineChars="200"/>
        <w:rPr>
          <w:rFonts w:ascii="宋体" w:hAnsi="宋体" w:eastAsia="宋体" w:cs="宋体"/>
          <w:szCs w:val="21"/>
        </w:rPr>
      </w:pPr>
      <w:r>
        <w:rPr>
          <w:rFonts w:hint="eastAsia" w:ascii="宋体" w:hAnsi="宋体" w:eastAsia="宋体" w:cs="宋体"/>
          <w:szCs w:val="21"/>
        </w:rPr>
        <w:t>2.4. 冷却水要求: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min. flow rate 20 l/min, p max=10 bar </w:t>
      </w:r>
    </w:p>
    <w:p>
      <w:pPr>
        <w:spacing w:line="360" w:lineRule="auto"/>
        <w:ind w:firstLine="442" w:firstLineChars="200"/>
        <w:rPr>
          <w:rFonts w:ascii="宋体" w:hAnsi="宋体" w:eastAsia="宋体" w:cs="宋体"/>
          <w:szCs w:val="21"/>
        </w:rPr>
      </w:pPr>
      <w:r>
        <w:rPr>
          <w:rFonts w:hint="eastAsia" w:ascii="宋体" w:hAnsi="宋体" w:eastAsia="宋体" w:cs="宋体"/>
          <w:szCs w:val="21"/>
        </w:rPr>
        <w:t>temperature max. 19°C </w:t>
      </w:r>
    </w:p>
    <w:p>
      <w:pPr>
        <w:spacing w:line="360" w:lineRule="auto"/>
        <w:ind w:firstLine="442" w:firstLineChars="200"/>
        <w:rPr>
          <w:rFonts w:ascii="宋体" w:hAnsi="宋体" w:eastAsia="宋体" w:cs="宋体"/>
          <w:szCs w:val="21"/>
        </w:rPr>
      </w:pPr>
      <w:r>
        <w:rPr>
          <w:rFonts w:hint="eastAsia" w:ascii="宋体" w:hAnsi="宋体" w:eastAsia="宋体" w:cs="宋体"/>
          <w:szCs w:val="21"/>
        </w:rPr>
        <w:t>cooling water pH is between 7.5 and 8.5, </w:t>
      </w:r>
    </w:p>
    <w:p>
      <w:pPr>
        <w:spacing w:line="360" w:lineRule="auto"/>
        <w:ind w:firstLine="442" w:firstLineChars="200"/>
        <w:rPr>
          <w:rFonts w:ascii="宋体" w:hAnsi="宋体" w:eastAsia="宋体" w:cs="宋体"/>
          <w:szCs w:val="21"/>
        </w:rPr>
      </w:pPr>
      <w:r>
        <w:rPr>
          <w:rFonts w:hint="eastAsia" w:ascii="宋体" w:hAnsi="宋体" w:eastAsia="宋体" w:cs="宋体"/>
          <w:szCs w:val="21"/>
        </w:rPr>
        <w:t xml:space="preserve">conductivity is max. 2000 μMhos/cm (equivalent 500 Ω*cm) </w:t>
      </w:r>
    </w:p>
    <w:p>
      <w:pPr>
        <w:spacing w:line="360" w:lineRule="auto"/>
        <w:ind w:firstLine="442" w:firstLineChars="200"/>
        <w:rPr>
          <w:rFonts w:ascii="宋体" w:hAnsi="宋体" w:eastAsia="宋体" w:cs="宋体"/>
          <w:szCs w:val="21"/>
        </w:rPr>
      </w:pPr>
      <w:r>
        <w:rPr>
          <w:rFonts w:hint="eastAsia" w:ascii="宋体" w:hAnsi="宋体" w:eastAsia="宋体" w:cs="宋体"/>
          <w:szCs w:val="21"/>
        </w:rPr>
        <w:t>cooling water purity is max. 200 ppm CaCO3</w:t>
      </w:r>
    </w:p>
    <w:p>
      <w:pPr>
        <w:spacing w:line="360" w:lineRule="auto"/>
        <w:ind w:firstLine="442" w:firstLineChars="200"/>
        <w:rPr>
          <w:rFonts w:ascii="宋体" w:hAnsi="宋体" w:eastAsia="宋体" w:cs="宋体"/>
          <w:szCs w:val="21"/>
        </w:rPr>
      </w:pPr>
      <w:r>
        <w:rPr>
          <w:rFonts w:hint="eastAsia" w:ascii="宋体" w:hAnsi="宋体" w:eastAsia="宋体" w:cs="宋体"/>
          <w:szCs w:val="21"/>
        </w:rPr>
        <w:t>corrosion inhibitors 300 ppm to 600 ppm of borate nitride</w:t>
      </w:r>
    </w:p>
    <w:p>
      <w:pPr>
        <w:spacing w:line="360" w:lineRule="auto"/>
        <w:ind w:firstLine="442" w:firstLineChars="200"/>
        <w:rPr>
          <w:rFonts w:ascii="宋体" w:hAnsi="宋体" w:eastAsia="宋体" w:cs="宋体"/>
          <w:szCs w:val="21"/>
        </w:rPr>
      </w:pPr>
      <w:r>
        <w:rPr>
          <w:rFonts w:hint="eastAsia" w:ascii="宋体" w:hAnsi="宋体" w:eastAsia="宋体" w:cs="宋体"/>
          <w:szCs w:val="21"/>
        </w:rPr>
        <w:t>450 ppm to 900 ppm of sodium nitride </w:t>
      </w:r>
    </w:p>
    <w:p>
      <w:pPr>
        <w:spacing w:line="360" w:lineRule="auto"/>
        <w:ind w:firstLine="442" w:firstLineChars="200"/>
        <w:rPr>
          <w:rFonts w:ascii="宋体" w:hAnsi="宋体" w:eastAsia="宋体" w:cs="宋体"/>
          <w:szCs w:val="21"/>
        </w:rPr>
      </w:pPr>
      <w:r>
        <w:rPr>
          <w:rFonts w:hint="eastAsia" w:ascii="宋体" w:hAnsi="宋体" w:eastAsia="宋体" w:cs="宋体"/>
          <w:szCs w:val="21"/>
        </w:rPr>
        <w:t>The microbiological growth is monitored visually in the open or in the closed system. During algae and germ growth, it is necessary to chlorinate the water in the regular intervals (see instructions on the chlorine container.</w:t>
      </w:r>
    </w:p>
    <w:p>
      <w:pPr>
        <w:spacing w:line="360" w:lineRule="auto"/>
        <w:ind w:firstLine="442" w:firstLineChars="200"/>
        <w:rPr>
          <w:rFonts w:ascii="宋体" w:hAnsi="宋体" w:eastAsia="宋体" w:cs="宋体"/>
          <w:szCs w:val="21"/>
        </w:rPr>
      </w:pPr>
      <w:r>
        <w:rPr>
          <w:rFonts w:hint="eastAsia" w:ascii="宋体" w:hAnsi="宋体" w:eastAsia="宋体" w:cs="宋体"/>
          <w:szCs w:val="21"/>
        </w:rPr>
        <w:t>2.5、蒸发设备（型号:ZHD400）</w:t>
      </w:r>
    </w:p>
    <w:p>
      <w:pPr>
        <w:spacing w:line="360" w:lineRule="auto"/>
        <w:ind w:firstLine="442" w:firstLineChars="200"/>
        <w:rPr>
          <w:rFonts w:ascii="宋体" w:hAnsi="宋体" w:eastAsia="宋体" w:cs="宋体"/>
          <w:szCs w:val="21"/>
        </w:rPr>
      </w:pPr>
      <w:r>
        <w:rPr>
          <w:rFonts w:hint="eastAsia" w:ascii="宋体" w:hAnsi="宋体" w:eastAsia="宋体" w:cs="宋体"/>
          <w:szCs w:val="21"/>
        </w:rPr>
        <w:t>2.5.1冷却水要求: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总进水与总出水接冷却循环水机,水温需控温范围 10~25 °C,水压 0.2~0.3MPa; 给电极、分子泵、 提供稳定的制冷循环水,保证设备正常运行;</w:t>
      </w:r>
    </w:p>
    <w:p>
      <w:pPr>
        <w:spacing w:line="360" w:lineRule="auto"/>
        <w:ind w:firstLine="442" w:firstLineChars="200"/>
        <w:rPr>
          <w:rFonts w:ascii="宋体" w:hAnsi="宋体" w:eastAsia="宋体" w:cs="宋体"/>
          <w:szCs w:val="21"/>
        </w:rPr>
      </w:pPr>
      <w:r>
        <w:rPr>
          <w:rFonts w:hint="eastAsia" w:ascii="宋体" w:hAnsi="宋体" w:eastAsia="宋体" w:cs="宋体"/>
          <w:szCs w:val="21"/>
        </w:rPr>
        <w:t>供水总出水、总回水管径为 1”;供水距离设备尺寸≤2.5m;</w:t>
      </w:r>
    </w:p>
    <w:p>
      <w:pPr>
        <w:spacing w:line="360" w:lineRule="auto"/>
        <w:ind w:firstLine="442" w:firstLineChars="200"/>
        <w:rPr>
          <w:rFonts w:ascii="宋体" w:hAnsi="宋体" w:eastAsia="宋体" w:cs="宋体"/>
          <w:szCs w:val="21"/>
        </w:rPr>
      </w:pPr>
      <w:r>
        <w:rPr>
          <w:rFonts w:hint="eastAsia" w:ascii="宋体" w:hAnsi="宋体" w:eastAsia="宋体" w:cs="宋体"/>
          <w:szCs w:val="21"/>
        </w:rPr>
        <w:t>2.6、PECVD（型号:150）</w:t>
      </w:r>
    </w:p>
    <w:p>
      <w:pPr>
        <w:spacing w:line="360" w:lineRule="auto"/>
        <w:ind w:firstLine="442" w:firstLineChars="200"/>
        <w:rPr>
          <w:rFonts w:ascii="宋体" w:hAnsi="宋体" w:eastAsia="宋体" w:cs="宋体"/>
          <w:szCs w:val="21"/>
        </w:rPr>
      </w:pPr>
      <w:r>
        <w:rPr>
          <w:rFonts w:hint="eastAsia" w:ascii="宋体" w:hAnsi="宋体" w:eastAsia="宋体" w:cs="宋体"/>
          <w:szCs w:val="21"/>
        </w:rPr>
        <w:t>2.6.1冷却水：</w:t>
      </w:r>
    </w:p>
    <w:p>
      <w:pPr>
        <w:spacing w:line="360" w:lineRule="auto"/>
        <w:ind w:firstLine="442" w:firstLineChars="200"/>
        <w:rPr>
          <w:rFonts w:ascii="宋体" w:hAnsi="宋体" w:eastAsia="宋体" w:cs="宋体"/>
          <w:szCs w:val="21"/>
        </w:rPr>
      </w:pPr>
      <w:r>
        <w:rPr>
          <w:rFonts w:hint="eastAsia" w:ascii="宋体" w:hAnsi="宋体" w:eastAsia="宋体" w:cs="宋体"/>
          <w:szCs w:val="21"/>
        </w:rPr>
        <w:t>PECVD中罗茨泵(或分子泵)需冷却水。入水口及出水口安装管道螺纹为四分的,另配有减压阀一个,水路回口管道外径为 10mm 的卡套接 头,水路出水口管道也为外径 10mm 卡套接头。</w:t>
      </w:r>
    </w:p>
    <w:p>
      <w:pPr>
        <w:spacing w:line="360" w:lineRule="auto"/>
        <w:ind w:firstLine="442" w:firstLineChars="200"/>
        <w:rPr>
          <w:rFonts w:ascii="宋体" w:hAnsi="宋体" w:eastAsia="宋体" w:cs="宋体"/>
          <w:szCs w:val="21"/>
        </w:rPr>
      </w:pPr>
      <w:r>
        <w:rPr>
          <w:rFonts w:hint="eastAsia" w:ascii="宋体" w:hAnsi="宋体" w:eastAsia="宋体" w:cs="宋体"/>
          <w:szCs w:val="21"/>
        </w:rPr>
        <w:t>水流量:5L/min;水压:约 2.5 公斤。</w:t>
      </w:r>
    </w:p>
    <w:p>
      <w:pPr>
        <w:spacing w:line="360" w:lineRule="auto"/>
        <w:ind w:firstLine="442" w:firstLineChars="200"/>
        <w:rPr>
          <w:rFonts w:ascii="宋体" w:hAnsi="宋体" w:eastAsia="宋体" w:cs="宋体"/>
          <w:szCs w:val="21"/>
        </w:rPr>
      </w:pPr>
      <w:r>
        <w:rPr>
          <w:rFonts w:hint="eastAsia" w:ascii="宋体" w:hAnsi="宋体" w:eastAsia="宋体" w:cs="宋体"/>
          <w:szCs w:val="21"/>
        </w:rPr>
        <w:t>水温:18-25°C</w:t>
      </w:r>
    </w:p>
    <w:p>
      <w:pPr>
        <w:spacing w:line="360" w:lineRule="auto"/>
        <w:ind w:firstLine="442" w:firstLineChars="200"/>
        <w:rPr>
          <w:rFonts w:ascii="宋体" w:hAnsi="宋体" w:eastAsia="宋体" w:cs="宋体"/>
          <w:szCs w:val="21"/>
        </w:rPr>
      </w:pPr>
      <w:r>
        <w:rPr>
          <w:rFonts w:hint="eastAsia" w:ascii="宋体" w:hAnsi="宋体" w:eastAsia="宋体" w:cs="宋体"/>
          <w:szCs w:val="21"/>
        </w:rPr>
        <w:t>2.6.2排气：</w:t>
      </w:r>
    </w:p>
    <w:p>
      <w:pPr>
        <w:spacing w:line="360" w:lineRule="auto"/>
        <w:ind w:firstLine="442" w:firstLineChars="200"/>
        <w:rPr>
          <w:rFonts w:ascii="宋体" w:hAnsi="宋体" w:eastAsia="宋体" w:cs="宋体"/>
          <w:szCs w:val="21"/>
        </w:rPr>
      </w:pPr>
      <w:r>
        <w:rPr>
          <w:rFonts w:hint="eastAsia" w:ascii="宋体" w:hAnsi="宋体" w:eastAsia="宋体" w:cs="宋体"/>
          <w:szCs w:val="21"/>
        </w:rPr>
        <w:t>在确定机械泵安装位置后,预装排气管,将一端安装到废气处理装置, 另一端预留,等设备到后固定到机械泵排气口。</w:t>
      </w:r>
    </w:p>
    <w:p>
      <w:pPr>
        <w:spacing w:line="360" w:lineRule="auto"/>
        <w:ind w:firstLine="442" w:firstLineChars="200"/>
        <w:rPr>
          <w:rFonts w:ascii="宋体" w:hAnsi="宋体" w:eastAsia="宋体" w:cs="宋体"/>
          <w:szCs w:val="21"/>
        </w:rPr>
      </w:pPr>
      <w:r>
        <w:rPr>
          <w:rFonts w:hint="eastAsia" w:ascii="宋体" w:hAnsi="宋体" w:eastAsia="宋体" w:cs="宋体"/>
          <w:szCs w:val="21"/>
        </w:rPr>
        <w:t>排气可用塑料管,请使用侧壁加筋或加钢筋的,机械泵排气口直径为 KF40 的波纹管。</w:t>
      </w:r>
    </w:p>
    <w:p>
      <w:pPr>
        <w:spacing w:line="360" w:lineRule="auto"/>
        <w:ind w:firstLine="442" w:firstLineChars="200"/>
        <w:rPr>
          <w:rFonts w:ascii="宋体" w:hAnsi="宋体" w:eastAsia="宋体" w:cs="宋体"/>
          <w:szCs w:val="21"/>
        </w:rPr>
      </w:pPr>
      <w:r>
        <w:rPr>
          <w:rFonts w:hint="eastAsia" w:ascii="宋体" w:hAnsi="宋体" w:eastAsia="宋体" w:cs="宋体"/>
          <w:szCs w:val="21"/>
        </w:rPr>
        <w:t>2.7、溅射设备</w:t>
      </w:r>
    </w:p>
    <w:p>
      <w:pPr>
        <w:spacing w:line="360" w:lineRule="auto"/>
        <w:ind w:firstLine="442" w:firstLineChars="200"/>
        <w:rPr>
          <w:rFonts w:ascii="宋体" w:hAnsi="宋体" w:eastAsia="宋体" w:cs="宋体"/>
          <w:szCs w:val="21"/>
        </w:rPr>
      </w:pPr>
      <w:r>
        <w:rPr>
          <w:rFonts w:hint="eastAsia" w:ascii="宋体" w:hAnsi="宋体" w:eastAsia="宋体" w:cs="宋体"/>
          <w:szCs w:val="21"/>
        </w:rPr>
        <w:t>2.7.1冷却水</w:t>
      </w:r>
    </w:p>
    <w:p>
      <w:pPr>
        <w:spacing w:line="360" w:lineRule="auto"/>
        <w:ind w:firstLine="442" w:firstLineChars="200"/>
        <w:rPr>
          <w:rFonts w:ascii="宋体" w:hAnsi="宋体" w:eastAsia="宋体" w:cs="宋体"/>
          <w:szCs w:val="21"/>
        </w:rPr>
      </w:pPr>
      <w:r>
        <w:rPr>
          <w:rFonts w:hint="eastAsia" w:ascii="宋体" w:hAnsi="宋体" w:eastAsia="宋体" w:cs="宋体"/>
          <w:szCs w:val="21"/>
        </w:rPr>
        <w:t>溅射靶头和分子泵需冷却水。入水口及出水口安装管道螺纹为四分的,另配有减压阀一个,水路回口管道外径为 8mm 的卡套接头,水路出水 口管道也为外径 8mm 卡套接头。</w:t>
      </w:r>
    </w:p>
    <w:p>
      <w:pPr>
        <w:spacing w:line="360" w:lineRule="auto"/>
        <w:ind w:firstLine="442" w:firstLineChars="200"/>
        <w:rPr>
          <w:rFonts w:ascii="宋体" w:hAnsi="宋体" w:eastAsia="宋体" w:cs="宋体"/>
          <w:szCs w:val="21"/>
        </w:rPr>
      </w:pPr>
      <w:r>
        <w:rPr>
          <w:rFonts w:hint="eastAsia" w:ascii="宋体" w:hAnsi="宋体" w:eastAsia="宋体" w:cs="宋体"/>
          <w:szCs w:val="21"/>
        </w:rPr>
        <w:t>水流量:5L/min;水压:约 2.5 公斤。</w:t>
      </w:r>
    </w:p>
    <w:p>
      <w:pPr>
        <w:spacing w:line="360" w:lineRule="auto"/>
        <w:ind w:firstLine="442" w:firstLineChars="200"/>
        <w:rPr>
          <w:rFonts w:ascii="宋体" w:hAnsi="宋体" w:eastAsia="宋体" w:cs="宋体"/>
          <w:szCs w:val="21"/>
        </w:rPr>
      </w:pPr>
      <w:r>
        <w:rPr>
          <w:rFonts w:hint="eastAsia" w:ascii="宋体" w:hAnsi="宋体" w:eastAsia="宋体" w:cs="宋体"/>
          <w:szCs w:val="21"/>
        </w:rPr>
        <w:t>水温:18-25°C</w:t>
      </w:r>
    </w:p>
    <w:p>
      <w:pPr>
        <w:spacing w:line="360" w:lineRule="auto"/>
        <w:ind w:firstLine="442" w:firstLineChars="200"/>
        <w:rPr>
          <w:rFonts w:ascii="宋体" w:hAnsi="宋体" w:eastAsia="宋体" w:cs="宋体"/>
          <w:szCs w:val="21"/>
        </w:rPr>
      </w:pPr>
      <w:r>
        <w:rPr>
          <w:rFonts w:hint="eastAsia" w:ascii="宋体" w:hAnsi="宋体" w:eastAsia="宋体" w:cs="宋体"/>
          <w:szCs w:val="21"/>
        </w:rPr>
        <w:t>2.7.2排气：</w:t>
      </w:r>
    </w:p>
    <w:p>
      <w:pPr>
        <w:spacing w:line="360" w:lineRule="auto"/>
        <w:ind w:firstLine="442" w:firstLineChars="200"/>
        <w:rPr>
          <w:rFonts w:ascii="宋体" w:hAnsi="宋体" w:eastAsia="宋体" w:cs="宋体"/>
          <w:szCs w:val="21"/>
        </w:rPr>
      </w:pPr>
      <w:r>
        <w:rPr>
          <w:rFonts w:hint="eastAsia" w:ascii="宋体" w:hAnsi="宋体" w:eastAsia="宋体" w:cs="宋体"/>
          <w:szCs w:val="21"/>
        </w:rPr>
        <w:t>在确定机械泵安装位置后,预装排气管,将一端安装到废气处理装置, 另一端预留,等设备到后固定到机械泵排气口。</w:t>
      </w:r>
    </w:p>
    <w:p>
      <w:pPr>
        <w:spacing w:line="360" w:lineRule="auto"/>
        <w:ind w:firstLine="442" w:firstLineChars="200"/>
        <w:rPr>
          <w:rFonts w:ascii="宋体" w:hAnsi="宋体" w:eastAsia="宋体" w:cs="宋体"/>
          <w:szCs w:val="21"/>
        </w:rPr>
      </w:pPr>
      <w:r>
        <w:rPr>
          <w:rFonts w:hint="eastAsia" w:ascii="宋体" w:hAnsi="宋体" w:eastAsia="宋体" w:cs="宋体"/>
          <w:szCs w:val="21"/>
        </w:rPr>
        <w:t>排气可用塑料管,请使用侧壁加筋或加钢筋的,机械泵排气口直径为 KF40 的波纹管。</w:t>
      </w:r>
    </w:p>
    <w:p>
      <w:pPr>
        <w:spacing w:line="360" w:lineRule="auto"/>
        <w:ind w:firstLine="442" w:firstLineChars="200"/>
        <w:rPr>
          <w:rFonts w:ascii="宋体" w:hAnsi="宋体" w:eastAsia="宋体" w:cs="宋体"/>
          <w:szCs w:val="21"/>
        </w:rPr>
      </w:pPr>
      <w:r>
        <w:rPr>
          <w:rFonts w:hint="eastAsia" w:ascii="宋体" w:hAnsi="宋体" w:eastAsia="宋体" w:cs="宋体"/>
          <w:szCs w:val="21"/>
        </w:rPr>
        <w:t>2.8、RIE（150）</w:t>
      </w:r>
    </w:p>
    <w:p>
      <w:pPr>
        <w:spacing w:line="360" w:lineRule="auto"/>
        <w:ind w:firstLine="442" w:firstLineChars="200"/>
        <w:rPr>
          <w:rFonts w:ascii="宋体" w:hAnsi="宋体" w:eastAsia="宋体" w:cs="宋体"/>
          <w:szCs w:val="21"/>
        </w:rPr>
      </w:pPr>
      <w:r>
        <w:rPr>
          <w:rFonts w:hint="eastAsia" w:ascii="宋体" w:hAnsi="宋体" w:eastAsia="宋体" w:cs="宋体"/>
          <w:szCs w:val="21"/>
        </w:rPr>
        <w:t>2.8.1冷却水</w:t>
      </w:r>
    </w:p>
    <w:p>
      <w:pPr>
        <w:spacing w:line="360" w:lineRule="auto"/>
        <w:ind w:firstLine="442" w:firstLineChars="200"/>
        <w:rPr>
          <w:rFonts w:ascii="宋体" w:hAnsi="宋体" w:eastAsia="宋体" w:cs="宋体"/>
          <w:szCs w:val="21"/>
        </w:rPr>
      </w:pPr>
      <w:r>
        <w:rPr>
          <w:rFonts w:hint="eastAsia" w:ascii="宋体" w:hAnsi="宋体" w:eastAsia="宋体" w:cs="宋体"/>
          <w:szCs w:val="21"/>
        </w:rPr>
        <w:t>分子泵及下电极需冷却水。入水口及出水口安装管道螺纹为四分的,另配有减压阀一个,水路回口管道外径为 8mm 的卡套接头,水路出水 口管道也为外径 8mm 卡套接头。</w:t>
      </w:r>
    </w:p>
    <w:p>
      <w:pPr>
        <w:spacing w:line="360" w:lineRule="auto"/>
        <w:ind w:firstLine="442" w:firstLineChars="200"/>
        <w:rPr>
          <w:rFonts w:ascii="宋体" w:hAnsi="宋体" w:eastAsia="宋体" w:cs="宋体"/>
          <w:szCs w:val="21"/>
        </w:rPr>
      </w:pPr>
      <w:r>
        <w:rPr>
          <w:rFonts w:hint="eastAsia" w:ascii="宋体" w:hAnsi="宋体" w:eastAsia="宋体" w:cs="宋体"/>
          <w:szCs w:val="21"/>
        </w:rPr>
        <w:t>水流量:5L/min;水压:约 2.5 公斤。</w:t>
      </w:r>
    </w:p>
    <w:p>
      <w:pPr>
        <w:spacing w:line="360" w:lineRule="auto"/>
        <w:ind w:firstLine="442" w:firstLineChars="200"/>
        <w:rPr>
          <w:rFonts w:ascii="宋体" w:hAnsi="宋体" w:eastAsia="宋体" w:cs="宋体"/>
          <w:szCs w:val="21"/>
        </w:rPr>
      </w:pPr>
      <w:r>
        <w:rPr>
          <w:rFonts w:hint="eastAsia" w:ascii="宋体" w:hAnsi="宋体" w:eastAsia="宋体" w:cs="宋体"/>
          <w:szCs w:val="21"/>
        </w:rPr>
        <w:t>水温:18-25°C</w:t>
      </w:r>
    </w:p>
    <w:p>
      <w:pPr>
        <w:spacing w:line="360" w:lineRule="auto"/>
        <w:ind w:firstLine="442" w:firstLineChars="200"/>
        <w:rPr>
          <w:rFonts w:ascii="宋体" w:hAnsi="宋体" w:eastAsia="宋体" w:cs="宋体"/>
          <w:szCs w:val="21"/>
        </w:rPr>
      </w:pPr>
      <w:r>
        <w:rPr>
          <w:rFonts w:hint="eastAsia" w:ascii="宋体" w:hAnsi="宋体" w:eastAsia="宋体" w:cs="宋体"/>
          <w:szCs w:val="21"/>
        </w:rPr>
        <w:t>2.8.2排气需求：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在确定机械泵安装位置后,预装排气管,将一端安装到废气处理装置, 另一端预留,等设备到后固定到机械泵排气口。</w:t>
      </w:r>
    </w:p>
    <w:p>
      <w:pPr>
        <w:spacing w:line="360" w:lineRule="auto"/>
        <w:ind w:firstLine="442" w:firstLineChars="200"/>
        <w:rPr>
          <w:rFonts w:ascii="宋体" w:hAnsi="宋体" w:eastAsia="宋体" w:cs="宋体"/>
          <w:szCs w:val="21"/>
        </w:rPr>
      </w:pPr>
      <w:r>
        <w:rPr>
          <w:rFonts w:hint="eastAsia" w:ascii="宋体" w:hAnsi="宋体" w:eastAsia="宋体" w:cs="宋体"/>
          <w:szCs w:val="21"/>
        </w:rPr>
        <w:t>5-2. 排气可用塑料管,请使用侧壁加筋或加钢筋的,机械泵排气口直径为 KF40 的波纹管。</w:t>
      </w:r>
    </w:p>
    <w:p>
      <w:pPr>
        <w:spacing w:line="360" w:lineRule="auto"/>
        <w:ind w:firstLine="442" w:firstLineChars="200"/>
        <w:rPr>
          <w:rFonts w:ascii="宋体" w:hAnsi="宋体" w:eastAsia="宋体" w:cs="宋体"/>
          <w:szCs w:val="21"/>
        </w:rPr>
      </w:pPr>
      <w:r>
        <w:rPr>
          <w:rFonts w:hint="eastAsia" w:ascii="宋体" w:hAnsi="宋体" w:eastAsia="宋体" w:cs="宋体"/>
          <w:szCs w:val="21"/>
        </w:rPr>
        <w:t>2.9、ICP（150C）</w:t>
      </w:r>
    </w:p>
    <w:p>
      <w:pPr>
        <w:spacing w:line="360" w:lineRule="auto"/>
        <w:ind w:firstLine="442" w:firstLineChars="200"/>
        <w:rPr>
          <w:rFonts w:ascii="宋体" w:hAnsi="宋体" w:eastAsia="宋体" w:cs="宋体"/>
          <w:szCs w:val="21"/>
        </w:rPr>
      </w:pPr>
      <w:r>
        <w:rPr>
          <w:rFonts w:hint="eastAsia" w:ascii="宋体" w:hAnsi="宋体" w:eastAsia="宋体" w:cs="宋体"/>
          <w:szCs w:val="21"/>
        </w:rPr>
        <w:t>2.9.1冷却水</w:t>
      </w:r>
    </w:p>
    <w:p>
      <w:pPr>
        <w:spacing w:line="360" w:lineRule="auto"/>
        <w:ind w:firstLine="442" w:firstLineChars="200"/>
        <w:rPr>
          <w:rFonts w:ascii="宋体" w:hAnsi="宋体" w:eastAsia="宋体" w:cs="宋体"/>
          <w:szCs w:val="21"/>
        </w:rPr>
      </w:pPr>
      <w:r>
        <w:rPr>
          <w:rFonts w:hint="eastAsia" w:ascii="宋体" w:hAnsi="宋体" w:eastAsia="宋体" w:cs="宋体"/>
          <w:szCs w:val="21"/>
        </w:rPr>
        <w:t>分子泵和下电极需冷却水。入水口及出水口安装管道螺纹为四分的,另配有减压阀一个,水路回口管道外径为 8mm 的快插接头,水路出水 口管道也为外径 8mm 的快插接头。</w:t>
      </w:r>
    </w:p>
    <w:p>
      <w:pPr>
        <w:spacing w:line="360" w:lineRule="auto"/>
        <w:ind w:firstLine="442" w:firstLineChars="200"/>
        <w:rPr>
          <w:rFonts w:ascii="宋体" w:hAnsi="宋体" w:eastAsia="宋体" w:cs="宋体"/>
          <w:szCs w:val="21"/>
        </w:rPr>
      </w:pPr>
      <w:r>
        <w:rPr>
          <w:rFonts w:hint="eastAsia" w:ascii="宋体" w:hAnsi="宋体" w:eastAsia="宋体" w:cs="宋体"/>
          <w:szCs w:val="21"/>
        </w:rPr>
        <w:t>水流量:5L/min;水压:约 2.5 公斤。</w:t>
      </w:r>
    </w:p>
    <w:p>
      <w:pPr>
        <w:spacing w:line="360" w:lineRule="auto"/>
        <w:ind w:firstLine="442" w:firstLineChars="200"/>
        <w:rPr>
          <w:rFonts w:ascii="宋体" w:hAnsi="宋体" w:eastAsia="宋体" w:cs="宋体"/>
          <w:szCs w:val="21"/>
        </w:rPr>
      </w:pPr>
      <w:r>
        <w:rPr>
          <w:rFonts w:hint="eastAsia" w:ascii="宋体" w:hAnsi="宋体" w:eastAsia="宋体" w:cs="宋体"/>
          <w:szCs w:val="21"/>
        </w:rPr>
        <w:t>水温:18-25°C</w:t>
      </w:r>
    </w:p>
    <w:p>
      <w:pPr>
        <w:spacing w:line="360" w:lineRule="auto"/>
        <w:ind w:firstLine="442" w:firstLineChars="200"/>
        <w:rPr>
          <w:rFonts w:ascii="宋体" w:hAnsi="宋体" w:eastAsia="宋体" w:cs="宋体"/>
          <w:szCs w:val="21"/>
        </w:rPr>
      </w:pPr>
      <w:r>
        <w:rPr>
          <w:rFonts w:hint="eastAsia" w:ascii="宋体" w:hAnsi="宋体" w:eastAsia="宋体" w:cs="宋体"/>
          <w:szCs w:val="21"/>
        </w:rPr>
        <w:t>压缩空气:5Kg/cm2(Air),设备端提供6mm快速接头</w:t>
      </w:r>
    </w:p>
    <w:p>
      <w:pPr>
        <w:spacing w:line="360" w:lineRule="auto"/>
        <w:ind w:firstLine="442" w:firstLineChars="200"/>
        <w:rPr>
          <w:rFonts w:ascii="宋体" w:hAnsi="宋体" w:eastAsia="宋体" w:cs="宋体"/>
          <w:szCs w:val="21"/>
        </w:rPr>
      </w:pPr>
      <w:r>
        <w:rPr>
          <w:rFonts w:hint="eastAsia" w:ascii="宋体" w:hAnsi="宋体" w:eastAsia="宋体" w:cs="宋体"/>
          <w:szCs w:val="21"/>
        </w:rPr>
        <w:t>2.9.2排气</w:t>
      </w:r>
    </w:p>
    <w:p>
      <w:pPr>
        <w:spacing w:line="360" w:lineRule="auto"/>
        <w:ind w:firstLine="442" w:firstLineChars="200"/>
        <w:rPr>
          <w:rFonts w:ascii="宋体" w:hAnsi="宋体" w:eastAsia="宋体" w:cs="宋体"/>
          <w:szCs w:val="21"/>
        </w:rPr>
      </w:pPr>
      <w:r>
        <w:rPr>
          <w:rFonts w:hint="eastAsia" w:ascii="宋体" w:hAnsi="宋体" w:eastAsia="宋体" w:cs="宋体"/>
          <w:szCs w:val="21"/>
        </w:rPr>
        <w:t>在确定机械泵安装位置后,预装排气管,将一端安装到废气处理装置, 另一端预留,等设备到后固定到机械泵排气口。</w:t>
      </w:r>
    </w:p>
    <w:p>
      <w:pPr>
        <w:spacing w:line="360" w:lineRule="auto"/>
        <w:ind w:firstLine="442" w:firstLineChars="200"/>
        <w:rPr>
          <w:rFonts w:ascii="宋体" w:hAnsi="宋体" w:eastAsia="宋体" w:cs="宋体"/>
          <w:szCs w:val="21"/>
        </w:rPr>
      </w:pPr>
      <w:r>
        <w:rPr>
          <w:rFonts w:hint="eastAsia" w:ascii="宋体" w:hAnsi="宋体" w:eastAsia="宋体" w:cs="宋体"/>
          <w:szCs w:val="21"/>
        </w:rPr>
        <w:t>排气可用塑料管,请使用侧壁加筋或加钢筋的,机械泵排气口直径为 KF40 的波纹管。</w:t>
      </w:r>
    </w:p>
    <w:p>
      <w:pPr>
        <w:spacing w:line="360" w:lineRule="auto"/>
        <w:ind w:firstLine="442" w:firstLineChars="200"/>
        <w:rPr>
          <w:rFonts w:ascii="宋体" w:hAnsi="宋体" w:eastAsia="宋体" w:cs="宋体"/>
          <w:szCs w:val="21"/>
        </w:rPr>
      </w:pPr>
      <w:r>
        <w:rPr>
          <w:rFonts w:hint="eastAsia" w:ascii="宋体" w:hAnsi="宋体" w:eastAsia="宋体" w:cs="宋体"/>
          <w:szCs w:val="21"/>
        </w:rPr>
        <w:t>2.10、ALD（150C）</w:t>
      </w:r>
    </w:p>
    <w:p>
      <w:pPr>
        <w:spacing w:line="360" w:lineRule="auto"/>
        <w:ind w:firstLine="442" w:firstLineChars="200"/>
        <w:rPr>
          <w:rFonts w:ascii="宋体" w:hAnsi="宋体" w:eastAsia="宋体" w:cs="宋体"/>
          <w:szCs w:val="21"/>
        </w:rPr>
      </w:pPr>
      <w:r>
        <w:rPr>
          <w:rFonts w:hint="eastAsia" w:ascii="宋体" w:hAnsi="宋体" w:eastAsia="宋体" w:cs="宋体"/>
          <w:szCs w:val="21"/>
        </w:rPr>
        <w:t>2.10.1冷却水</w:t>
      </w:r>
    </w:p>
    <w:p>
      <w:pPr>
        <w:spacing w:line="360" w:lineRule="auto"/>
        <w:ind w:firstLine="442" w:firstLineChars="200"/>
        <w:rPr>
          <w:rFonts w:ascii="宋体" w:hAnsi="宋体" w:eastAsia="宋体" w:cs="宋体"/>
          <w:szCs w:val="21"/>
        </w:rPr>
      </w:pPr>
      <w:r>
        <w:rPr>
          <w:rFonts w:hint="eastAsia" w:ascii="宋体" w:hAnsi="宋体" w:eastAsia="宋体" w:cs="宋体"/>
          <w:szCs w:val="21"/>
        </w:rPr>
        <w:t>分子泵和下电极需冷却水。入水口及出水口安装管道螺纹为四分的,另配有减压阀一个,水路回口管道外径为 8mm 的快插接头,水路出水 口管道也为外径 8mm 的快插接头。</w:t>
      </w:r>
    </w:p>
    <w:p>
      <w:pPr>
        <w:spacing w:line="360" w:lineRule="auto"/>
        <w:ind w:firstLine="442" w:firstLineChars="200"/>
        <w:rPr>
          <w:rFonts w:ascii="宋体" w:hAnsi="宋体" w:eastAsia="宋体" w:cs="宋体"/>
          <w:szCs w:val="21"/>
        </w:rPr>
      </w:pPr>
      <w:r>
        <w:rPr>
          <w:rFonts w:hint="eastAsia" w:ascii="宋体" w:hAnsi="宋体" w:eastAsia="宋体" w:cs="宋体"/>
          <w:szCs w:val="21"/>
        </w:rPr>
        <w:t>水流量:5L/min;水压:约 2.5 公斤。</w:t>
      </w:r>
    </w:p>
    <w:p>
      <w:pPr>
        <w:spacing w:line="360" w:lineRule="auto"/>
        <w:ind w:firstLine="442" w:firstLineChars="200"/>
        <w:rPr>
          <w:rFonts w:ascii="宋体" w:hAnsi="宋体" w:eastAsia="宋体" w:cs="宋体"/>
          <w:szCs w:val="21"/>
        </w:rPr>
      </w:pPr>
      <w:r>
        <w:rPr>
          <w:rFonts w:hint="eastAsia" w:ascii="宋体" w:hAnsi="宋体" w:eastAsia="宋体" w:cs="宋体"/>
          <w:szCs w:val="21"/>
        </w:rPr>
        <w:t>水温:18-25°C</w:t>
      </w:r>
    </w:p>
    <w:p>
      <w:pPr>
        <w:spacing w:line="360" w:lineRule="auto"/>
        <w:ind w:firstLine="442" w:firstLineChars="200"/>
        <w:rPr>
          <w:rFonts w:ascii="宋体" w:hAnsi="宋体" w:eastAsia="宋体" w:cs="宋体"/>
          <w:szCs w:val="21"/>
        </w:rPr>
      </w:pPr>
      <w:r>
        <w:rPr>
          <w:rFonts w:hint="eastAsia" w:ascii="宋体" w:hAnsi="宋体" w:eastAsia="宋体" w:cs="宋体"/>
          <w:szCs w:val="21"/>
        </w:rPr>
        <w:t>压缩空气:5Kg/cm2(Air),设备端提供6mm快速接头</w:t>
      </w:r>
    </w:p>
    <w:p>
      <w:pPr>
        <w:spacing w:line="360" w:lineRule="auto"/>
        <w:ind w:firstLine="442" w:firstLineChars="200"/>
        <w:rPr>
          <w:rFonts w:ascii="宋体" w:hAnsi="宋体" w:eastAsia="宋体" w:cs="宋体"/>
          <w:szCs w:val="21"/>
        </w:rPr>
      </w:pPr>
      <w:r>
        <w:rPr>
          <w:rFonts w:hint="eastAsia" w:ascii="宋体" w:hAnsi="宋体" w:eastAsia="宋体" w:cs="宋体"/>
          <w:szCs w:val="21"/>
        </w:rPr>
        <w:t>2.10.2排气</w:t>
      </w:r>
    </w:p>
    <w:p>
      <w:pPr>
        <w:spacing w:line="360" w:lineRule="auto"/>
        <w:ind w:firstLine="442" w:firstLineChars="200"/>
        <w:rPr>
          <w:rFonts w:ascii="宋体" w:hAnsi="宋体" w:eastAsia="宋体" w:cs="宋体"/>
          <w:szCs w:val="21"/>
        </w:rPr>
      </w:pPr>
      <w:r>
        <w:rPr>
          <w:rFonts w:hint="eastAsia" w:ascii="宋体" w:hAnsi="宋体" w:eastAsia="宋体" w:cs="宋体"/>
          <w:szCs w:val="21"/>
        </w:rPr>
        <w:t>在确定机械泵安装位置后,预装排气管,将一端安装到废气处理装置, 另一端预留,等设备到后固定到机械泵排气口。</w:t>
      </w:r>
    </w:p>
    <w:p>
      <w:pPr>
        <w:spacing w:line="360" w:lineRule="auto"/>
        <w:ind w:firstLine="442" w:firstLineChars="200"/>
        <w:rPr>
          <w:rFonts w:ascii="宋体" w:hAnsi="宋体" w:eastAsia="宋体" w:cs="宋体"/>
          <w:szCs w:val="21"/>
        </w:rPr>
        <w:sectPr>
          <w:headerReference r:id="rId12" w:type="default"/>
          <w:footerReference r:id="rId13" w:type="default"/>
          <w:pgSz w:w="11906" w:h="16838"/>
          <w:pgMar w:top="1134" w:right="1134" w:bottom="1134" w:left="1134" w:header="851" w:footer="992" w:gutter="0"/>
          <w:pgNumType w:fmt="decimal"/>
          <w:cols w:space="720" w:num="1"/>
          <w:docGrid w:type="linesAndChars" w:linePitch="313" w:charSpace="2273"/>
        </w:sectPr>
      </w:pPr>
      <w:r>
        <w:rPr>
          <w:rFonts w:hint="eastAsia" w:ascii="宋体" w:hAnsi="宋体" w:eastAsia="宋体" w:cs="宋体"/>
          <w:szCs w:val="21"/>
        </w:rPr>
        <w:t>排气可用塑料管,请使用侧壁加筋或加钢筋的,机械泵排气口直径为 KF40 的波纹管。</w:t>
      </w:r>
    </w:p>
    <w:p>
      <w:pPr>
        <w:pStyle w:val="4"/>
        <w:rPr>
          <w:rFonts w:cs="宋体"/>
          <w:color w:val="000000" w:themeColor="text1"/>
          <w:sz w:val="21"/>
          <w:szCs w:val="21"/>
        </w:rPr>
      </w:pPr>
      <w:bookmarkStart w:id="88" w:name="_Toc4709"/>
      <w:bookmarkStart w:id="89" w:name="_Toc1550"/>
      <w:bookmarkStart w:id="90" w:name="_Toc10627"/>
      <w:bookmarkStart w:id="91" w:name="_Toc344"/>
      <w:bookmarkStart w:id="92" w:name="_Toc25270"/>
      <w:bookmarkStart w:id="93" w:name="_Toc32576"/>
      <w:r>
        <w:rPr>
          <w:rStyle w:val="38"/>
          <w:rFonts w:hint="eastAsia"/>
          <w:b/>
          <w:bCs/>
          <w:color w:val="000000" w:themeColor="text1"/>
        </w:rPr>
        <w:t>五、</w:t>
      </w:r>
      <w:bookmarkEnd w:id="88"/>
      <w:bookmarkEnd w:id="89"/>
      <w:bookmarkEnd w:id="90"/>
      <w:bookmarkEnd w:id="91"/>
      <w:bookmarkEnd w:id="92"/>
      <w:bookmarkEnd w:id="93"/>
      <w:r>
        <w:rPr>
          <w:rStyle w:val="38"/>
          <w:rFonts w:hint="eastAsia"/>
          <w:b/>
          <w:bCs/>
          <w:color w:val="000000" w:themeColor="text1"/>
        </w:rPr>
        <w:t>专业施工内容</w:t>
      </w:r>
    </w:p>
    <w:p>
      <w:pPr>
        <w:pStyle w:val="5"/>
        <w:ind w:firstLine="444"/>
        <w:rPr>
          <w:color w:val="000000" w:themeColor="text1"/>
        </w:rPr>
      </w:pPr>
      <w:bookmarkStart w:id="94" w:name="_Toc24332"/>
      <w:bookmarkStart w:id="95" w:name="_Toc6112"/>
      <w:bookmarkStart w:id="96" w:name="_Toc26320"/>
      <w:bookmarkStart w:id="97" w:name="_Toc3"/>
      <w:bookmarkStart w:id="98" w:name="_Toc25836"/>
      <w:r>
        <w:rPr>
          <w:rFonts w:hint="eastAsia"/>
          <w:color w:val="000000" w:themeColor="text1"/>
        </w:rPr>
        <w:t>（一）区域设计施工内容</w:t>
      </w:r>
      <w:bookmarkEnd w:id="94"/>
      <w:bookmarkEnd w:id="95"/>
      <w:bookmarkEnd w:id="96"/>
      <w:bookmarkEnd w:id="97"/>
      <w:bookmarkEnd w:id="98"/>
    </w:p>
    <w:p>
      <w:pPr>
        <w:spacing w:line="360" w:lineRule="auto"/>
        <w:ind w:firstLine="442" w:firstLineChars="200"/>
        <w:rPr>
          <w:rFonts w:ascii="宋体" w:hAnsi="宋体" w:eastAsia="宋体" w:cs="宋体"/>
          <w:color w:val="000000" w:themeColor="text1"/>
          <w:szCs w:val="21"/>
        </w:rPr>
      </w:pPr>
      <w:r>
        <w:rPr>
          <w:rFonts w:hint="eastAsia" w:ascii="宋体" w:hAnsi="宋体" w:eastAsia="宋体" w:cs="宋体"/>
          <w:color w:val="000000" w:themeColor="text1"/>
          <w:szCs w:val="21"/>
        </w:rPr>
        <w:t>此次设计施工的整体范围：2~11轴/X~AC轴（不包含洁净区周边的参观通道）</w:t>
      </w:r>
    </w:p>
    <w:p>
      <w:pPr>
        <w:pStyle w:val="5"/>
        <w:ind w:firstLine="444"/>
        <w:rPr>
          <w:color w:val="000000" w:themeColor="text1"/>
        </w:rPr>
      </w:pPr>
      <w:bookmarkStart w:id="99" w:name="_Toc11333"/>
      <w:r>
        <w:rPr>
          <w:rFonts w:hint="eastAsia"/>
          <w:color w:val="000000" w:themeColor="text1"/>
        </w:rPr>
        <w:t>（二）专业施工内容</w:t>
      </w:r>
      <w:bookmarkEnd w:id="99"/>
    </w:p>
    <w:p>
      <w:pPr>
        <w:spacing w:line="360" w:lineRule="auto"/>
        <w:ind w:firstLine="442" w:firstLineChars="200"/>
        <w:rPr>
          <w:rFonts w:ascii="宋体" w:hAnsi="宋体" w:eastAsia="宋体" w:cs="宋体"/>
          <w:color w:val="000000" w:themeColor="text1"/>
          <w:szCs w:val="21"/>
        </w:rPr>
      </w:pPr>
      <w:bookmarkStart w:id="100" w:name="_Toc32049"/>
      <w:bookmarkStart w:id="101" w:name="_Toc3759"/>
      <w:bookmarkStart w:id="102" w:name="_Toc454321788"/>
      <w:r>
        <w:rPr>
          <w:rFonts w:hint="eastAsia" w:ascii="宋体" w:hAnsi="宋体" w:eastAsia="宋体" w:cs="宋体"/>
          <w:color w:val="000000" w:themeColor="text1"/>
          <w:szCs w:val="21"/>
        </w:rPr>
        <w:t>1、装修装饰工程</w:t>
      </w:r>
      <w:bookmarkEnd w:id="100"/>
      <w:bookmarkEnd w:id="101"/>
      <w:bookmarkEnd w:id="102"/>
    </w:p>
    <w:p>
      <w:pPr>
        <w:spacing w:line="360" w:lineRule="auto"/>
        <w:ind w:firstLine="442" w:firstLineChars="200"/>
        <w:rPr>
          <w:rFonts w:ascii="宋体" w:hAnsi="宋体" w:eastAsia="宋体" w:cs="宋体"/>
          <w:color w:val="000000" w:themeColor="text1"/>
          <w:szCs w:val="21"/>
        </w:rPr>
      </w:pPr>
      <w:r>
        <w:rPr>
          <w:rFonts w:hint="eastAsia" w:ascii="宋体" w:hAnsi="宋体" w:eastAsia="宋体" w:cs="宋体"/>
          <w:color w:val="000000" w:themeColor="text1"/>
          <w:szCs w:val="21"/>
        </w:rPr>
        <w:t>1.1净化区域内原有建筑的拆除，以及墙体的新建工程</w:t>
      </w:r>
    </w:p>
    <w:p>
      <w:pPr>
        <w:spacing w:line="360" w:lineRule="auto"/>
        <w:ind w:firstLine="442" w:firstLineChars="200"/>
        <w:rPr>
          <w:rFonts w:ascii="宋体" w:hAnsi="宋体" w:eastAsia="宋体" w:cs="宋体"/>
          <w:color w:val="000000" w:themeColor="text1"/>
          <w:szCs w:val="21"/>
        </w:rPr>
      </w:pPr>
      <w:r>
        <w:rPr>
          <w:rFonts w:hint="eastAsia" w:ascii="宋体" w:hAnsi="宋体" w:eastAsia="宋体" w:cs="宋体"/>
          <w:color w:val="000000" w:themeColor="text1"/>
          <w:szCs w:val="21"/>
        </w:rPr>
        <w:t>1.2区域范围内顶面的新建工程；</w:t>
      </w:r>
    </w:p>
    <w:p>
      <w:pPr>
        <w:spacing w:line="360" w:lineRule="auto"/>
        <w:ind w:firstLine="442" w:firstLineChars="200"/>
        <w:rPr>
          <w:rFonts w:ascii="宋体" w:hAnsi="宋体" w:eastAsia="宋体" w:cs="宋体"/>
          <w:szCs w:val="21"/>
        </w:rPr>
      </w:pPr>
      <w:r>
        <w:rPr>
          <w:rFonts w:hint="eastAsia" w:ascii="宋体" w:hAnsi="宋体" w:eastAsia="宋体" w:cs="宋体"/>
          <w:szCs w:val="21"/>
        </w:rPr>
        <w:t>1.3地面的新建及部分修补工程；</w:t>
      </w:r>
    </w:p>
    <w:p>
      <w:pPr>
        <w:spacing w:line="360" w:lineRule="auto"/>
        <w:ind w:firstLine="442" w:firstLineChars="200"/>
        <w:rPr>
          <w:rFonts w:ascii="宋体" w:hAnsi="宋体" w:eastAsia="宋体" w:cs="宋体"/>
          <w:szCs w:val="21"/>
        </w:rPr>
      </w:pPr>
      <w:r>
        <w:rPr>
          <w:rFonts w:hint="eastAsia" w:ascii="宋体" w:hAnsi="宋体" w:eastAsia="宋体" w:cs="宋体"/>
          <w:szCs w:val="21"/>
        </w:rPr>
        <w:t>1.4门窗的新建工作，消防门窗除外；</w:t>
      </w:r>
      <w:bookmarkStart w:id="103" w:name="_Toc27400"/>
      <w:bookmarkStart w:id="104" w:name="_Toc454321789"/>
    </w:p>
    <w:p>
      <w:pPr>
        <w:spacing w:line="360" w:lineRule="auto"/>
        <w:ind w:firstLine="442" w:firstLineChars="200"/>
        <w:rPr>
          <w:rFonts w:ascii="宋体" w:hAnsi="宋体" w:eastAsia="宋体" w:cs="宋体"/>
          <w:szCs w:val="21"/>
        </w:rPr>
      </w:pPr>
      <w:r>
        <w:rPr>
          <w:rFonts w:hint="eastAsia" w:ascii="宋体" w:hAnsi="宋体" w:eastAsia="宋体" w:cs="宋体"/>
          <w:szCs w:val="21"/>
        </w:rPr>
        <w:t>1.5 外窗护栏（如有）的新建与拆除。</w:t>
      </w:r>
    </w:p>
    <w:bookmarkEnd w:id="103"/>
    <w:bookmarkEnd w:id="104"/>
    <w:p>
      <w:pPr>
        <w:spacing w:line="360" w:lineRule="auto"/>
        <w:ind w:firstLine="442" w:firstLineChars="200"/>
        <w:rPr>
          <w:rFonts w:ascii="宋体" w:hAnsi="宋体" w:eastAsia="宋体" w:cs="宋体"/>
          <w:szCs w:val="21"/>
        </w:rPr>
      </w:pPr>
      <w:bookmarkStart w:id="105" w:name="_Toc3603"/>
      <w:bookmarkStart w:id="106" w:name="_Toc454321790"/>
      <w:bookmarkStart w:id="107" w:name="_Toc20996"/>
      <w:r>
        <w:rPr>
          <w:rFonts w:hint="eastAsia" w:ascii="宋体" w:hAnsi="宋体" w:eastAsia="宋体" w:cs="宋体"/>
          <w:szCs w:val="21"/>
        </w:rPr>
        <w:t>2、暖通工程</w:t>
      </w:r>
      <w:bookmarkEnd w:id="105"/>
      <w:bookmarkEnd w:id="106"/>
      <w:bookmarkEnd w:id="107"/>
    </w:p>
    <w:p>
      <w:pPr>
        <w:spacing w:line="360" w:lineRule="auto"/>
        <w:ind w:firstLine="442" w:firstLineChars="200"/>
        <w:rPr>
          <w:rFonts w:ascii="宋体" w:hAnsi="宋体" w:eastAsia="宋体" w:cs="宋体"/>
          <w:szCs w:val="21"/>
        </w:rPr>
      </w:pPr>
      <w:r>
        <w:rPr>
          <w:rFonts w:hint="eastAsia" w:ascii="宋体" w:hAnsi="宋体" w:eastAsia="宋体" w:cs="宋体"/>
          <w:szCs w:val="21"/>
        </w:rPr>
        <w:t>2.1实验室区域内暖通净化系统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2.2实验室区域内排风系统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2.3实验室区域内新风工系统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2.4实验室区域内控制系统；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2.5实验室区域内的冷却水系统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2.6屋面室外冷热源系统以及尾气处理系统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2.7风管井、水管井由土建单位处理</w:t>
      </w:r>
    </w:p>
    <w:p>
      <w:pPr>
        <w:spacing w:line="360" w:lineRule="auto"/>
        <w:ind w:firstLine="442" w:firstLineChars="200"/>
        <w:rPr>
          <w:rFonts w:ascii="宋体" w:hAnsi="宋体" w:eastAsia="宋体" w:cs="宋体"/>
          <w:szCs w:val="21"/>
        </w:rPr>
      </w:pPr>
      <w:bookmarkStart w:id="108" w:name="_Toc10673"/>
      <w:bookmarkStart w:id="109" w:name="_Toc454321791"/>
      <w:bookmarkStart w:id="110" w:name="_Toc19579"/>
      <w:r>
        <w:rPr>
          <w:rFonts w:hint="eastAsia" w:ascii="宋体" w:hAnsi="宋体" w:eastAsia="宋体" w:cs="宋体"/>
          <w:szCs w:val="21"/>
        </w:rPr>
        <w:t>3、电气工程</w:t>
      </w:r>
      <w:bookmarkEnd w:id="108"/>
      <w:bookmarkEnd w:id="109"/>
      <w:bookmarkEnd w:id="110"/>
    </w:p>
    <w:p>
      <w:pPr>
        <w:spacing w:line="360" w:lineRule="auto"/>
        <w:ind w:firstLine="442" w:firstLineChars="200"/>
        <w:rPr>
          <w:rFonts w:ascii="宋体" w:hAnsi="宋体" w:eastAsia="宋体" w:cs="宋体"/>
          <w:szCs w:val="21"/>
        </w:rPr>
      </w:pPr>
      <w:r>
        <w:rPr>
          <w:rFonts w:hint="eastAsia" w:ascii="宋体" w:hAnsi="宋体" w:eastAsia="宋体" w:cs="宋体"/>
          <w:szCs w:val="21"/>
        </w:rPr>
        <w:t>3.1强电系统：实验室区域分箱由实验室单位提供，进线电缆由业主提供。</w:t>
      </w:r>
    </w:p>
    <w:p>
      <w:pPr>
        <w:spacing w:line="360" w:lineRule="auto"/>
        <w:ind w:firstLine="442" w:firstLineChars="200"/>
        <w:rPr>
          <w:rFonts w:ascii="宋体" w:hAnsi="宋体" w:eastAsia="宋体" w:cs="宋体"/>
          <w:szCs w:val="21"/>
        </w:rPr>
      </w:pPr>
      <w:r>
        <w:rPr>
          <w:rFonts w:hint="eastAsia" w:ascii="宋体" w:hAnsi="宋体" w:eastAsia="宋体" w:cs="宋体"/>
          <w:szCs w:val="21"/>
        </w:rPr>
        <w:t>3.2网络电话系统：实验室范围内的网络、监控、门禁由实验室单位设计施工。</w:t>
      </w:r>
    </w:p>
    <w:p>
      <w:pPr>
        <w:spacing w:line="360" w:lineRule="auto"/>
        <w:ind w:firstLine="442" w:firstLineChars="200"/>
        <w:rPr>
          <w:rFonts w:ascii="宋体" w:hAnsi="宋体" w:eastAsia="宋体" w:cs="宋体"/>
          <w:szCs w:val="21"/>
        </w:rPr>
      </w:pPr>
      <w:bookmarkStart w:id="111" w:name="_Toc17188"/>
      <w:bookmarkStart w:id="112" w:name="_Toc454321792"/>
      <w:bookmarkStart w:id="113" w:name="_Toc10566"/>
      <w:r>
        <w:rPr>
          <w:rFonts w:hint="eastAsia" w:ascii="宋体" w:hAnsi="宋体" w:eastAsia="宋体" w:cs="宋体"/>
          <w:szCs w:val="21"/>
        </w:rPr>
        <w:t>4、给排水、纯水系统工程</w:t>
      </w:r>
      <w:bookmarkEnd w:id="111"/>
      <w:bookmarkEnd w:id="112"/>
      <w:bookmarkEnd w:id="113"/>
    </w:p>
    <w:p>
      <w:pPr>
        <w:spacing w:line="360" w:lineRule="auto"/>
        <w:ind w:firstLine="442" w:firstLineChars="200"/>
        <w:rPr>
          <w:rFonts w:ascii="宋体" w:hAnsi="宋体" w:eastAsia="宋体" w:cs="宋体"/>
          <w:szCs w:val="21"/>
        </w:rPr>
      </w:pPr>
      <w:r>
        <w:rPr>
          <w:rFonts w:hint="eastAsia" w:ascii="宋体" w:hAnsi="宋体" w:eastAsia="宋体" w:cs="宋体"/>
          <w:szCs w:val="21"/>
        </w:rPr>
        <w:t>4.1实验室区域内的给水系统；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4.2实验室区域内的排水系统；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4.3校区有污水处理。实验室单位做管道对接即可。</w:t>
      </w:r>
    </w:p>
    <w:p>
      <w:pPr>
        <w:spacing w:line="360" w:lineRule="auto"/>
        <w:ind w:firstLine="442" w:firstLineChars="200"/>
        <w:rPr>
          <w:rFonts w:ascii="宋体" w:hAnsi="宋体" w:eastAsia="宋体" w:cs="宋体"/>
          <w:szCs w:val="21"/>
        </w:rPr>
      </w:pPr>
      <w:r>
        <w:rPr>
          <w:rFonts w:hint="eastAsia" w:ascii="宋体" w:hAnsi="宋体" w:eastAsia="宋体" w:cs="宋体"/>
          <w:szCs w:val="21"/>
        </w:rPr>
        <w:t>4.4实验室区域内的纯水系统；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4.5实验室单位需要考虑区域内配套设备（净化空调、实验室设备、纯水系统等）产生的给排水系统，排水接至卫生间排水立管。给谁管路接自卫生间给水总管。</w:t>
      </w:r>
    </w:p>
    <w:p>
      <w:pPr>
        <w:spacing w:line="360" w:lineRule="auto"/>
        <w:ind w:firstLine="442" w:firstLineChars="200"/>
        <w:rPr>
          <w:rFonts w:ascii="宋体" w:hAnsi="宋体" w:eastAsia="宋体" w:cs="宋体"/>
          <w:szCs w:val="21"/>
        </w:rPr>
      </w:pPr>
      <w:bookmarkStart w:id="114" w:name="_Toc21168"/>
      <w:r>
        <w:rPr>
          <w:rFonts w:hint="eastAsia" w:ascii="宋体" w:hAnsi="宋体" w:eastAsia="宋体" w:cs="宋体"/>
          <w:szCs w:val="21"/>
        </w:rPr>
        <w:t>5、自控工程</w:t>
      </w:r>
      <w:bookmarkEnd w:id="114"/>
    </w:p>
    <w:p>
      <w:pPr>
        <w:spacing w:line="360" w:lineRule="auto"/>
        <w:ind w:firstLine="442" w:firstLineChars="200"/>
        <w:rPr>
          <w:rFonts w:ascii="宋体" w:hAnsi="宋体" w:eastAsia="宋体" w:cs="宋体"/>
          <w:szCs w:val="21"/>
        </w:rPr>
      </w:pPr>
      <w:r>
        <w:rPr>
          <w:rFonts w:hint="eastAsia" w:ascii="宋体" w:hAnsi="宋体" w:eastAsia="宋体" w:cs="宋体"/>
          <w:szCs w:val="21"/>
        </w:rPr>
        <w:t>5.1空调系统配套自控</w:t>
      </w:r>
    </w:p>
    <w:p>
      <w:pPr>
        <w:spacing w:line="360" w:lineRule="auto"/>
        <w:ind w:firstLine="442" w:firstLineChars="200"/>
        <w:rPr>
          <w:rFonts w:ascii="宋体" w:hAnsi="宋体" w:eastAsia="宋体" w:cs="宋体"/>
          <w:szCs w:val="21"/>
        </w:rPr>
      </w:pPr>
      <w:r>
        <w:rPr>
          <w:rFonts w:hint="eastAsia" w:ascii="宋体" w:hAnsi="宋体" w:eastAsia="宋体" w:cs="宋体"/>
          <w:szCs w:val="21"/>
        </w:rPr>
        <w:t>5.2纯水系统配套自控</w:t>
      </w:r>
    </w:p>
    <w:p>
      <w:pPr>
        <w:spacing w:line="360" w:lineRule="auto"/>
        <w:ind w:firstLine="442" w:firstLineChars="200"/>
        <w:rPr>
          <w:rFonts w:ascii="宋体" w:hAnsi="宋体" w:eastAsia="宋体" w:cs="宋体"/>
          <w:szCs w:val="21"/>
        </w:rPr>
      </w:pPr>
      <w:r>
        <w:rPr>
          <w:rFonts w:hint="eastAsia" w:ascii="宋体" w:hAnsi="宋体" w:eastAsia="宋体" w:cs="宋体"/>
          <w:szCs w:val="21"/>
        </w:rPr>
        <w:t>5.3其他实验室区域通风自控等</w:t>
      </w:r>
    </w:p>
    <w:p>
      <w:pPr>
        <w:spacing w:line="360" w:lineRule="auto"/>
        <w:ind w:firstLine="442" w:firstLineChars="200"/>
        <w:rPr>
          <w:rFonts w:ascii="宋体" w:hAnsi="宋体" w:eastAsia="宋体" w:cs="宋体"/>
          <w:szCs w:val="21"/>
        </w:rPr>
      </w:pPr>
      <w:bookmarkStart w:id="115" w:name="_Toc6246"/>
      <w:r>
        <w:rPr>
          <w:rFonts w:hint="eastAsia" w:ascii="宋体" w:hAnsi="宋体" w:eastAsia="宋体" w:cs="宋体"/>
          <w:szCs w:val="21"/>
        </w:rPr>
        <w:t>6、特气工程</w:t>
      </w:r>
      <w:bookmarkEnd w:id="115"/>
    </w:p>
    <w:p>
      <w:pPr>
        <w:spacing w:line="360" w:lineRule="auto"/>
        <w:ind w:firstLine="442" w:firstLineChars="200"/>
        <w:rPr>
          <w:rFonts w:ascii="宋体" w:hAnsi="宋体" w:eastAsia="宋体" w:cs="宋体"/>
          <w:szCs w:val="21"/>
        </w:rPr>
      </w:pPr>
      <w:bookmarkStart w:id="116" w:name="_Toc15715"/>
      <w:r>
        <w:rPr>
          <w:rFonts w:hint="eastAsia" w:ascii="宋体" w:hAnsi="宋体" w:eastAsia="宋体" w:cs="宋体"/>
          <w:szCs w:val="21"/>
        </w:rPr>
        <w:t>7、空压工程</w:t>
      </w:r>
      <w:bookmarkEnd w:id="116"/>
    </w:p>
    <w:p>
      <w:pPr>
        <w:pStyle w:val="4"/>
      </w:pPr>
      <w:bookmarkStart w:id="117" w:name="_Toc12927"/>
      <w:bookmarkStart w:id="118" w:name="_Toc454062976"/>
      <w:bookmarkStart w:id="119" w:name="_Toc11732"/>
      <w:bookmarkStart w:id="120" w:name="_Toc454321801"/>
      <w:r>
        <w:rPr>
          <w:rFonts w:hint="eastAsia"/>
        </w:rPr>
        <w:t>六、</w:t>
      </w:r>
      <w:r>
        <w:rPr>
          <w:rFonts w:hint="eastAsia" w:cs="宋体"/>
        </w:rPr>
        <w:t>工程技术规范</w:t>
      </w:r>
      <w:bookmarkEnd w:id="117"/>
    </w:p>
    <w:p>
      <w:pPr>
        <w:pStyle w:val="5"/>
        <w:ind w:firstLine="444"/>
      </w:pPr>
      <w:bookmarkStart w:id="121" w:name="_Toc19297"/>
      <w:bookmarkStart w:id="122" w:name="_Toc14681"/>
      <w:bookmarkStart w:id="123" w:name="_Toc24764"/>
      <w:bookmarkStart w:id="124" w:name="_Toc5025"/>
      <w:r>
        <w:rPr>
          <w:rFonts w:hint="eastAsia"/>
        </w:rPr>
        <w:t>（一）</w:t>
      </w:r>
      <w:bookmarkEnd w:id="121"/>
      <w:bookmarkEnd w:id="122"/>
      <w:bookmarkEnd w:id="123"/>
      <w:r>
        <w:rPr>
          <w:rFonts w:hint="eastAsia"/>
        </w:rPr>
        <w:t>装饰装修工程</w:t>
      </w:r>
      <w:bookmarkEnd w:id="124"/>
    </w:p>
    <w:p>
      <w:pPr>
        <w:spacing w:line="360" w:lineRule="auto"/>
        <w:ind w:firstLine="442" w:firstLineChars="200"/>
        <w:rPr>
          <w:rFonts w:ascii="宋体" w:hAnsi="宋体" w:eastAsia="宋体" w:cs="宋体"/>
          <w:szCs w:val="21"/>
        </w:rPr>
      </w:pPr>
      <w:bookmarkStart w:id="125" w:name="_Toc10441"/>
      <w:r>
        <w:rPr>
          <w:rFonts w:hint="eastAsia" w:ascii="宋体" w:hAnsi="宋体" w:eastAsia="宋体" w:cs="宋体"/>
          <w:szCs w:val="21"/>
        </w:rPr>
        <w:t>1、系统描述：</w:t>
      </w:r>
      <w:bookmarkEnd w:id="125"/>
    </w:p>
    <w:p>
      <w:pPr>
        <w:spacing w:line="360" w:lineRule="auto"/>
        <w:ind w:firstLine="442" w:firstLineChars="200"/>
        <w:rPr>
          <w:rFonts w:ascii="宋体" w:hAnsi="宋体" w:eastAsia="宋体" w:cs="宋体"/>
          <w:szCs w:val="21"/>
        </w:rPr>
      </w:pPr>
      <w:r>
        <w:rPr>
          <w:rFonts w:hint="eastAsia" w:ascii="宋体" w:hAnsi="宋体" w:eastAsia="宋体" w:cs="宋体"/>
          <w:szCs w:val="21"/>
        </w:rPr>
        <w:t>1.1.实验室维护结构是实现实验室空间技术要求的基础，不同功能间采用不同的材质进行维护、对于不同技术要求的实验室系统维护结构有所区别。</w:t>
      </w:r>
    </w:p>
    <w:p>
      <w:pPr>
        <w:spacing w:line="360" w:lineRule="auto"/>
        <w:ind w:firstLine="442" w:firstLineChars="200"/>
        <w:rPr>
          <w:rFonts w:ascii="宋体" w:hAnsi="宋体" w:eastAsia="宋体" w:cs="宋体"/>
          <w:szCs w:val="21"/>
        </w:rPr>
      </w:pPr>
      <w:r>
        <w:rPr>
          <w:rFonts w:hint="eastAsia" w:ascii="宋体" w:hAnsi="宋体" w:eastAsia="宋体" w:cs="宋体"/>
          <w:szCs w:val="21"/>
        </w:rPr>
        <w:t>1.2. 实验室系统维护结构涉及的范围包括实验室系统、实验室辅助系统的顶面、墙面、地面部分维护结构。是实验室实验功能实现的最基本要求。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1.3 安全性：安全是实验室的的重中之重，首先，实验室维护结构产品的选择必须满足消防防火要求，避免人员、财产损失。其次，维护结构需满足环保要求，避免对人员健康造成影响。同时维护结构还需满足稳定、简洁、方便、美观等要求，满足实验室基本建设需求。</w:t>
      </w:r>
    </w:p>
    <w:p>
      <w:pPr>
        <w:spacing w:line="360" w:lineRule="auto"/>
        <w:ind w:firstLine="442" w:firstLineChars="200"/>
        <w:rPr>
          <w:rFonts w:ascii="宋体" w:hAnsi="宋体" w:eastAsia="宋体" w:cs="宋体"/>
          <w:szCs w:val="21"/>
        </w:rPr>
      </w:pPr>
      <w:bookmarkStart w:id="126" w:name="_Toc535919894"/>
      <w:bookmarkStart w:id="127" w:name="_Toc526769660"/>
      <w:bookmarkStart w:id="128" w:name="_Toc14722"/>
      <w:bookmarkStart w:id="129" w:name="_Toc18401"/>
      <w:bookmarkStart w:id="130" w:name="_Toc4413"/>
      <w:r>
        <w:rPr>
          <w:rFonts w:hint="eastAsia" w:ascii="宋体" w:hAnsi="宋体" w:eastAsia="宋体" w:cs="宋体"/>
          <w:szCs w:val="21"/>
        </w:rPr>
        <w:t>1.4统一完整性：所提供的维护结构产品必须为目前著名品牌产品，且尽量采用统一品牌同一系列产品。</w:t>
      </w:r>
    </w:p>
    <w:p>
      <w:pPr>
        <w:spacing w:line="360" w:lineRule="auto"/>
        <w:ind w:firstLine="442" w:firstLineChars="200"/>
        <w:rPr>
          <w:rFonts w:ascii="宋体" w:hAnsi="宋体" w:eastAsia="宋体" w:cs="宋体"/>
          <w:szCs w:val="21"/>
        </w:rPr>
      </w:pPr>
      <w:r>
        <w:rPr>
          <w:rFonts w:hint="eastAsia" w:ascii="宋体" w:hAnsi="宋体" w:eastAsia="宋体" w:cs="宋体"/>
          <w:szCs w:val="21"/>
        </w:rPr>
        <w:t>1.5灵活性：维护结构的选择应采用灵活性结构，保证实验室后期能够根据需求调整。</w:t>
      </w:r>
    </w:p>
    <w:p>
      <w:pPr>
        <w:spacing w:line="360" w:lineRule="auto"/>
        <w:ind w:firstLine="442" w:firstLineChars="200"/>
        <w:rPr>
          <w:rFonts w:ascii="宋体" w:hAnsi="宋体" w:eastAsia="宋体" w:cs="宋体"/>
          <w:szCs w:val="21"/>
        </w:rPr>
      </w:pPr>
      <w:r>
        <w:rPr>
          <w:rFonts w:hint="eastAsia" w:ascii="宋体" w:hAnsi="宋体" w:eastAsia="宋体" w:cs="宋体"/>
          <w:szCs w:val="21"/>
        </w:rPr>
        <w:t>1.6实用性：维护结构本身以满足实验需求为目的，整体流程使用以满足优化实验室操作性能为基本要求。</w:t>
      </w:r>
    </w:p>
    <w:p>
      <w:pPr>
        <w:spacing w:line="360" w:lineRule="auto"/>
        <w:ind w:firstLine="442" w:firstLineChars="200"/>
        <w:rPr>
          <w:rFonts w:ascii="宋体" w:hAnsi="宋体" w:eastAsia="宋体" w:cs="宋体"/>
          <w:szCs w:val="21"/>
        </w:rPr>
      </w:pPr>
      <w:bookmarkStart w:id="131" w:name="_Toc4566"/>
      <w:r>
        <w:rPr>
          <w:rFonts w:hint="eastAsia" w:ascii="宋体" w:hAnsi="宋体" w:eastAsia="宋体" w:cs="宋体"/>
          <w:szCs w:val="21"/>
        </w:rPr>
        <w:t>2、整体要求：</w:t>
      </w:r>
      <w:bookmarkEnd w:id="131"/>
    </w:p>
    <w:p>
      <w:pPr>
        <w:spacing w:line="360" w:lineRule="auto"/>
        <w:ind w:firstLine="442" w:firstLineChars="200"/>
        <w:rPr>
          <w:rFonts w:ascii="宋体" w:hAnsi="宋体" w:eastAsia="宋体" w:cs="宋体"/>
          <w:szCs w:val="21"/>
        </w:rPr>
      </w:pPr>
      <w:r>
        <w:rPr>
          <w:rFonts w:hint="eastAsia" w:ascii="宋体" w:hAnsi="宋体" w:eastAsia="宋体" w:cs="宋体"/>
          <w:szCs w:val="21"/>
        </w:rPr>
        <w:t>2.1实验室净高2.6米及以上。</w:t>
      </w:r>
    </w:p>
    <w:p>
      <w:pPr>
        <w:spacing w:line="360" w:lineRule="auto"/>
        <w:ind w:firstLine="442" w:firstLineChars="200"/>
        <w:rPr>
          <w:rFonts w:ascii="宋体" w:hAnsi="宋体" w:eastAsia="宋体" w:cs="宋体"/>
          <w:szCs w:val="21"/>
        </w:rPr>
      </w:pPr>
      <w:r>
        <w:rPr>
          <w:rFonts w:hint="eastAsia" w:ascii="宋体" w:hAnsi="宋体" w:eastAsia="宋体" w:cs="宋体"/>
          <w:szCs w:val="21"/>
        </w:rPr>
        <w:t>2.2技术夹层风管、工艺管道、电线管的安装应在吊顶彩钢板上，主风管建议安装在吊顶往上的区域，电线管建议安装在吊顶上方区域，不能妨碍人员通过和彩钢板吊顶上表面的清扫。</w:t>
      </w:r>
    </w:p>
    <w:p>
      <w:pPr>
        <w:spacing w:line="360" w:lineRule="auto"/>
        <w:ind w:firstLine="442" w:firstLineChars="200"/>
        <w:rPr>
          <w:rFonts w:ascii="宋体" w:hAnsi="宋体" w:eastAsia="宋体" w:cs="宋体"/>
          <w:szCs w:val="21"/>
        </w:rPr>
      </w:pPr>
      <w:r>
        <w:rPr>
          <w:rFonts w:hint="eastAsia" w:ascii="宋体" w:hAnsi="宋体" w:eastAsia="宋体" w:cs="宋体"/>
          <w:szCs w:val="21"/>
        </w:rPr>
        <w:t>2.3满足生产要求，防止产品生产污染、交叉污染以及混淆、差错的风险。</w:t>
      </w:r>
    </w:p>
    <w:p>
      <w:pPr>
        <w:spacing w:line="360" w:lineRule="auto"/>
        <w:ind w:firstLine="442" w:firstLineChars="200"/>
        <w:rPr>
          <w:rFonts w:ascii="宋体" w:hAnsi="宋体" w:eastAsia="宋体" w:cs="宋体"/>
          <w:szCs w:val="21"/>
        </w:rPr>
      </w:pPr>
      <w:r>
        <w:rPr>
          <w:rFonts w:hint="eastAsia" w:ascii="宋体" w:hAnsi="宋体" w:eastAsia="宋体" w:cs="宋体"/>
          <w:szCs w:val="21"/>
        </w:rPr>
        <w:t>2.4用于洁净室的组件和材料应该平整光滑、无裂缝、接口严密、无颗粒物脱落，并能耐受清洗和消毒。</w:t>
      </w:r>
    </w:p>
    <w:p>
      <w:pPr>
        <w:spacing w:line="360" w:lineRule="auto"/>
        <w:ind w:firstLine="442" w:firstLineChars="200"/>
        <w:rPr>
          <w:rFonts w:ascii="宋体" w:hAnsi="宋体" w:eastAsia="宋体" w:cs="宋体"/>
          <w:szCs w:val="21"/>
        </w:rPr>
      </w:pPr>
      <w:bookmarkStart w:id="132" w:name="_Toc9877"/>
      <w:r>
        <w:rPr>
          <w:rFonts w:hint="eastAsia" w:ascii="宋体" w:hAnsi="宋体" w:eastAsia="宋体" w:cs="宋体"/>
          <w:szCs w:val="21"/>
        </w:rPr>
        <w:t>3、墙面的新建工程</w:t>
      </w:r>
      <w:bookmarkEnd w:id="126"/>
      <w:bookmarkEnd w:id="127"/>
      <w:bookmarkEnd w:id="132"/>
    </w:p>
    <w:p>
      <w:pPr>
        <w:spacing w:line="360" w:lineRule="auto"/>
        <w:ind w:firstLine="442" w:firstLineChars="200"/>
        <w:rPr>
          <w:rFonts w:ascii="宋体" w:hAnsi="宋体" w:eastAsia="宋体" w:cs="宋体"/>
          <w:szCs w:val="21"/>
        </w:rPr>
      </w:pPr>
      <w:r>
        <w:rPr>
          <w:rFonts w:hint="eastAsia" w:ascii="宋体" w:hAnsi="宋体" w:eastAsia="宋体" w:cs="宋体"/>
          <w:szCs w:val="21"/>
        </w:rPr>
        <w:t>3.1实验室区域内新建墙面采用50mm手工金属面双面玻镁岩棉夹芯彩钢板（单/双面防静电喷涂），彩钢板四边以镀锌钢板内衬封闭，板框材料厚度不小于0.5mm；彩钢板材质为镀锌冷轧钢板，厚度≥0.5mm；彩钢板颜色中标后具体沟通；</w:t>
      </w:r>
    </w:p>
    <w:p>
      <w:pPr>
        <w:spacing w:line="360" w:lineRule="auto"/>
        <w:ind w:firstLine="442" w:firstLineChars="200"/>
        <w:rPr>
          <w:rFonts w:ascii="宋体" w:hAnsi="宋体" w:eastAsia="宋体" w:cs="宋体"/>
          <w:szCs w:val="21"/>
        </w:rPr>
      </w:pPr>
      <w:r>
        <w:rPr>
          <w:rFonts w:hint="eastAsia" w:ascii="宋体" w:hAnsi="宋体" w:eastAsia="宋体" w:cs="宋体"/>
          <w:szCs w:val="21"/>
        </w:rPr>
        <w:t>3.2彩钢夹芯板于出厂前须于烤漆彩钢板表面贴PE保护膜，以防污损烤漆钢板表面；彩钢夹芯板需具有保温、消音、防潮、平整、光滑、不产尘、防火1h以上等特点；</w:t>
      </w:r>
    </w:p>
    <w:p>
      <w:pPr>
        <w:spacing w:line="360" w:lineRule="auto"/>
        <w:ind w:firstLine="442" w:firstLineChars="200"/>
        <w:rPr>
          <w:rFonts w:ascii="宋体" w:hAnsi="宋体" w:eastAsia="宋体" w:cs="宋体"/>
          <w:szCs w:val="21"/>
        </w:rPr>
      </w:pPr>
      <w:r>
        <w:rPr>
          <w:rFonts w:hint="eastAsia" w:ascii="宋体" w:hAnsi="宋体" w:eastAsia="宋体" w:cs="宋体"/>
          <w:szCs w:val="21"/>
        </w:rPr>
        <w:t>3.3彩钢板的整体强度要好，芯材不能外露，安装后不扭曲，不变形。作为顶棚的手工板应吊装牢固，能满足检修人员的行走强度，整体装配后的彩钢板洁净室送风时不得有变形；彩钢夹芯板采用中置型连接，板缝及开孔处全部采用密封硅胶填实，确保洁净室的气密性，不漏风，不易受外界污染；</w:t>
      </w:r>
    </w:p>
    <w:p>
      <w:pPr>
        <w:spacing w:line="360" w:lineRule="auto"/>
        <w:ind w:firstLine="442" w:firstLineChars="200"/>
        <w:rPr>
          <w:rFonts w:ascii="宋体" w:hAnsi="宋体" w:eastAsia="宋体" w:cs="宋体"/>
          <w:szCs w:val="21"/>
        </w:rPr>
      </w:pPr>
      <w:r>
        <w:rPr>
          <w:rFonts w:hint="eastAsia" w:ascii="宋体" w:hAnsi="宋体" w:eastAsia="宋体" w:cs="宋体"/>
          <w:szCs w:val="21"/>
        </w:rPr>
        <w:t>★3.4彩钢板满足1h耐火极限检测报告，需提供耐火性能检测报告复印件加盖厂家鲜章。</w:t>
      </w:r>
    </w:p>
    <w:p>
      <w:pPr>
        <w:spacing w:line="360" w:lineRule="auto"/>
        <w:ind w:firstLine="442" w:firstLineChars="200"/>
        <w:rPr>
          <w:rFonts w:ascii="宋体" w:hAnsi="宋体" w:eastAsia="宋体" w:cs="宋体"/>
          <w:szCs w:val="21"/>
        </w:rPr>
      </w:pPr>
      <w:r>
        <w:rPr>
          <w:rFonts w:hint="eastAsia" w:ascii="宋体" w:hAnsi="宋体" w:eastAsia="宋体" w:cs="宋体"/>
          <w:szCs w:val="21"/>
        </w:rPr>
        <w:t>3.5彩钢板辅材要求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彩钢夹芯板与地面连接采用调节马槽铝与地面固定；</w:t>
      </w:r>
    </w:p>
    <w:p>
      <w:pPr>
        <w:spacing w:line="360" w:lineRule="auto"/>
        <w:ind w:firstLine="442" w:firstLineChars="200"/>
        <w:rPr>
          <w:rFonts w:ascii="宋体" w:hAnsi="宋体" w:eastAsia="宋体" w:cs="宋体"/>
          <w:szCs w:val="21"/>
        </w:rPr>
      </w:pPr>
      <w:r>
        <w:rPr>
          <w:rFonts w:hint="eastAsia" w:ascii="宋体" w:hAnsi="宋体" w:eastAsia="宋体" w:cs="宋体"/>
          <w:szCs w:val="21"/>
        </w:rPr>
        <w:t>顶棚板与隔断立板连接处、隔断立板间转角及与地面连接处全部采用净化专用R50内圆弧铝型材修饰，不留死角；</w:t>
      </w:r>
    </w:p>
    <w:p>
      <w:pPr>
        <w:spacing w:line="360" w:lineRule="auto"/>
        <w:ind w:firstLine="442" w:firstLineChars="200"/>
        <w:rPr>
          <w:rFonts w:ascii="宋体" w:hAnsi="宋体" w:eastAsia="宋体" w:cs="宋体"/>
          <w:szCs w:val="21"/>
        </w:rPr>
      </w:pPr>
      <w:r>
        <w:rPr>
          <w:rFonts w:hint="eastAsia" w:ascii="宋体" w:hAnsi="宋体" w:eastAsia="宋体" w:cs="宋体"/>
          <w:szCs w:val="21"/>
        </w:rPr>
        <w:t>接角处装内三通，所有外角采用铝合金型材外圆柱包裹，与内圆弧相接处装外三通，内圆弧逢门断头处装门封头；</w:t>
      </w:r>
    </w:p>
    <w:p>
      <w:pPr>
        <w:spacing w:line="360" w:lineRule="auto"/>
        <w:ind w:firstLine="442" w:firstLineChars="200"/>
        <w:rPr>
          <w:rFonts w:ascii="宋体" w:hAnsi="宋体" w:eastAsia="宋体" w:cs="宋体"/>
          <w:szCs w:val="21"/>
        </w:rPr>
      </w:pPr>
      <w:r>
        <w:rPr>
          <w:rFonts w:hint="eastAsia" w:ascii="宋体" w:hAnsi="宋体" w:eastAsia="宋体" w:cs="宋体"/>
          <w:szCs w:val="21"/>
        </w:rPr>
        <w:t>铝合金型材采用电泳或喷塑铝材；</w:t>
      </w:r>
    </w:p>
    <w:p>
      <w:pPr>
        <w:spacing w:line="360" w:lineRule="auto"/>
        <w:ind w:firstLine="442" w:firstLineChars="200"/>
        <w:rPr>
          <w:rFonts w:ascii="宋体" w:hAnsi="宋体" w:eastAsia="宋体" w:cs="宋体"/>
          <w:szCs w:val="21"/>
        </w:rPr>
      </w:pPr>
      <w:bookmarkStart w:id="133" w:name="_Toc526769661"/>
      <w:bookmarkStart w:id="134" w:name="_Toc535919895"/>
      <w:bookmarkStart w:id="135" w:name="_Toc23639"/>
      <w:r>
        <w:rPr>
          <w:rFonts w:hint="eastAsia" w:ascii="宋体" w:hAnsi="宋体" w:eastAsia="宋体" w:cs="宋体"/>
          <w:szCs w:val="21"/>
        </w:rPr>
        <w:t>4、顶面的新建工程；</w:t>
      </w:r>
      <w:bookmarkEnd w:id="133"/>
      <w:bookmarkEnd w:id="134"/>
      <w:bookmarkEnd w:id="135"/>
    </w:p>
    <w:p>
      <w:pPr>
        <w:spacing w:line="360" w:lineRule="auto"/>
        <w:ind w:firstLine="442" w:firstLineChars="200"/>
        <w:rPr>
          <w:rFonts w:ascii="宋体" w:hAnsi="宋体" w:eastAsia="宋体" w:cs="宋体"/>
          <w:szCs w:val="21"/>
        </w:rPr>
      </w:pPr>
      <w:r>
        <w:rPr>
          <w:rFonts w:hint="eastAsia" w:ascii="宋体" w:hAnsi="宋体" w:eastAsia="宋体" w:cs="宋体"/>
          <w:szCs w:val="21"/>
        </w:rPr>
        <w:t>4.1实验室区域采用50mm手工金属面双面玻镁岩棉夹芯彩钢板（单面防静电喷涂），彩钢板四边以镀锌钢板内衬封闭，板框材料厚度不小于0.5mm；彩钢板材质为镀锌冷轧钢板，厚度≥0.5mm；彩钢板颜色中标后具体沟通；</w:t>
      </w:r>
    </w:p>
    <w:p>
      <w:pPr>
        <w:spacing w:line="360" w:lineRule="auto"/>
        <w:ind w:firstLine="442" w:firstLineChars="200"/>
        <w:rPr>
          <w:rFonts w:ascii="宋体" w:hAnsi="宋体" w:eastAsia="宋体" w:cs="宋体"/>
          <w:szCs w:val="21"/>
        </w:rPr>
      </w:pPr>
      <w:r>
        <w:rPr>
          <w:rFonts w:hint="eastAsia" w:ascii="宋体" w:hAnsi="宋体" w:eastAsia="宋体" w:cs="宋体"/>
          <w:szCs w:val="21"/>
        </w:rPr>
        <w:t>4.2彩钢夹芯板于出厂前须于烤漆彩钢板表面贴PE保护膜，以防污损烤漆钢板表面；彩钢夹芯板需具有保温、消音、防潮、平整、光滑、不产尘、防火1h以上等特点；</w:t>
      </w:r>
    </w:p>
    <w:p>
      <w:pPr>
        <w:spacing w:line="360" w:lineRule="auto"/>
        <w:ind w:firstLine="442" w:firstLineChars="200"/>
        <w:rPr>
          <w:rFonts w:ascii="宋体" w:hAnsi="宋体" w:eastAsia="宋体" w:cs="宋体"/>
          <w:szCs w:val="21"/>
        </w:rPr>
      </w:pPr>
      <w:r>
        <w:rPr>
          <w:rFonts w:hint="eastAsia" w:ascii="宋体" w:hAnsi="宋体" w:eastAsia="宋体" w:cs="宋体"/>
          <w:szCs w:val="21"/>
        </w:rPr>
        <w:t>4.3彩钢板的整体强度要好，芯材不能外露，安装后不扭曲，不变形。作为顶棚的手工板应吊装牢固，能满足检修人员的行走强度，整体装配后的彩钢板洁净室送风时不得有变形；彩钢夹芯板采用中置型连接，板缝及开孔处全部采用密封硅胶填实，确保洁净室的气密性，不漏风，不易受外界污染；</w:t>
      </w:r>
    </w:p>
    <w:p>
      <w:pPr>
        <w:spacing w:line="360" w:lineRule="auto"/>
        <w:ind w:firstLine="442" w:firstLineChars="200"/>
        <w:rPr>
          <w:rFonts w:ascii="宋体" w:hAnsi="宋体" w:eastAsia="宋体" w:cs="宋体"/>
          <w:szCs w:val="21"/>
        </w:rPr>
      </w:pPr>
      <w:r>
        <w:rPr>
          <w:rFonts w:hint="eastAsia" w:ascii="宋体" w:hAnsi="宋体" w:eastAsia="宋体" w:cs="宋体"/>
          <w:szCs w:val="21"/>
        </w:rPr>
        <w:t>4.4彩钢板满足1h耐火极限检测报告，需提供耐火性能检测报告复印件加盖厂家鲜章。</w:t>
      </w:r>
    </w:p>
    <w:p>
      <w:pPr>
        <w:spacing w:line="360" w:lineRule="auto"/>
        <w:ind w:firstLine="442" w:firstLineChars="200"/>
        <w:rPr>
          <w:rFonts w:ascii="宋体" w:hAnsi="宋体" w:eastAsia="宋体" w:cs="宋体"/>
          <w:szCs w:val="21"/>
        </w:rPr>
      </w:pPr>
      <w:r>
        <w:rPr>
          <w:rFonts w:hint="eastAsia" w:ascii="宋体" w:hAnsi="宋体" w:eastAsia="宋体" w:cs="宋体"/>
          <w:szCs w:val="21"/>
        </w:rPr>
        <w:t>4.5彩钢板辅材要求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顶棚板与隔断立板连接处、隔断立板间转角及与地面连接处全部采用净化专用R50内圆弧铝型材修饰，不留死角；</w:t>
      </w:r>
    </w:p>
    <w:p>
      <w:pPr>
        <w:spacing w:line="360" w:lineRule="auto"/>
        <w:ind w:firstLine="442" w:firstLineChars="200"/>
        <w:rPr>
          <w:rFonts w:ascii="宋体" w:hAnsi="宋体" w:eastAsia="宋体" w:cs="宋体"/>
          <w:szCs w:val="21"/>
        </w:rPr>
      </w:pPr>
      <w:r>
        <w:rPr>
          <w:rFonts w:hint="eastAsia" w:ascii="宋体" w:hAnsi="宋体" w:eastAsia="宋体" w:cs="宋体"/>
          <w:szCs w:val="21"/>
        </w:rPr>
        <w:t>接角处装内三通，所有外角采用铝合金型材外圆柱包裹，与内圆弧相接处装外三通，内圆弧逢门断头处装门封头；</w:t>
      </w:r>
    </w:p>
    <w:p>
      <w:pPr>
        <w:spacing w:line="360" w:lineRule="auto"/>
        <w:ind w:firstLine="442" w:firstLineChars="200"/>
        <w:rPr>
          <w:rFonts w:ascii="宋体" w:hAnsi="宋体" w:eastAsia="宋体" w:cs="宋体"/>
          <w:szCs w:val="21"/>
        </w:rPr>
      </w:pPr>
      <w:r>
        <w:rPr>
          <w:rFonts w:hint="eastAsia" w:ascii="宋体" w:hAnsi="宋体" w:eastAsia="宋体" w:cs="宋体"/>
          <w:szCs w:val="21"/>
        </w:rPr>
        <w:t>铝合金型材采用电泳或喷塑铝材；</w:t>
      </w:r>
    </w:p>
    <w:p>
      <w:pPr>
        <w:spacing w:line="360" w:lineRule="auto"/>
        <w:ind w:firstLine="442" w:firstLineChars="200"/>
        <w:rPr>
          <w:rFonts w:ascii="宋体" w:hAnsi="宋体" w:eastAsia="宋体" w:cs="宋体"/>
          <w:szCs w:val="21"/>
        </w:rPr>
      </w:pPr>
      <w:r>
        <w:rPr>
          <w:rFonts w:hint="eastAsia" w:ascii="宋体" w:hAnsi="宋体" w:eastAsia="宋体" w:cs="宋体"/>
          <w:szCs w:val="21"/>
        </w:rPr>
        <w:t>吊顶吊装采用∮10全牙螺杆，吊杆需配∮10 C型花篮调节螺丝，吊杆中距横向小于等于1200mm，纵向小于等于2500mm。</w:t>
      </w:r>
    </w:p>
    <w:p>
      <w:pPr>
        <w:spacing w:line="360" w:lineRule="auto"/>
        <w:ind w:firstLine="442" w:firstLineChars="200"/>
        <w:rPr>
          <w:rFonts w:ascii="宋体" w:hAnsi="宋体" w:eastAsia="宋体" w:cs="宋体"/>
          <w:szCs w:val="21"/>
        </w:rPr>
      </w:pPr>
      <w:r>
        <w:rPr>
          <w:rFonts w:hint="eastAsia" w:ascii="宋体" w:hAnsi="宋体" w:eastAsia="宋体" w:cs="宋体"/>
          <w:szCs w:val="21"/>
        </w:rPr>
        <w:t>4.6 百级实验区域为双层吊顶，一层为采用50mm手工金属面双面玻镁岩棉夹芯彩钢板（单面防静电喷涂），饰面层为1200*1200mm单面彩钢单面镀锌石膏盲板，配套MCS-55可上人FFU龙骨材料。</w:t>
      </w:r>
    </w:p>
    <w:p>
      <w:pPr>
        <w:spacing w:line="360" w:lineRule="auto"/>
        <w:ind w:firstLine="442" w:firstLineChars="200"/>
        <w:rPr>
          <w:rFonts w:ascii="宋体" w:hAnsi="宋体" w:eastAsia="宋体" w:cs="宋体"/>
          <w:szCs w:val="21"/>
        </w:rPr>
      </w:pPr>
      <w:bookmarkStart w:id="136" w:name="_Toc29697"/>
      <w:bookmarkStart w:id="137" w:name="_Toc535919896"/>
      <w:r>
        <w:rPr>
          <w:rFonts w:hint="eastAsia" w:ascii="宋体" w:hAnsi="宋体" w:eastAsia="宋体" w:cs="宋体"/>
          <w:szCs w:val="21"/>
        </w:rPr>
        <w:t>5、地面的新建工程；</w:t>
      </w:r>
      <w:bookmarkEnd w:id="136"/>
      <w:bookmarkEnd w:id="137"/>
    </w:p>
    <w:p>
      <w:pPr>
        <w:spacing w:line="360" w:lineRule="auto"/>
        <w:ind w:firstLine="442" w:firstLineChars="200"/>
        <w:rPr>
          <w:rFonts w:ascii="宋体" w:hAnsi="宋体" w:eastAsia="宋体" w:cs="宋体"/>
          <w:szCs w:val="21"/>
        </w:rPr>
      </w:pPr>
      <w:r>
        <w:rPr>
          <w:rFonts w:hint="eastAsia" w:ascii="宋体" w:hAnsi="宋体" w:eastAsia="宋体" w:cs="宋体"/>
          <w:szCs w:val="21"/>
        </w:rPr>
        <w:t>洁净实验室地面采用2mm厚PVC防静电塑胶地板,铺设铜箔（或铝箔）网络,导电胶，PVC踢脚线上翻；</w:t>
      </w:r>
    </w:p>
    <w:p>
      <w:pPr>
        <w:spacing w:line="360" w:lineRule="auto"/>
        <w:ind w:firstLine="442" w:firstLineChars="200"/>
        <w:rPr>
          <w:rFonts w:ascii="宋体" w:hAnsi="宋体" w:eastAsia="宋体" w:cs="宋体"/>
          <w:szCs w:val="21"/>
        </w:rPr>
      </w:pPr>
      <w:bookmarkStart w:id="138" w:name="_Toc535919897"/>
      <w:r>
        <w:rPr>
          <w:rFonts w:hint="eastAsia" w:ascii="宋体" w:hAnsi="宋体" w:eastAsia="宋体" w:cs="宋体"/>
          <w:szCs w:val="21"/>
        </w:rPr>
        <w:t>PVC塑胶地板防火性能符合GB8624，B1级标准，耐磨等级为T级；</w:t>
      </w:r>
    </w:p>
    <w:p>
      <w:pPr>
        <w:spacing w:line="360" w:lineRule="auto"/>
        <w:ind w:firstLine="442" w:firstLineChars="200"/>
        <w:rPr>
          <w:rFonts w:ascii="宋体" w:hAnsi="宋体" w:eastAsia="宋体" w:cs="宋体"/>
          <w:szCs w:val="21"/>
        </w:rPr>
      </w:pPr>
      <w:r>
        <w:rPr>
          <w:rFonts w:hint="eastAsia" w:ascii="宋体" w:hAnsi="宋体" w:eastAsia="宋体" w:cs="宋体"/>
          <w:szCs w:val="21"/>
        </w:rPr>
        <w:t>敷设PVC地板之前需确保现场满足施工标准，然后3~5mm厚水泥自流平及打磨处理。</w:t>
      </w:r>
    </w:p>
    <w:p>
      <w:pPr>
        <w:spacing w:line="360" w:lineRule="auto"/>
        <w:ind w:firstLine="442" w:firstLineChars="200"/>
        <w:rPr>
          <w:rFonts w:ascii="宋体" w:hAnsi="宋体" w:eastAsia="宋体" w:cs="宋体"/>
          <w:szCs w:val="21"/>
        </w:rPr>
      </w:pPr>
      <w:bookmarkStart w:id="139" w:name="_Toc871"/>
      <w:r>
        <w:rPr>
          <w:rFonts w:hint="eastAsia" w:ascii="宋体" w:hAnsi="宋体" w:eastAsia="宋体" w:cs="宋体"/>
          <w:szCs w:val="21"/>
        </w:rPr>
        <w:t>6、门窗的新建工作；</w:t>
      </w:r>
      <w:bookmarkEnd w:id="138"/>
      <w:bookmarkEnd w:id="139"/>
    </w:p>
    <w:p>
      <w:pPr>
        <w:spacing w:line="360" w:lineRule="auto"/>
        <w:ind w:firstLine="442" w:firstLineChars="200"/>
        <w:rPr>
          <w:rFonts w:ascii="宋体" w:hAnsi="宋体" w:eastAsia="宋体" w:cs="宋体"/>
          <w:szCs w:val="21"/>
        </w:rPr>
      </w:pPr>
      <w:r>
        <w:rPr>
          <w:rFonts w:hint="eastAsia" w:ascii="宋体" w:hAnsi="宋体" w:eastAsia="宋体" w:cs="宋体"/>
          <w:szCs w:val="21"/>
        </w:rPr>
        <w:t>实验室区域采用不等规格的成品保温钢板门，门上带400*600mm观察窗，与原实墙安装的钢板门做好安装支架及包边处理;</w:t>
      </w:r>
    </w:p>
    <w:p>
      <w:pPr>
        <w:spacing w:line="360" w:lineRule="auto"/>
        <w:ind w:firstLine="442" w:firstLineChars="200"/>
        <w:rPr>
          <w:rFonts w:ascii="宋体" w:hAnsi="宋体" w:eastAsia="宋体" w:cs="宋体"/>
          <w:szCs w:val="21"/>
        </w:rPr>
      </w:pPr>
      <w:r>
        <w:rPr>
          <w:rFonts w:hint="eastAsia" w:ascii="宋体" w:hAnsi="宋体" w:eastAsia="宋体" w:cs="宋体"/>
          <w:szCs w:val="21"/>
        </w:rPr>
        <w:t>钢板面层保证保温密闭措施，防火等级A级；</w:t>
      </w:r>
    </w:p>
    <w:p>
      <w:pPr>
        <w:spacing w:line="360" w:lineRule="auto"/>
        <w:ind w:firstLine="442" w:firstLineChars="200"/>
        <w:rPr>
          <w:rFonts w:ascii="宋体" w:hAnsi="宋体" w:eastAsia="宋体" w:cs="宋体"/>
          <w:szCs w:val="21"/>
        </w:rPr>
      </w:pPr>
      <w:r>
        <w:rPr>
          <w:rFonts w:hint="eastAsia" w:ascii="宋体" w:hAnsi="宋体" w:eastAsia="宋体" w:cs="宋体"/>
          <w:szCs w:val="21"/>
        </w:rPr>
        <w:t>观察窗处采用双圆弧形专业铝型材，所有观察窗与玻璃交接口处采专用橡胶条密封处理；配优质的五金件，具有执手锁+铰链+门吸、闭门器，每樘门装三个优质铰链，局部配联动锁，五金件选用国际知名品牌；</w:t>
      </w:r>
    </w:p>
    <w:p>
      <w:pPr>
        <w:spacing w:line="360" w:lineRule="auto"/>
        <w:ind w:firstLine="442" w:firstLineChars="200"/>
        <w:rPr>
          <w:rFonts w:ascii="宋体" w:hAnsi="宋体" w:eastAsia="宋体" w:cs="宋体"/>
          <w:szCs w:val="21"/>
        </w:rPr>
      </w:pPr>
      <w:r>
        <w:rPr>
          <w:rFonts w:hint="eastAsia" w:ascii="宋体" w:hAnsi="宋体" w:eastAsia="宋体" w:cs="宋体"/>
          <w:szCs w:val="21"/>
        </w:rPr>
        <w:t>安全门： 1200*2100 门框采用门框电砂红铝材，门板采用门框电砂红铝材，包含：双层5mm钢化玻璃 、304不锈钢合页*3、逃生锁、皮条扫地条、密封条，使用中字铝与手工板连接；</w:t>
      </w:r>
    </w:p>
    <w:p>
      <w:pPr>
        <w:spacing w:line="360" w:lineRule="auto"/>
        <w:ind w:firstLine="442" w:firstLineChars="200"/>
        <w:rPr>
          <w:rFonts w:ascii="宋体" w:hAnsi="宋体" w:eastAsia="宋体" w:cs="宋体"/>
          <w:szCs w:val="21"/>
        </w:rPr>
      </w:pPr>
      <w:r>
        <w:rPr>
          <w:rFonts w:hint="eastAsia" w:ascii="宋体" w:hAnsi="宋体" w:eastAsia="宋体" w:cs="宋体"/>
          <w:szCs w:val="21"/>
        </w:rPr>
        <w:t>新建彩钢板隔墙上安装双层5+39+5mm成品中空玻璃观察窗，安装与彩钢板表面齐平的双层密封玻璃观察窗，有防潮、防止雾化（充氮）等有效处理措施，内衬材料色泽与彩钢板颜色一致，窗的安装上边高度与门框高度一致。面积、长宽高规格见施工图；玻璃内外完全密封处理，四周圆角处理，预装在墙板中，与墙面平滑连接。</w:t>
      </w:r>
    </w:p>
    <w:p>
      <w:pPr>
        <w:spacing w:line="360" w:lineRule="auto"/>
        <w:ind w:firstLine="442" w:firstLineChars="200"/>
        <w:rPr>
          <w:rFonts w:ascii="宋体" w:hAnsi="宋体" w:eastAsia="宋体" w:cs="宋体"/>
          <w:szCs w:val="21"/>
        </w:rPr>
      </w:pPr>
      <w:bookmarkStart w:id="140" w:name="_Toc3704"/>
      <w:bookmarkStart w:id="141" w:name="_Toc456722619"/>
      <w:bookmarkStart w:id="142" w:name="_Toc535919898"/>
      <w:r>
        <w:rPr>
          <w:rFonts w:hint="eastAsia" w:ascii="宋体" w:hAnsi="宋体" w:eastAsia="宋体" w:cs="宋体"/>
          <w:szCs w:val="21"/>
        </w:rPr>
        <w:t>7、传递窗的新建工程</w:t>
      </w:r>
      <w:bookmarkEnd w:id="140"/>
    </w:p>
    <w:p>
      <w:pPr>
        <w:spacing w:line="360" w:lineRule="auto"/>
        <w:ind w:firstLine="442" w:firstLineChars="200"/>
        <w:rPr>
          <w:rFonts w:ascii="宋体" w:hAnsi="宋体" w:eastAsia="宋体" w:cs="宋体"/>
          <w:szCs w:val="21"/>
        </w:rPr>
      </w:pPr>
      <w:r>
        <w:rPr>
          <w:rFonts w:hint="eastAsia" w:ascii="宋体" w:hAnsi="宋体" w:eastAsia="宋体" w:cs="宋体"/>
          <w:szCs w:val="21"/>
        </w:rPr>
        <w:t>内外304不锈钢，表面平整光洁，外形美观、使用寿命长，外尺寸：700*500*590,内尺寸：500*500*500带杀菌灯，机械互锁，两侧门不能同时打开，箱体两则装有开门信号指示灯，可知道对面门的开启情况。传递窗上装有专用密封条，确保气密性。带3*8W紫外杀菌灯。</w:t>
      </w:r>
    </w:p>
    <w:p>
      <w:pPr>
        <w:spacing w:line="360" w:lineRule="auto"/>
        <w:ind w:firstLine="442" w:firstLineChars="200"/>
        <w:rPr>
          <w:rFonts w:ascii="宋体" w:hAnsi="宋体" w:eastAsia="宋体" w:cs="宋体"/>
          <w:szCs w:val="21"/>
        </w:rPr>
      </w:pPr>
      <w:bookmarkStart w:id="143" w:name="_Toc19498"/>
      <w:r>
        <w:rPr>
          <w:rFonts w:hint="eastAsia" w:ascii="宋体" w:hAnsi="宋体" w:eastAsia="宋体" w:cs="宋体"/>
          <w:szCs w:val="21"/>
        </w:rPr>
        <w:t>8、风淋室的新建工程</w:t>
      </w:r>
      <w:bookmarkEnd w:id="143"/>
    </w:p>
    <w:p>
      <w:pPr>
        <w:spacing w:line="360" w:lineRule="auto"/>
        <w:ind w:firstLine="442" w:firstLineChars="200"/>
        <w:rPr>
          <w:rFonts w:ascii="宋体" w:hAnsi="宋体" w:eastAsia="宋体" w:cs="宋体"/>
          <w:szCs w:val="21"/>
        </w:rPr>
      </w:pPr>
      <w:r>
        <w:rPr>
          <w:rFonts w:hint="eastAsia" w:ascii="宋体" w:hAnsi="宋体" w:eastAsia="宋体" w:cs="宋体"/>
          <w:szCs w:val="21"/>
        </w:rPr>
        <w:t>内外不锈钢材质，双人双吹 外形尺寸1300*2000*2180 内尺寸：790*1930*1910。</w:t>
      </w:r>
    </w:p>
    <w:bookmarkEnd w:id="141"/>
    <w:bookmarkEnd w:id="142"/>
    <w:p>
      <w:pPr>
        <w:pStyle w:val="5"/>
        <w:ind w:firstLine="444"/>
      </w:pPr>
      <w:bookmarkStart w:id="144" w:name="_Toc5710"/>
      <w:r>
        <w:rPr>
          <w:rFonts w:hint="eastAsia"/>
        </w:rPr>
        <w:t>（二）暖通工程（含能源管理）</w:t>
      </w:r>
      <w:bookmarkEnd w:id="144"/>
    </w:p>
    <w:p>
      <w:pPr>
        <w:spacing w:line="360" w:lineRule="auto"/>
        <w:ind w:firstLine="442" w:firstLineChars="200"/>
        <w:rPr>
          <w:rFonts w:ascii="宋体" w:hAnsi="宋体" w:eastAsia="宋体" w:cs="宋体"/>
          <w:b/>
          <w:bCs/>
          <w:szCs w:val="21"/>
        </w:rPr>
      </w:pPr>
      <w:bookmarkStart w:id="145" w:name="_Toc3683"/>
      <w:r>
        <w:rPr>
          <w:rFonts w:hint="eastAsia" w:ascii="宋体" w:hAnsi="宋体" w:eastAsia="宋体" w:cs="宋体"/>
          <w:b/>
          <w:bCs/>
          <w:szCs w:val="21"/>
        </w:rPr>
        <w:t>1、文丘里阀</w:t>
      </w:r>
      <w:bookmarkEnd w:id="145"/>
    </w:p>
    <w:p>
      <w:pPr>
        <w:spacing w:line="360" w:lineRule="auto"/>
        <w:ind w:firstLine="442" w:firstLineChars="200"/>
        <w:rPr>
          <w:rFonts w:ascii="宋体" w:hAnsi="宋体" w:eastAsia="宋体" w:cs="宋体"/>
          <w:b/>
          <w:bCs/>
          <w:szCs w:val="21"/>
        </w:rPr>
      </w:pPr>
      <w:r>
        <w:rPr>
          <w:rFonts w:hint="eastAsia" w:ascii="宋体" w:hAnsi="宋体" w:eastAsia="宋体" w:cs="宋体"/>
          <w:b/>
          <w:bCs/>
          <w:szCs w:val="21"/>
        </w:rPr>
        <w:t>1.1、局部排风设备定风量文丘里阀技术及参数要求：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1.1.1局部排风设备风量控制阀采用与压力无关型机械式文丘里阀。</w:t>
      </w:r>
    </w:p>
    <w:p>
      <w:pPr>
        <w:spacing w:line="360" w:lineRule="auto"/>
        <w:ind w:firstLine="442" w:firstLineChars="200"/>
        <w:rPr>
          <w:rFonts w:ascii="宋体" w:hAnsi="宋体" w:eastAsia="宋体" w:cs="宋体"/>
          <w:szCs w:val="21"/>
        </w:rPr>
      </w:pPr>
      <w:r>
        <w:rPr>
          <w:rFonts w:hint="eastAsia" w:ascii="宋体" w:hAnsi="宋体" w:eastAsia="宋体" w:cs="宋体"/>
          <w:szCs w:val="21"/>
        </w:rPr>
        <w:t>1.1.2定风量文丘里阀在出厂前必须经过风量标定台严格进行风量精确标定。</w:t>
      </w:r>
    </w:p>
    <w:p>
      <w:pPr>
        <w:spacing w:line="360" w:lineRule="auto"/>
        <w:ind w:firstLine="442" w:firstLineChars="200"/>
        <w:rPr>
          <w:rFonts w:ascii="宋体" w:hAnsi="宋体" w:eastAsia="宋体" w:cs="宋体"/>
          <w:szCs w:val="21"/>
        </w:rPr>
      </w:pPr>
      <w:r>
        <w:rPr>
          <w:rFonts w:hint="eastAsia" w:ascii="宋体" w:hAnsi="宋体" w:eastAsia="宋体" w:cs="宋体"/>
          <w:szCs w:val="21"/>
        </w:rPr>
        <w:t>1.1.3定风量文丘里阀的正常工作压力范围在150-750Pa之间风量与压力无关。当文丘里阀前后两端的压降值发生变化时，应能自动平衡压力波动，在1秒内自动调节至设定的风量值，其误差范围应在±5%之内，而不因该压力变化而有所变化。</w:t>
      </w:r>
    </w:p>
    <w:p>
      <w:pPr>
        <w:spacing w:line="360" w:lineRule="auto"/>
        <w:ind w:firstLine="442" w:firstLineChars="200"/>
        <w:rPr>
          <w:rFonts w:ascii="宋体" w:hAnsi="宋体" w:eastAsia="宋体" w:cs="宋体"/>
          <w:szCs w:val="21"/>
        </w:rPr>
      </w:pPr>
      <w:r>
        <w:rPr>
          <w:rFonts w:hint="eastAsia" w:ascii="宋体" w:hAnsi="宋体" w:eastAsia="宋体" w:cs="宋体"/>
          <w:szCs w:val="21"/>
        </w:rPr>
        <w:t>★1.1.4文丘里阀的压力无关性精度测试需要提供第三方机构的检测报告，该第三方检测结构需要具有CMA和CNAS证书。需在投标文件中提供检测报告复印件且加盖制造商章；中标后提供制造商针对本项目的质量承诺书。</w:t>
      </w:r>
    </w:p>
    <w:p>
      <w:pPr>
        <w:spacing w:line="360" w:lineRule="auto"/>
        <w:ind w:firstLine="442" w:firstLineChars="200"/>
        <w:rPr>
          <w:rFonts w:ascii="宋体" w:hAnsi="宋体" w:eastAsia="宋体" w:cs="宋体"/>
          <w:szCs w:val="21"/>
        </w:rPr>
      </w:pPr>
      <w:r>
        <w:rPr>
          <w:rFonts w:hint="eastAsia" w:ascii="宋体" w:hAnsi="宋体" w:eastAsia="宋体" w:cs="宋体"/>
          <w:szCs w:val="21"/>
        </w:rPr>
        <w:t>1.1.5定风量文丘里阀风量控制精度在设定风量的5%之内。</w:t>
      </w:r>
    </w:p>
    <w:p>
      <w:pPr>
        <w:spacing w:line="360" w:lineRule="auto"/>
        <w:ind w:firstLine="442" w:firstLineChars="200"/>
        <w:rPr>
          <w:rFonts w:ascii="宋体" w:hAnsi="宋体" w:eastAsia="宋体" w:cs="宋体"/>
          <w:szCs w:val="21"/>
        </w:rPr>
      </w:pPr>
      <w:r>
        <w:rPr>
          <w:rFonts w:hint="eastAsia" w:ascii="宋体" w:hAnsi="宋体" w:eastAsia="宋体" w:cs="宋体"/>
          <w:szCs w:val="21"/>
        </w:rPr>
        <w:t>1.1.6为了便于调整，定风量文丘里阀风量控制范围保证所提供的最大处理风量与最小处理风量的可调比至少在12:1以上。</w:t>
      </w:r>
    </w:p>
    <w:p>
      <w:pPr>
        <w:spacing w:line="360" w:lineRule="auto"/>
        <w:ind w:firstLine="442" w:firstLineChars="200"/>
        <w:rPr>
          <w:rFonts w:ascii="宋体" w:hAnsi="宋体" w:eastAsia="宋体" w:cs="宋体"/>
          <w:szCs w:val="21"/>
        </w:rPr>
      </w:pPr>
      <w:r>
        <w:rPr>
          <w:rFonts w:hint="eastAsia" w:ascii="宋体" w:hAnsi="宋体" w:eastAsia="宋体" w:cs="宋体"/>
          <w:szCs w:val="21"/>
        </w:rPr>
        <w:t>1.1.7所有排风设备的定风量文丘里阀，其阀体和阀芯应全部采用316L不锈钢材料，阀杆还需涂覆特氟龙涂层。</w:t>
      </w:r>
    </w:p>
    <w:p>
      <w:pPr>
        <w:spacing w:line="360" w:lineRule="auto"/>
        <w:ind w:firstLine="442" w:firstLineChars="200"/>
        <w:rPr>
          <w:rFonts w:ascii="宋体" w:hAnsi="宋体" w:eastAsia="宋体" w:cs="宋体"/>
          <w:szCs w:val="21"/>
        </w:rPr>
      </w:pPr>
      <w:r>
        <w:rPr>
          <w:rFonts w:hint="eastAsia" w:ascii="宋体" w:hAnsi="宋体" w:eastAsia="宋体" w:cs="宋体"/>
          <w:szCs w:val="21"/>
        </w:rPr>
        <w:t>1.1.8所有定风量文丘里阀门安装前后无需直管段。</w:t>
      </w:r>
    </w:p>
    <w:p>
      <w:pPr>
        <w:spacing w:line="360" w:lineRule="auto"/>
        <w:ind w:firstLine="442" w:firstLineChars="200"/>
        <w:rPr>
          <w:rFonts w:ascii="宋体" w:hAnsi="宋体" w:eastAsia="宋体" w:cs="宋体"/>
          <w:b/>
          <w:bCs/>
          <w:szCs w:val="21"/>
        </w:rPr>
      </w:pPr>
      <w:bookmarkStart w:id="146" w:name="_Toc16913"/>
      <w:r>
        <w:rPr>
          <w:rFonts w:hint="eastAsia" w:ascii="宋体" w:hAnsi="宋体" w:eastAsia="宋体" w:cs="宋体"/>
          <w:b/>
          <w:bCs/>
          <w:szCs w:val="21"/>
        </w:rPr>
        <w:t>1.2、房间排风变风量文丘里阀技术及参数要求：</w:t>
      </w:r>
      <w:bookmarkEnd w:id="146"/>
    </w:p>
    <w:p>
      <w:pPr>
        <w:spacing w:line="360" w:lineRule="auto"/>
        <w:ind w:firstLine="442" w:firstLineChars="200"/>
        <w:rPr>
          <w:rFonts w:ascii="宋体" w:hAnsi="宋体" w:eastAsia="宋体" w:cs="宋体"/>
          <w:szCs w:val="21"/>
        </w:rPr>
      </w:pPr>
      <w:r>
        <w:rPr>
          <w:rFonts w:hint="eastAsia" w:ascii="宋体" w:hAnsi="宋体" w:eastAsia="宋体" w:cs="宋体"/>
          <w:szCs w:val="21"/>
        </w:rPr>
        <w:t>1.2.1排风变风量控制阀采用与压力无关型电动执行器驱动式文丘里阀。</w:t>
      </w:r>
    </w:p>
    <w:p>
      <w:pPr>
        <w:spacing w:line="360" w:lineRule="auto"/>
        <w:ind w:firstLine="442" w:firstLineChars="200"/>
        <w:rPr>
          <w:rFonts w:ascii="宋体" w:hAnsi="宋体" w:eastAsia="宋体" w:cs="宋体"/>
          <w:szCs w:val="21"/>
        </w:rPr>
      </w:pPr>
      <w:r>
        <w:rPr>
          <w:rFonts w:hint="eastAsia" w:ascii="宋体" w:hAnsi="宋体" w:eastAsia="宋体" w:cs="宋体"/>
          <w:szCs w:val="21"/>
        </w:rPr>
        <w:t>1.2.2变风量文丘里阀的电动执行器必须采用工业级的快速直线行程电动执行</w:t>
      </w:r>
    </w:p>
    <w:p>
      <w:pPr>
        <w:spacing w:line="360" w:lineRule="auto"/>
        <w:ind w:firstLine="442" w:firstLineChars="200"/>
        <w:rPr>
          <w:rFonts w:ascii="宋体" w:hAnsi="宋体" w:eastAsia="宋体" w:cs="宋体"/>
          <w:szCs w:val="21"/>
        </w:rPr>
      </w:pPr>
      <w:r>
        <w:rPr>
          <w:rFonts w:hint="eastAsia" w:ascii="宋体" w:hAnsi="宋体" w:eastAsia="宋体" w:cs="宋体"/>
          <w:szCs w:val="21"/>
        </w:rPr>
        <w:t>器，变风量对于控制信号的响应速度为≦1秒。</w:t>
      </w:r>
    </w:p>
    <w:p>
      <w:pPr>
        <w:spacing w:line="360" w:lineRule="auto"/>
        <w:ind w:firstLine="442" w:firstLineChars="200"/>
        <w:rPr>
          <w:rFonts w:ascii="宋体" w:hAnsi="宋体" w:eastAsia="宋体" w:cs="宋体"/>
          <w:szCs w:val="21"/>
        </w:rPr>
      </w:pPr>
      <w:r>
        <w:rPr>
          <w:rFonts w:hint="eastAsia" w:ascii="宋体" w:hAnsi="宋体" w:eastAsia="宋体" w:cs="宋体"/>
          <w:szCs w:val="21"/>
        </w:rPr>
        <w:t>★1.2.3文丘里阀的风量偏差≤±5%。需提供依据JG/T 436-2014检验的第三方检验报告复印件加盖生产厂家章。中标后提供制造商针对本项目的质量承诺书。</w:t>
      </w:r>
    </w:p>
    <w:p>
      <w:pPr>
        <w:spacing w:line="360" w:lineRule="auto"/>
        <w:ind w:firstLine="442" w:firstLineChars="200"/>
        <w:rPr>
          <w:rFonts w:ascii="宋体" w:hAnsi="宋体" w:eastAsia="宋体" w:cs="宋体"/>
          <w:szCs w:val="21"/>
        </w:rPr>
      </w:pPr>
      <w:r>
        <w:rPr>
          <w:rFonts w:hint="eastAsia" w:ascii="宋体" w:hAnsi="宋体" w:eastAsia="宋体" w:cs="宋体"/>
          <w:szCs w:val="21"/>
        </w:rPr>
        <w:t>1.2.4变风量文丘里阀在出厂前必须经过风量标定台严格进行风量精确标定，标定点不得少于50个点，每一台文丘里阀的风量标定文件需随发货文件提供。</w:t>
      </w:r>
    </w:p>
    <w:p>
      <w:pPr>
        <w:spacing w:line="360" w:lineRule="auto"/>
        <w:ind w:firstLine="442" w:firstLineChars="200"/>
        <w:rPr>
          <w:rFonts w:ascii="宋体" w:hAnsi="宋体" w:eastAsia="宋体" w:cs="宋体"/>
          <w:szCs w:val="21"/>
        </w:rPr>
      </w:pPr>
      <w:r>
        <w:rPr>
          <w:rFonts w:hint="eastAsia" w:ascii="宋体" w:hAnsi="宋体" w:eastAsia="宋体" w:cs="宋体"/>
          <w:szCs w:val="21"/>
        </w:rPr>
        <w:t>★1.2.5对文丘里阀进行标定的空气动力性能试验台应通过符合GB/T1236-2000标准的评定。需提供评定证书复印件且加盖生产厂家章。中标后提供制造商针对本项目的质量承诺书。</w:t>
      </w:r>
    </w:p>
    <w:p>
      <w:pPr>
        <w:spacing w:line="360" w:lineRule="auto"/>
        <w:ind w:firstLine="442" w:firstLineChars="200"/>
        <w:rPr>
          <w:rFonts w:ascii="宋体" w:hAnsi="宋体" w:eastAsia="宋体" w:cs="宋体"/>
          <w:szCs w:val="21"/>
        </w:rPr>
      </w:pPr>
      <w:r>
        <w:rPr>
          <w:rFonts w:hint="eastAsia" w:ascii="宋体" w:hAnsi="宋体" w:eastAsia="宋体" w:cs="宋体"/>
          <w:szCs w:val="21"/>
        </w:rPr>
        <w:t>1.2.6变风量文丘里阀风量控制范围必须能够保证所提供的最大处理风量与最小处理风量的可调比至少满足以下条件：</w:t>
      </w:r>
    </w:p>
    <w:p>
      <w:pPr>
        <w:spacing w:line="360" w:lineRule="auto"/>
        <w:ind w:firstLine="442" w:firstLineChars="200"/>
        <w:rPr>
          <w:rFonts w:ascii="宋体" w:hAnsi="宋体" w:eastAsia="宋体" w:cs="宋体"/>
          <w:szCs w:val="21"/>
        </w:rPr>
      </w:pPr>
      <w:r>
        <w:rPr>
          <w:rFonts w:hint="eastAsia" w:ascii="宋体" w:hAnsi="宋体" w:eastAsia="宋体" w:cs="宋体"/>
          <w:szCs w:val="21"/>
        </w:rPr>
        <w:t>DN200和DN250:不小于20:1。</w:t>
      </w:r>
    </w:p>
    <w:p>
      <w:pPr>
        <w:spacing w:line="360" w:lineRule="auto"/>
        <w:ind w:firstLine="442" w:firstLineChars="200"/>
        <w:rPr>
          <w:rFonts w:ascii="宋体" w:hAnsi="宋体" w:eastAsia="宋体" w:cs="宋体"/>
          <w:szCs w:val="21"/>
        </w:rPr>
      </w:pPr>
      <w:r>
        <w:rPr>
          <w:rFonts w:hint="eastAsia" w:ascii="宋体" w:hAnsi="宋体" w:eastAsia="宋体" w:cs="宋体"/>
          <w:szCs w:val="21"/>
        </w:rPr>
        <w:t>DN300：不小于16:1</w:t>
      </w:r>
    </w:p>
    <w:p>
      <w:pPr>
        <w:spacing w:line="360" w:lineRule="auto"/>
        <w:ind w:firstLine="442" w:firstLineChars="200"/>
        <w:rPr>
          <w:rFonts w:ascii="宋体" w:hAnsi="宋体" w:eastAsia="宋体" w:cs="宋体"/>
          <w:szCs w:val="21"/>
        </w:rPr>
      </w:pPr>
      <w:r>
        <w:rPr>
          <w:rFonts w:hint="eastAsia" w:ascii="宋体" w:hAnsi="宋体" w:eastAsia="宋体" w:cs="宋体"/>
          <w:szCs w:val="21"/>
        </w:rPr>
        <w:t>DN350：不小于12:1</w:t>
      </w:r>
    </w:p>
    <w:p>
      <w:pPr>
        <w:spacing w:line="360" w:lineRule="auto"/>
        <w:ind w:firstLine="442" w:firstLineChars="200"/>
        <w:rPr>
          <w:rFonts w:ascii="宋体" w:hAnsi="宋体" w:eastAsia="宋体" w:cs="宋体"/>
          <w:szCs w:val="21"/>
        </w:rPr>
      </w:pPr>
      <w:r>
        <w:rPr>
          <w:rFonts w:hint="eastAsia" w:ascii="宋体" w:hAnsi="宋体" w:eastAsia="宋体" w:cs="宋体"/>
          <w:szCs w:val="21"/>
        </w:rPr>
        <w:t>1.2.7当流经文丘里阀前后的压力值发生变化时，应能自动平衡压力波动，在1秒内自动调节至所需求的风量值，其误差范围应在±5%之内，不因压力变化而有所变化（适用于压力变化范围在150-750Pa之内）。</w:t>
      </w:r>
    </w:p>
    <w:p>
      <w:pPr>
        <w:spacing w:line="360" w:lineRule="auto"/>
        <w:ind w:firstLine="442" w:firstLineChars="200"/>
        <w:rPr>
          <w:rFonts w:ascii="宋体" w:hAnsi="宋体" w:eastAsia="宋体" w:cs="宋体"/>
          <w:szCs w:val="21"/>
        </w:rPr>
      </w:pPr>
      <w:r>
        <w:rPr>
          <w:rFonts w:hint="eastAsia" w:ascii="宋体" w:hAnsi="宋体" w:eastAsia="宋体" w:cs="宋体"/>
          <w:szCs w:val="21"/>
        </w:rPr>
        <w:t>1.2.8变风量文丘里阀应提供实时风量反馈信号，反馈风量控制精度为当前风量的±5%。</w:t>
      </w:r>
    </w:p>
    <w:p>
      <w:pPr>
        <w:spacing w:line="360" w:lineRule="auto"/>
        <w:ind w:firstLine="442" w:firstLineChars="200"/>
        <w:rPr>
          <w:rFonts w:ascii="宋体" w:hAnsi="宋体" w:eastAsia="宋体" w:cs="宋体"/>
          <w:szCs w:val="21"/>
        </w:rPr>
      </w:pPr>
      <w:r>
        <w:rPr>
          <w:rFonts w:hint="eastAsia" w:ascii="宋体" w:hAnsi="宋体" w:eastAsia="宋体" w:cs="宋体"/>
          <w:szCs w:val="21"/>
        </w:rPr>
        <w:t>1.2.9所有用在房间排风系统的变风量文丘里阀，其阀体采用304不锈钢材料，其它金属部件均应采用316L不锈钢材料。</w:t>
      </w:r>
    </w:p>
    <w:p>
      <w:pPr>
        <w:spacing w:line="360" w:lineRule="auto"/>
        <w:ind w:firstLine="442" w:firstLineChars="200"/>
        <w:rPr>
          <w:rFonts w:ascii="宋体" w:hAnsi="宋体" w:eastAsia="宋体" w:cs="宋体"/>
          <w:szCs w:val="21"/>
        </w:rPr>
      </w:pPr>
      <w:r>
        <w:rPr>
          <w:rFonts w:hint="eastAsia" w:ascii="宋体" w:hAnsi="宋体" w:eastAsia="宋体" w:cs="宋体"/>
          <w:szCs w:val="21"/>
        </w:rPr>
        <w:t>1.2.10排风文丘里阀应能应对房间断电情况，文丘里阀需要具备断电保护功能，失电后处于常开状态以确保系统可以顺利排风。</w:t>
      </w:r>
    </w:p>
    <w:p>
      <w:pPr>
        <w:spacing w:line="360" w:lineRule="auto"/>
        <w:ind w:firstLine="442" w:firstLineChars="200"/>
        <w:rPr>
          <w:rFonts w:ascii="宋体" w:hAnsi="宋体" w:eastAsia="宋体" w:cs="宋体"/>
          <w:szCs w:val="21"/>
        </w:rPr>
      </w:pPr>
      <w:r>
        <w:rPr>
          <w:rFonts w:hint="eastAsia" w:ascii="宋体" w:hAnsi="宋体" w:eastAsia="宋体" w:cs="宋体"/>
          <w:szCs w:val="21"/>
        </w:rPr>
        <w:t>1.2.11所有变风量排风文丘里阀的供电电源为24VAC/50Hz。</w:t>
      </w:r>
    </w:p>
    <w:p>
      <w:pPr>
        <w:spacing w:line="360" w:lineRule="auto"/>
        <w:ind w:firstLine="442" w:firstLineChars="200"/>
        <w:rPr>
          <w:rFonts w:ascii="宋体" w:hAnsi="宋体" w:eastAsia="宋体" w:cs="宋体"/>
          <w:szCs w:val="21"/>
        </w:rPr>
      </w:pPr>
      <w:r>
        <w:rPr>
          <w:rFonts w:hint="eastAsia" w:ascii="宋体" w:hAnsi="宋体" w:eastAsia="宋体" w:cs="宋体"/>
          <w:szCs w:val="21"/>
        </w:rPr>
        <w:t>★1.2.12文丘里阀的制造厂商必须具备ISO9001生产体系认证和ISO14001生产环境认证证书。</w:t>
      </w:r>
    </w:p>
    <w:p>
      <w:pPr>
        <w:spacing w:line="360" w:lineRule="auto"/>
        <w:ind w:firstLine="442" w:firstLineChars="200"/>
        <w:rPr>
          <w:rFonts w:ascii="宋体" w:hAnsi="宋体" w:eastAsia="宋体" w:cs="宋体"/>
          <w:szCs w:val="21"/>
        </w:rPr>
      </w:pPr>
      <w:r>
        <w:rPr>
          <w:rFonts w:hint="eastAsia" w:ascii="宋体" w:hAnsi="宋体" w:eastAsia="宋体" w:cs="宋体"/>
          <w:szCs w:val="21"/>
        </w:rPr>
        <w:t>★1.2.13变风量文丘里阀需要提供在不同风量时的噪声测试报告。</w:t>
      </w:r>
    </w:p>
    <w:p>
      <w:pPr>
        <w:spacing w:line="360" w:lineRule="auto"/>
        <w:ind w:firstLine="442" w:firstLineChars="200"/>
        <w:rPr>
          <w:rFonts w:ascii="宋体" w:hAnsi="宋体" w:eastAsia="宋体" w:cs="宋体"/>
          <w:b/>
          <w:bCs/>
          <w:szCs w:val="21"/>
        </w:rPr>
      </w:pPr>
      <w:bookmarkStart w:id="147" w:name="_Toc13553"/>
      <w:r>
        <w:rPr>
          <w:rFonts w:hint="eastAsia" w:ascii="宋体" w:hAnsi="宋体" w:eastAsia="宋体" w:cs="宋体"/>
          <w:b/>
          <w:bCs/>
          <w:szCs w:val="21"/>
        </w:rPr>
        <w:t>1.3、房间排风定风量文丘里阀技术及参数要求：</w:t>
      </w:r>
      <w:bookmarkEnd w:id="147"/>
    </w:p>
    <w:p>
      <w:pPr>
        <w:spacing w:line="360" w:lineRule="auto"/>
        <w:ind w:firstLine="442" w:firstLineChars="200"/>
        <w:rPr>
          <w:rFonts w:ascii="宋体" w:hAnsi="宋体" w:eastAsia="宋体" w:cs="宋体"/>
          <w:szCs w:val="21"/>
        </w:rPr>
      </w:pPr>
      <w:r>
        <w:rPr>
          <w:rFonts w:hint="eastAsia" w:ascii="宋体" w:hAnsi="宋体" w:eastAsia="宋体" w:cs="宋体"/>
          <w:szCs w:val="21"/>
        </w:rPr>
        <w:t>1.3.1房间排风风量控制阀采用与压力无关型机械式文丘里阀。</w:t>
      </w:r>
    </w:p>
    <w:p>
      <w:pPr>
        <w:spacing w:line="360" w:lineRule="auto"/>
        <w:ind w:firstLine="442" w:firstLineChars="200"/>
        <w:rPr>
          <w:rFonts w:ascii="宋体" w:hAnsi="宋体" w:eastAsia="宋体" w:cs="宋体"/>
          <w:szCs w:val="21"/>
        </w:rPr>
      </w:pPr>
      <w:r>
        <w:rPr>
          <w:rFonts w:hint="eastAsia" w:ascii="宋体" w:hAnsi="宋体" w:eastAsia="宋体" w:cs="宋体"/>
          <w:szCs w:val="21"/>
        </w:rPr>
        <w:t>1.3.2定风量文丘里阀在出厂前必须经过风量标定台严格进行风量精确标定。</w:t>
      </w:r>
    </w:p>
    <w:p>
      <w:pPr>
        <w:spacing w:line="360" w:lineRule="auto"/>
        <w:ind w:firstLine="442" w:firstLineChars="200"/>
        <w:rPr>
          <w:rFonts w:ascii="宋体" w:hAnsi="宋体" w:eastAsia="宋体" w:cs="宋体"/>
          <w:szCs w:val="21"/>
        </w:rPr>
      </w:pPr>
      <w:r>
        <w:rPr>
          <w:rFonts w:hint="eastAsia" w:ascii="宋体" w:hAnsi="宋体" w:eastAsia="宋体" w:cs="宋体"/>
          <w:szCs w:val="21"/>
        </w:rPr>
        <w:t>1.3.3定风量文丘里阀的正常工作压力范围在150-750Pa之间风量与压力无关。当文丘里阀前后两端的压降值发生变化时，应能自动平衡压力波动，在1秒内自动调节至设定的风量值，其误差范围应在±5%之内，而不因该压降变化而有所变化。</w:t>
      </w:r>
    </w:p>
    <w:p>
      <w:pPr>
        <w:spacing w:line="360" w:lineRule="auto"/>
        <w:ind w:firstLine="442" w:firstLineChars="200"/>
        <w:rPr>
          <w:rFonts w:ascii="宋体" w:hAnsi="宋体" w:eastAsia="宋体" w:cs="宋体"/>
          <w:szCs w:val="21"/>
        </w:rPr>
      </w:pPr>
      <w:r>
        <w:rPr>
          <w:rFonts w:hint="eastAsia" w:ascii="宋体" w:hAnsi="宋体" w:eastAsia="宋体" w:cs="宋体"/>
          <w:szCs w:val="21"/>
        </w:rPr>
        <w:t>1.3.4文丘里阀具有压力无关性。</w:t>
      </w:r>
    </w:p>
    <w:p>
      <w:pPr>
        <w:spacing w:line="360" w:lineRule="auto"/>
        <w:ind w:firstLine="442" w:firstLineChars="200"/>
        <w:rPr>
          <w:rFonts w:ascii="宋体" w:hAnsi="宋体" w:eastAsia="宋体" w:cs="宋体"/>
          <w:szCs w:val="21"/>
        </w:rPr>
      </w:pPr>
      <w:r>
        <w:rPr>
          <w:rFonts w:hint="eastAsia" w:ascii="宋体" w:hAnsi="宋体" w:eastAsia="宋体" w:cs="宋体"/>
          <w:szCs w:val="21"/>
        </w:rPr>
        <w:t>1.3.5定风量文丘里阀风量控制精度在设定风量的5%之内。</w:t>
      </w:r>
    </w:p>
    <w:p>
      <w:pPr>
        <w:spacing w:line="360" w:lineRule="auto"/>
        <w:ind w:firstLine="442" w:firstLineChars="200"/>
        <w:rPr>
          <w:rFonts w:ascii="宋体" w:hAnsi="宋体" w:eastAsia="宋体" w:cs="宋体"/>
          <w:szCs w:val="21"/>
        </w:rPr>
      </w:pPr>
      <w:r>
        <w:rPr>
          <w:rFonts w:hint="eastAsia" w:ascii="宋体" w:hAnsi="宋体" w:eastAsia="宋体" w:cs="宋体"/>
          <w:szCs w:val="21"/>
        </w:rPr>
        <w:t>1.3.6为了便于调整，定风量文丘里阀风量控制范围保证所提供的最大处理风量与最小处理风量的可调比至少在12:1以上。</w:t>
      </w:r>
    </w:p>
    <w:p>
      <w:pPr>
        <w:spacing w:line="360" w:lineRule="auto"/>
        <w:ind w:firstLine="442" w:firstLineChars="200"/>
        <w:rPr>
          <w:rFonts w:ascii="宋体" w:hAnsi="宋体" w:eastAsia="宋体" w:cs="宋体"/>
          <w:szCs w:val="21"/>
        </w:rPr>
      </w:pPr>
      <w:r>
        <w:rPr>
          <w:rFonts w:hint="eastAsia" w:ascii="宋体" w:hAnsi="宋体" w:eastAsia="宋体" w:cs="宋体"/>
          <w:szCs w:val="21"/>
        </w:rPr>
        <w:t>1.3.7所有房间排风的定风量文丘里阀，其阀体采用304不锈钢材料，其它金属部件均应采用316L不锈钢材料。</w:t>
      </w:r>
    </w:p>
    <w:p>
      <w:pPr>
        <w:spacing w:line="360" w:lineRule="auto"/>
        <w:ind w:firstLine="442" w:firstLineChars="200"/>
        <w:rPr>
          <w:rFonts w:ascii="宋体" w:hAnsi="宋体" w:eastAsia="宋体" w:cs="宋体"/>
          <w:szCs w:val="21"/>
        </w:rPr>
      </w:pPr>
      <w:r>
        <w:rPr>
          <w:rFonts w:hint="eastAsia" w:ascii="宋体" w:hAnsi="宋体" w:eastAsia="宋体" w:cs="宋体"/>
          <w:szCs w:val="21"/>
        </w:rPr>
        <w:t>1.3.8所有定风量文丘里阀门安装前后无需直管段。</w:t>
      </w:r>
    </w:p>
    <w:p>
      <w:pPr>
        <w:spacing w:line="360" w:lineRule="auto"/>
        <w:ind w:firstLine="442" w:firstLineChars="200"/>
        <w:rPr>
          <w:rFonts w:ascii="宋体" w:hAnsi="宋体" w:eastAsia="宋体" w:cs="宋体"/>
          <w:b/>
          <w:bCs/>
          <w:szCs w:val="21"/>
        </w:rPr>
      </w:pPr>
      <w:bookmarkStart w:id="148" w:name="_Toc19844"/>
      <w:r>
        <w:rPr>
          <w:rFonts w:hint="eastAsia" w:ascii="宋体" w:hAnsi="宋体" w:eastAsia="宋体" w:cs="宋体"/>
          <w:b/>
          <w:bCs/>
          <w:szCs w:val="21"/>
        </w:rPr>
        <w:t>2、FFU</w:t>
      </w:r>
      <w:bookmarkEnd w:id="148"/>
    </w:p>
    <w:p>
      <w:pPr>
        <w:spacing w:line="360" w:lineRule="auto"/>
        <w:ind w:firstLine="442" w:firstLineChars="200"/>
        <w:rPr>
          <w:rFonts w:ascii="宋体" w:hAnsi="宋体" w:eastAsia="宋体" w:cs="宋体"/>
          <w:szCs w:val="21"/>
        </w:rPr>
      </w:pPr>
      <w:r>
        <w:rPr>
          <w:rFonts w:hint="eastAsia" w:ascii="宋体" w:hAnsi="宋体" w:eastAsia="宋体" w:cs="宋体"/>
          <w:szCs w:val="21"/>
        </w:rPr>
        <w:t>2.1 采用性能优越的品牌产品</w:t>
      </w:r>
    </w:p>
    <w:p>
      <w:pPr>
        <w:spacing w:line="360" w:lineRule="auto"/>
        <w:ind w:firstLine="442" w:firstLineChars="200"/>
        <w:rPr>
          <w:rFonts w:ascii="宋体" w:hAnsi="宋体" w:eastAsia="宋体" w:cs="宋体"/>
          <w:szCs w:val="21"/>
        </w:rPr>
      </w:pPr>
      <w:r>
        <w:rPr>
          <w:rFonts w:hint="eastAsia" w:ascii="宋体" w:hAnsi="宋体" w:eastAsia="宋体" w:cs="宋体"/>
          <w:szCs w:val="21"/>
        </w:rPr>
        <w:t>2.2 采用无隔板的高效空气过滤器，过滤介质为PTFE，密封材料需耐酸碱和过氧乙酸，外框材质为表面经过阳极处理的铝型材质。</w:t>
      </w:r>
    </w:p>
    <w:p>
      <w:pPr>
        <w:spacing w:line="360" w:lineRule="auto"/>
        <w:ind w:firstLine="442" w:firstLineChars="200"/>
        <w:rPr>
          <w:rFonts w:ascii="宋体" w:hAnsi="宋体" w:eastAsia="宋体" w:cs="宋体"/>
          <w:szCs w:val="21"/>
        </w:rPr>
      </w:pPr>
      <w:r>
        <w:rPr>
          <w:rFonts w:hint="eastAsia" w:ascii="宋体" w:hAnsi="宋体" w:eastAsia="宋体" w:cs="宋体"/>
          <w:szCs w:val="21"/>
        </w:rPr>
        <w:t xml:space="preserve">★2.3 出厂前需逐台激光计数检测并附带能显示测试风量、实测阻力和效率、MPPS值及实测最低效率值等参数的三维检测报告，每台都提供一份出厂检测报告与合格证，效率：99.95%@MPPS </w:t>
      </w:r>
    </w:p>
    <w:p>
      <w:pPr>
        <w:spacing w:line="360" w:lineRule="auto"/>
        <w:ind w:firstLine="442" w:firstLineChars="200"/>
        <w:rPr>
          <w:rFonts w:ascii="宋体" w:hAnsi="宋体" w:eastAsia="宋体" w:cs="宋体"/>
          <w:szCs w:val="21"/>
        </w:rPr>
      </w:pPr>
      <w:r>
        <w:rPr>
          <w:rFonts w:hint="eastAsia" w:ascii="宋体" w:hAnsi="宋体" w:eastAsia="宋体" w:cs="宋体"/>
          <w:szCs w:val="21"/>
        </w:rPr>
        <w:t>★2.4 PTFE高效过滤器中不存在 C3H6O、C3H8O、C4H8O2、C6H6、C7H8的挥发。需提供第三方检测报告复印件加盖生产厂家章。中标后提供制造商针对本项目的质量承诺书。</w:t>
      </w:r>
    </w:p>
    <w:p>
      <w:pPr>
        <w:spacing w:line="360" w:lineRule="auto"/>
        <w:ind w:firstLine="442" w:firstLineChars="200"/>
        <w:rPr>
          <w:rFonts w:ascii="宋体" w:hAnsi="宋体" w:eastAsia="宋体" w:cs="宋体"/>
          <w:szCs w:val="21"/>
        </w:rPr>
      </w:pPr>
      <w:r>
        <w:rPr>
          <w:rFonts w:hint="eastAsia" w:ascii="宋体" w:hAnsi="宋体" w:eastAsia="宋体" w:cs="宋体"/>
          <w:szCs w:val="21"/>
        </w:rPr>
        <w:t>2.5 滤料折高不低于35mm，初阻力≤50Pa@0.45m/s</w:t>
      </w:r>
    </w:p>
    <w:p>
      <w:pPr>
        <w:spacing w:line="360" w:lineRule="auto"/>
        <w:ind w:firstLine="442" w:firstLineChars="200"/>
        <w:rPr>
          <w:rFonts w:ascii="宋体" w:hAnsi="宋体" w:eastAsia="宋体" w:cs="宋体"/>
          <w:szCs w:val="21"/>
        </w:rPr>
      </w:pPr>
      <w:r>
        <w:rPr>
          <w:rFonts w:hint="eastAsia" w:ascii="宋体" w:hAnsi="宋体" w:eastAsia="宋体" w:cs="宋体"/>
          <w:szCs w:val="21"/>
        </w:rPr>
        <w:t>★2.6. 具有ISO、UL等相关认证证书</w:t>
      </w:r>
    </w:p>
    <w:p>
      <w:pPr>
        <w:spacing w:line="360" w:lineRule="auto"/>
        <w:ind w:firstLine="442" w:firstLineChars="200"/>
        <w:rPr>
          <w:rFonts w:ascii="宋体" w:hAnsi="宋体" w:eastAsia="宋体" w:cs="宋体"/>
          <w:b/>
          <w:bCs/>
          <w:szCs w:val="21"/>
        </w:rPr>
      </w:pPr>
      <w:bookmarkStart w:id="149" w:name="_Toc8037"/>
      <w:r>
        <w:rPr>
          <w:rFonts w:hint="eastAsia" w:ascii="宋体" w:hAnsi="宋体" w:eastAsia="宋体" w:cs="宋体"/>
          <w:b/>
          <w:bCs/>
          <w:szCs w:val="21"/>
        </w:rPr>
        <w:t>3、能源管理</w:t>
      </w:r>
      <w:bookmarkEnd w:id="149"/>
    </w:p>
    <w:p>
      <w:pPr>
        <w:spacing w:line="360" w:lineRule="auto"/>
        <w:ind w:firstLine="442" w:firstLineChars="200"/>
        <w:rPr>
          <w:rFonts w:ascii="宋体" w:hAnsi="宋体" w:eastAsia="宋体" w:cs="宋体"/>
          <w:szCs w:val="21"/>
        </w:rPr>
      </w:pPr>
      <w:r>
        <w:rPr>
          <w:rFonts w:hint="eastAsia" w:ascii="宋体" w:hAnsi="宋体" w:eastAsia="宋体" w:cs="宋体"/>
          <w:szCs w:val="21"/>
        </w:rPr>
        <w:t>★3.1整个空调系统应配置电能表及热能表，方便对整个系统的用电能耗进行监测。现场仪表热能表应达到《JJG225-2001 热能表》或《GB/T32224-2015热量表》标准中准确度等级：1级的标准，并具有中华人民共和国计量器具型式批准证书。提供省级以上的计量院出具的评价报告和中华人民共和国计量器具型式批准证书加盖厂商章。为了保证稳定可靠，热量表的各组成部分（温度传感器，流量传感器，计算仪）应当采用同一品牌的成套解决方案，不得采用不同品牌组合使用。</w:t>
      </w:r>
    </w:p>
    <w:p>
      <w:pPr>
        <w:spacing w:line="360" w:lineRule="auto"/>
        <w:ind w:firstLine="442" w:firstLineChars="200"/>
        <w:rPr>
          <w:rFonts w:ascii="宋体" w:hAnsi="宋体" w:eastAsia="宋体" w:cs="宋体"/>
          <w:szCs w:val="21"/>
        </w:rPr>
      </w:pPr>
      <w:r>
        <w:rPr>
          <w:rFonts w:hint="eastAsia" w:ascii="宋体" w:hAnsi="宋体" w:eastAsia="宋体" w:cs="宋体"/>
          <w:szCs w:val="21"/>
        </w:rPr>
        <w:t>3.2流量传感器（电磁流量计）：出厂默认标准四电极 (内置空管检测电极与接地电极) 确保测量稳定，精准。测量值：同时显示瞬时流量、累计流量、流速、单位、报警、错误信息等。</w:t>
      </w:r>
    </w:p>
    <w:p>
      <w:pPr>
        <w:spacing w:line="360" w:lineRule="auto"/>
        <w:ind w:firstLine="442" w:firstLineChars="200"/>
        <w:rPr>
          <w:rFonts w:ascii="宋体" w:hAnsi="宋体" w:eastAsia="宋体" w:cs="宋体"/>
          <w:szCs w:val="21"/>
        </w:rPr>
      </w:pPr>
      <w:r>
        <w:rPr>
          <w:rFonts w:hint="eastAsia" w:ascii="宋体" w:hAnsi="宋体" w:eastAsia="宋体" w:cs="宋体"/>
          <w:szCs w:val="21"/>
        </w:rPr>
        <w:t>3.3 EPD空管检测功能，确保仪表工作在满管状态，测量稳定，可靠。测量参数口径范围：DN50-DN1200测量精度： 不低于0.5级</w:t>
      </w:r>
    </w:p>
    <w:p>
      <w:pPr>
        <w:spacing w:line="360" w:lineRule="auto"/>
        <w:ind w:firstLine="442" w:firstLineChars="200"/>
        <w:rPr>
          <w:rFonts w:ascii="宋体" w:hAnsi="宋体" w:eastAsia="宋体" w:cs="宋体"/>
          <w:szCs w:val="21"/>
        </w:rPr>
      </w:pPr>
      <w:r>
        <w:rPr>
          <w:rFonts w:hint="eastAsia" w:ascii="宋体" w:hAnsi="宋体" w:eastAsia="宋体" w:cs="宋体"/>
          <w:szCs w:val="21"/>
        </w:rPr>
        <w:t>3.4内衬类型： PTFE, 聚氨酯操作条件</w:t>
      </w:r>
    </w:p>
    <w:p>
      <w:pPr>
        <w:spacing w:line="360" w:lineRule="auto"/>
        <w:ind w:firstLine="442" w:firstLineChars="200"/>
        <w:rPr>
          <w:rFonts w:ascii="宋体" w:hAnsi="宋体" w:eastAsia="宋体" w:cs="宋体"/>
          <w:szCs w:val="21"/>
        </w:rPr>
      </w:pPr>
      <w:r>
        <w:rPr>
          <w:rFonts w:hint="eastAsia" w:ascii="宋体" w:hAnsi="宋体" w:eastAsia="宋体" w:cs="宋体"/>
          <w:szCs w:val="21"/>
        </w:rPr>
        <w:t>3.5海拔高度：符合IEC61010-1 Ed.3 标准</w:t>
      </w:r>
    </w:p>
    <w:p>
      <w:pPr>
        <w:spacing w:line="360" w:lineRule="auto"/>
        <w:ind w:firstLine="442" w:firstLineChars="200"/>
        <w:rPr>
          <w:rFonts w:ascii="宋体" w:hAnsi="宋体" w:eastAsia="宋体" w:cs="宋体"/>
          <w:szCs w:val="21"/>
        </w:rPr>
      </w:pPr>
      <w:r>
        <w:rPr>
          <w:rFonts w:hint="eastAsia" w:ascii="宋体" w:hAnsi="宋体" w:eastAsia="宋体" w:cs="宋体"/>
          <w:szCs w:val="21"/>
        </w:rPr>
        <w:t>3.6抗振性：符合DIN EN 60068-2-64 / IEC 68-2-64 标准</w:t>
      </w:r>
    </w:p>
    <w:p>
      <w:pPr>
        <w:spacing w:line="360" w:lineRule="auto"/>
        <w:ind w:firstLine="1105" w:firstLineChars="500"/>
        <w:rPr>
          <w:rFonts w:ascii="宋体" w:hAnsi="宋体" w:eastAsia="宋体" w:cs="宋体"/>
          <w:szCs w:val="21"/>
        </w:rPr>
      </w:pPr>
      <w:r>
        <w:rPr>
          <w:rFonts w:hint="eastAsia" w:ascii="宋体" w:hAnsi="宋体" w:eastAsia="宋体" w:cs="宋体"/>
          <w:szCs w:val="21"/>
        </w:rPr>
        <w:t>EMC：符合EN 61326 系列标准和NAMUR 推荐的EMC (NE21)</w:t>
      </w:r>
    </w:p>
    <w:p>
      <w:pPr>
        <w:spacing w:line="360" w:lineRule="auto"/>
        <w:ind w:firstLine="442" w:firstLineChars="200"/>
        <w:rPr>
          <w:rFonts w:ascii="宋体" w:hAnsi="宋体" w:eastAsia="宋体" w:cs="宋体"/>
          <w:szCs w:val="21"/>
        </w:rPr>
      </w:pPr>
      <w:r>
        <w:rPr>
          <w:rFonts w:hint="eastAsia" w:ascii="宋体" w:hAnsi="宋体" w:eastAsia="宋体" w:cs="宋体"/>
          <w:szCs w:val="21"/>
        </w:rPr>
        <w:t>3.7 PT100 温度传感器</w:t>
      </w:r>
    </w:p>
    <w:p>
      <w:pPr>
        <w:spacing w:line="360" w:lineRule="auto"/>
        <w:ind w:firstLine="1105" w:firstLineChars="500"/>
        <w:rPr>
          <w:rFonts w:ascii="宋体" w:hAnsi="宋体" w:eastAsia="宋体" w:cs="宋体"/>
          <w:szCs w:val="21"/>
        </w:rPr>
      </w:pPr>
      <w:r>
        <w:rPr>
          <w:rFonts w:hint="eastAsia" w:ascii="宋体" w:hAnsi="宋体" w:eastAsia="宋体" w:cs="宋体"/>
          <w:szCs w:val="21"/>
        </w:rPr>
        <w:t>测量范围：-200-600摄氏度测温范围测量精度：A级精度</w:t>
      </w:r>
    </w:p>
    <w:p>
      <w:pPr>
        <w:spacing w:line="360" w:lineRule="auto"/>
        <w:ind w:firstLine="442" w:firstLineChars="200"/>
        <w:rPr>
          <w:rFonts w:ascii="宋体" w:hAnsi="宋体" w:eastAsia="宋体" w:cs="宋体"/>
          <w:szCs w:val="21"/>
        </w:rPr>
      </w:pPr>
      <w:r>
        <w:rPr>
          <w:rFonts w:hint="eastAsia" w:ascii="宋体" w:hAnsi="宋体" w:eastAsia="宋体" w:cs="宋体"/>
          <w:szCs w:val="21"/>
        </w:rPr>
        <w:t>★3.8温度传感器，CvD校正功能，双传感器最终温差精度不低于0.04摄氏度，应提供证明文件复印件并加盖生产厂家章。中标后提供制造商针对本项目的质量承诺书。</w:t>
      </w:r>
    </w:p>
    <w:p>
      <w:pPr>
        <w:spacing w:line="360" w:lineRule="auto"/>
        <w:ind w:firstLine="442" w:firstLineChars="200"/>
        <w:rPr>
          <w:rFonts w:ascii="宋体" w:hAnsi="宋体" w:eastAsia="宋体" w:cs="宋体"/>
          <w:szCs w:val="21"/>
        </w:rPr>
      </w:pPr>
      <w:r>
        <w:rPr>
          <w:rFonts w:hint="eastAsia" w:ascii="宋体" w:hAnsi="宋体" w:eastAsia="宋体" w:cs="宋体"/>
          <w:szCs w:val="21"/>
        </w:rPr>
        <w:t>3.9计算仪水、乙二醇 、水/乙二醇混合介质、乙烯/乙二醇混合介质、丙烯/乙二醇混合介质、热油、制冷剂等介质的焓值计算</w:t>
      </w:r>
    </w:p>
    <w:p>
      <w:pPr>
        <w:spacing w:line="360" w:lineRule="auto"/>
        <w:ind w:firstLine="442" w:firstLineChars="200"/>
        <w:rPr>
          <w:rFonts w:ascii="宋体" w:hAnsi="宋体" w:eastAsia="宋体" w:cs="宋体"/>
          <w:szCs w:val="21"/>
        </w:rPr>
      </w:pPr>
      <w:r>
        <w:rPr>
          <w:rFonts w:hint="eastAsia" w:ascii="宋体" w:hAnsi="宋体" w:eastAsia="宋体" w:cs="宋体"/>
          <w:szCs w:val="21"/>
        </w:rPr>
        <w:t>3.10通过Callendar-van-Dusen系数来匹配温度传感器，温差精度不低于0.04K</w:t>
      </w:r>
    </w:p>
    <w:p>
      <w:pPr>
        <w:spacing w:line="360" w:lineRule="auto"/>
        <w:ind w:firstLine="442" w:firstLineChars="200"/>
        <w:rPr>
          <w:rFonts w:ascii="宋体" w:hAnsi="宋体" w:eastAsia="宋体" w:cs="宋体"/>
          <w:szCs w:val="21"/>
        </w:rPr>
      </w:pPr>
      <w:r>
        <w:rPr>
          <w:rFonts w:hint="eastAsia" w:ascii="宋体" w:hAnsi="宋体" w:eastAsia="宋体" w:cs="宋体"/>
          <w:szCs w:val="21"/>
        </w:rPr>
        <w:t>3.11供热回路和制冷回路以及混合回路的能量计算</w:t>
      </w:r>
    </w:p>
    <w:p>
      <w:pPr>
        <w:spacing w:line="360" w:lineRule="auto"/>
        <w:ind w:firstLine="442" w:firstLineChars="200"/>
        <w:rPr>
          <w:rFonts w:ascii="宋体" w:hAnsi="宋体" w:eastAsia="宋体" w:cs="宋体"/>
          <w:szCs w:val="21"/>
        </w:rPr>
      </w:pPr>
      <w:r>
        <w:rPr>
          <w:rFonts w:hint="eastAsia" w:ascii="宋体" w:hAnsi="宋体" w:eastAsia="宋体" w:cs="宋体"/>
          <w:szCs w:val="21"/>
        </w:rPr>
        <w:t>3.12双向测量，水的能量计算遵循IAWPS-IF97最新规则。</w:t>
      </w:r>
    </w:p>
    <w:p>
      <w:pPr>
        <w:spacing w:line="360" w:lineRule="auto"/>
        <w:ind w:firstLine="442" w:firstLineChars="200"/>
        <w:rPr>
          <w:rFonts w:ascii="宋体" w:hAnsi="宋体" w:eastAsia="宋体" w:cs="宋体"/>
          <w:szCs w:val="21"/>
        </w:rPr>
      </w:pPr>
      <w:r>
        <w:rPr>
          <w:rFonts w:hint="eastAsia" w:ascii="宋体" w:hAnsi="宋体" w:eastAsia="宋体" w:cs="宋体"/>
          <w:szCs w:val="21"/>
        </w:rPr>
        <w:t>3.13 Modbus TCP/RTU总线通讯</w:t>
      </w:r>
    </w:p>
    <w:p>
      <w:pPr>
        <w:spacing w:line="360" w:lineRule="auto"/>
        <w:ind w:firstLine="442" w:firstLineChars="200"/>
        <w:rPr>
          <w:rFonts w:ascii="宋体" w:hAnsi="宋体" w:eastAsia="宋体" w:cs="宋体"/>
          <w:szCs w:val="21"/>
        </w:rPr>
      </w:pPr>
      <w:r>
        <w:rPr>
          <w:rFonts w:hint="eastAsia" w:ascii="宋体" w:hAnsi="宋体" w:eastAsia="宋体" w:cs="宋体"/>
          <w:szCs w:val="21"/>
        </w:rPr>
        <w:t>3.14 EN1434 和 OIML-75认证</w:t>
      </w:r>
    </w:p>
    <w:p>
      <w:pPr>
        <w:spacing w:line="360" w:lineRule="auto"/>
        <w:ind w:firstLine="442" w:firstLineChars="200"/>
        <w:rPr>
          <w:rFonts w:ascii="宋体" w:hAnsi="宋体" w:eastAsia="宋体" w:cs="宋体"/>
          <w:szCs w:val="21"/>
        </w:rPr>
      </w:pPr>
      <w:r>
        <w:rPr>
          <w:rFonts w:hint="eastAsia" w:ascii="宋体" w:hAnsi="宋体" w:eastAsia="宋体" w:cs="宋体"/>
          <w:szCs w:val="21"/>
        </w:rPr>
        <w:t>3.15数据和时间备份存储功能</w:t>
      </w:r>
    </w:p>
    <w:p>
      <w:pPr>
        <w:spacing w:line="360" w:lineRule="auto"/>
        <w:ind w:firstLine="442" w:firstLineChars="200"/>
        <w:rPr>
          <w:rFonts w:ascii="宋体" w:hAnsi="宋体" w:eastAsia="宋体" w:cs="宋体"/>
          <w:szCs w:val="21"/>
        </w:rPr>
      </w:pPr>
      <w:r>
        <w:rPr>
          <w:rFonts w:hint="eastAsia" w:ascii="宋体" w:hAnsi="宋体" w:eastAsia="宋体" w:cs="宋体"/>
          <w:szCs w:val="21"/>
        </w:rPr>
        <w:t>3.16远程以太网数据读出和数据库存储功能</w:t>
      </w:r>
    </w:p>
    <w:p>
      <w:pPr>
        <w:spacing w:line="360" w:lineRule="auto"/>
        <w:ind w:firstLine="442" w:firstLineChars="200"/>
        <w:rPr>
          <w:rFonts w:ascii="宋体" w:hAnsi="宋体" w:eastAsia="宋体" w:cs="宋体"/>
          <w:b/>
          <w:bCs/>
          <w:szCs w:val="21"/>
        </w:rPr>
      </w:pPr>
      <w:bookmarkStart w:id="150" w:name="_Toc18789"/>
      <w:r>
        <w:rPr>
          <w:rFonts w:hint="eastAsia" w:ascii="宋体" w:hAnsi="宋体" w:eastAsia="宋体" w:cs="宋体"/>
          <w:b/>
          <w:bCs/>
          <w:szCs w:val="21"/>
        </w:rPr>
        <w:t>4、空调内机</w:t>
      </w:r>
      <w:bookmarkEnd w:id="150"/>
    </w:p>
    <w:p>
      <w:pPr>
        <w:spacing w:line="360" w:lineRule="auto"/>
        <w:ind w:firstLine="442" w:firstLineChars="200"/>
        <w:rPr>
          <w:rFonts w:ascii="宋体" w:hAnsi="宋体" w:eastAsia="宋体" w:cs="宋体"/>
          <w:szCs w:val="21"/>
        </w:rPr>
      </w:pPr>
      <w:r>
        <w:rPr>
          <w:rFonts w:hint="eastAsia" w:ascii="宋体" w:hAnsi="宋体" w:eastAsia="宋体" w:cs="宋体"/>
          <w:szCs w:val="21"/>
        </w:rPr>
        <w:t>4.1总体要求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4.1.1投标设备应完全满足符合《组合式空调机组国标》 GB/T14294-2008的各项规定及要求；组合式空气处理机组采用模数化设计；组合式空调机组必须为原厂生产。</w:t>
      </w:r>
    </w:p>
    <w:p>
      <w:pPr>
        <w:spacing w:line="360" w:lineRule="auto"/>
        <w:ind w:firstLine="442" w:firstLineChars="200"/>
        <w:rPr>
          <w:rFonts w:ascii="宋体" w:hAnsi="宋体" w:eastAsia="宋体" w:cs="宋体"/>
          <w:szCs w:val="21"/>
        </w:rPr>
      </w:pPr>
      <w:r>
        <w:rPr>
          <w:rFonts w:hint="eastAsia" w:ascii="宋体" w:hAnsi="宋体" w:eastAsia="宋体" w:cs="宋体"/>
          <w:szCs w:val="21"/>
        </w:rPr>
        <w:t>4.1.2组合式空调机组的数量、性能参数要求详见设备清单。投标文件应列出设备清单内要求的性能参数与制造商提供设备性能参数的对照表，偏差之处要明显的进行提示。冷热量及加湿量必须满足设计要求(已考虑一定的设计余量),不可有负偏差。</w:t>
      </w:r>
    </w:p>
    <w:p>
      <w:pPr>
        <w:spacing w:line="360" w:lineRule="auto"/>
        <w:ind w:firstLine="442" w:firstLineChars="200"/>
        <w:rPr>
          <w:rFonts w:ascii="宋体" w:hAnsi="宋体" w:eastAsia="宋体" w:cs="宋体"/>
          <w:szCs w:val="21"/>
        </w:rPr>
      </w:pPr>
      <w:r>
        <w:rPr>
          <w:rFonts w:hint="eastAsia" w:ascii="宋体" w:hAnsi="宋体" w:eastAsia="宋体" w:cs="宋体"/>
          <w:szCs w:val="21"/>
        </w:rPr>
        <w:t>4.1.3组合空调机组风量的实测值不得低于额定值的95％，全压的实测值不得低于额定值。输入功率不高于额定值的110%。</w:t>
      </w:r>
    </w:p>
    <w:p>
      <w:pPr>
        <w:spacing w:line="360" w:lineRule="auto"/>
        <w:ind w:firstLine="442" w:firstLineChars="200"/>
        <w:rPr>
          <w:rFonts w:ascii="宋体" w:hAnsi="宋体" w:eastAsia="宋体" w:cs="宋体"/>
          <w:szCs w:val="21"/>
        </w:rPr>
      </w:pPr>
      <w:r>
        <w:rPr>
          <w:rFonts w:hint="eastAsia" w:ascii="宋体" w:hAnsi="宋体" w:eastAsia="宋体" w:cs="宋体"/>
          <w:szCs w:val="21"/>
        </w:rPr>
        <w:t>4.1.4空调机组噪音必须满足设计要求。最大外形尺寸及重量尽量满足要求。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4.1.5制造厂商空调机组的设计制造尺寸必须满足现场位置的安装；箱体按功能段进行工厂生产，应易于现场组装。机组高度（含底座）超过2.6米时，必须整机采用散件运输，面板、型材支撑、各外购部件等，应分别采用木箱包装。机组高度（含底座）不高于2.6米时，应尽量采用分段运输，现场进行各段组装。</w:t>
      </w:r>
    </w:p>
    <w:p>
      <w:pPr>
        <w:spacing w:line="360" w:lineRule="auto"/>
        <w:ind w:firstLine="442" w:firstLineChars="200"/>
        <w:rPr>
          <w:rFonts w:ascii="宋体" w:hAnsi="宋体" w:eastAsia="宋体" w:cs="宋体"/>
          <w:szCs w:val="21"/>
        </w:rPr>
      </w:pPr>
      <w:r>
        <w:rPr>
          <w:rFonts w:hint="eastAsia" w:ascii="宋体" w:hAnsi="宋体" w:eastAsia="宋体" w:cs="宋体"/>
          <w:szCs w:val="21"/>
        </w:rPr>
        <w:t>4.1.6 机组生产时，必须根据GB/T14294-2008《组合式空调机组》的要求，对机组的外观、标志、包装、启动运行、盘管耐压性能等进行测试。供货时，需每台机组提供针对上述各项的测试报告及合格证。</w:t>
      </w:r>
    </w:p>
    <w:p>
      <w:pPr>
        <w:spacing w:line="360" w:lineRule="auto"/>
        <w:ind w:firstLine="442" w:firstLineChars="200"/>
        <w:rPr>
          <w:rFonts w:ascii="宋体" w:hAnsi="宋体" w:eastAsia="宋体" w:cs="宋体"/>
          <w:szCs w:val="21"/>
        </w:rPr>
      </w:pPr>
      <w:r>
        <w:rPr>
          <w:rFonts w:hint="eastAsia" w:ascii="宋体" w:hAnsi="宋体" w:eastAsia="宋体" w:cs="宋体"/>
          <w:szCs w:val="21"/>
        </w:rPr>
        <w:t>4.1.7每台机组应有产品铭牌，必须牢固着于设备正面显著位置。所提供设备铭牌必须具有指示、警告标识，铭牌内容应符合国家有关标准规定，内容应包括：</w:t>
      </w:r>
    </w:p>
    <w:p>
      <w:pPr>
        <w:spacing w:line="360" w:lineRule="auto"/>
        <w:ind w:firstLine="442" w:firstLineChars="200"/>
        <w:rPr>
          <w:rFonts w:ascii="宋体" w:hAnsi="宋体" w:eastAsia="宋体" w:cs="宋体"/>
          <w:szCs w:val="21"/>
        </w:rPr>
      </w:pPr>
      <w:r>
        <w:rPr>
          <w:rFonts w:hint="eastAsia" w:ascii="宋体" w:hAnsi="宋体" w:eastAsia="宋体" w:cs="宋体"/>
          <w:szCs w:val="21"/>
        </w:rPr>
        <w:t>机组名称、机组编号、机组主要技术参数（额定功率、风量,风机全压/机外余压、供冷量、供热量、进出水方向、电源规格、转速）、出厂编号、制造日期、制造厂名称。</w:t>
      </w:r>
    </w:p>
    <w:p>
      <w:pPr>
        <w:spacing w:line="360" w:lineRule="auto"/>
        <w:ind w:firstLine="442" w:firstLineChars="200"/>
        <w:rPr>
          <w:rFonts w:ascii="宋体" w:hAnsi="宋体" w:eastAsia="宋体" w:cs="宋体"/>
          <w:szCs w:val="21"/>
        </w:rPr>
      </w:pPr>
      <w:r>
        <w:rPr>
          <w:rFonts w:hint="eastAsia" w:ascii="宋体" w:hAnsi="宋体" w:eastAsia="宋体" w:cs="宋体"/>
          <w:szCs w:val="21"/>
        </w:rPr>
        <w:t>4.1.8组合式空调机组应至少通过一种第三方认证，并提供认证证书，第三方认证为EUROVENT、CRAA的其中一种或多种。组合式空调机组的冷冻水盘管及热水盘管需通过美国AHRI认证。</w:t>
      </w:r>
    </w:p>
    <w:p>
      <w:pPr>
        <w:spacing w:line="360" w:lineRule="auto"/>
        <w:ind w:firstLine="442" w:firstLineChars="200"/>
        <w:rPr>
          <w:rFonts w:ascii="宋体" w:hAnsi="宋体" w:eastAsia="宋体" w:cs="宋体"/>
          <w:szCs w:val="21"/>
        </w:rPr>
      </w:pPr>
      <w:r>
        <w:rPr>
          <w:rFonts w:hint="eastAsia" w:ascii="宋体" w:hAnsi="宋体" w:eastAsia="宋体" w:cs="宋体"/>
          <w:szCs w:val="21"/>
        </w:rPr>
        <w:t>4.2组合式空调机组的箱体结构要求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w:t>
      </w:r>
      <w:r>
        <w:rPr>
          <w:rFonts w:ascii="宋体" w:hAnsi="宋体" w:eastAsia="宋体" w:cs="宋体"/>
          <w:szCs w:val="21"/>
        </w:rPr>
        <w:t>4.2.1组合式空调机组的箱体需通过带有高强度铝型材的聚氨酯发泡面板整体拼接而成；制造厂商应提供组合式空调机组的结构专利证书。</w:t>
      </w:r>
    </w:p>
    <w:p>
      <w:pPr>
        <w:spacing w:line="360" w:lineRule="auto"/>
        <w:ind w:firstLine="442" w:firstLineChars="200"/>
        <w:rPr>
          <w:rFonts w:ascii="宋体" w:hAnsi="宋体" w:eastAsia="宋体" w:cs="宋体"/>
          <w:szCs w:val="21"/>
        </w:rPr>
      </w:pPr>
      <w:r>
        <w:rPr>
          <w:rFonts w:ascii="宋体" w:hAnsi="宋体" w:eastAsia="宋体" w:cs="宋体"/>
          <w:szCs w:val="21"/>
        </w:rPr>
        <w:t>4.2.2面板:外板必须采用彩涂板，板厚不得小于0.4mm；</w:t>
      </w:r>
      <w:r>
        <w:rPr>
          <w:rFonts w:hint="eastAsia" w:ascii="宋体" w:hAnsi="宋体" w:eastAsia="宋体" w:cs="宋体"/>
          <w:szCs w:val="21"/>
        </w:rPr>
        <w:t>内板必须采用镀铝锌板或不锈钢板，板厚不得小于0.5mm。内外板材均不得使用镀锌钢板，以免降低寿命。外板必须带保护膜，保证机组外表面无明显划伤、锈蚀和压痕，涂层均匀色调一致，无气泡和剥落。</w:t>
      </w:r>
    </w:p>
    <w:p>
      <w:pPr>
        <w:spacing w:line="360" w:lineRule="auto"/>
        <w:ind w:firstLine="442" w:firstLineChars="200"/>
        <w:rPr>
          <w:rFonts w:ascii="宋体" w:hAnsi="宋体" w:eastAsia="宋体" w:cs="宋体"/>
          <w:szCs w:val="21"/>
        </w:rPr>
      </w:pPr>
      <w:r>
        <w:rPr>
          <w:rFonts w:hint="eastAsia" w:ascii="宋体" w:hAnsi="宋体" w:eastAsia="宋体" w:cs="宋体"/>
          <w:szCs w:val="21"/>
        </w:rPr>
        <w:t>★4.2.3采用线接触的结构密封，不得采用平面接触密封方式，以降低漏风率。面板需通过高强度螺栓固定，不得采用自攻螺钉固定，以降低漏风率。面板与框架及其它联接件之间采用特制的UPVC护套结构和高弹性密封条密封。漏风率要求用于净化空调系统的机组，机组内静压保持1000Pa时漏风率≤0.012%，机组内静压保持-1000Pa时漏风率≤0.011%，</w:t>
      </w:r>
      <w:r>
        <w:rPr>
          <w:rFonts w:hint="eastAsia" w:ascii="宋体" w:hAnsi="宋体" w:eastAsia="宋体" w:cs="宋体"/>
          <w:b/>
          <w:bCs/>
          <w:szCs w:val="21"/>
        </w:rPr>
        <w:t>需提供第三方测试报告</w:t>
      </w:r>
      <w:r>
        <w:rPr>
          <w:rFonts w:hint="eastAsia" w:ascii="宋体" w:hAnsi="宋体" w:eastAsia="宋体" w:cs="宋体"/>
          <w:szCs w:val="21"/>
        </w:rPr>
        <w:t>。</w:t>
      </w:r>
    </w:p>
    <w:p>
      <w:pPr>
        <w:spacing w:line="360" w:lineRule="auto"/>
        <w:ind w:firstLine="442" w:firstLineChars="200"/>
        <w:rPr>
          <w:rFonts w:ascii="宋体" w:hAnsi="宋体" w:eastAsia="宋体" w:cs="宋体"/>
          <w:szCs w:val="21"/>
        </w:rPr>
      </w:pPr>
      <w:r>
        <w:rPr>
          <w:rFonts w:hint="eastAsia" w:ascii="宋体" w:hAnsi="宋体" w:eastAsia="宋体" w:cs="宋体"/>
          <w:szCs w:val="21"/>
        </w:rPr>
        <w:t>4.2.4面板中间采用环保无氟聚氨脂整体高压发泡，密度不低于48kg/m^3，导热系数≤0.02 W/m*℃，不得采用石棉或玻璃棉作为保温材料。面板厚度不得小于25mm，建议采用50mm。保温层与内外壁板应结合牢固。出厂时机组外面板应覆保护膜，以防现场组装时表面被划伤。良好的防冷桥措施，确保空调机组在任何工况条件下运行时机组的所有外表面无结露现象出现。</w:t>
      </w:r>
    </w:p>
    <w:p>
      <w:pPr>
        <w:spacing w:line="360" w:lineRule="auto"/>
        <w:ind w:firstLine="442" w:firstLineChars="200"/>
        <w:rPr>
          <w:rFonts w:ascii="宋体" w:hAnsi="宋体" w:eastAsia="宋体" w:cs="宋体"/>
          <w:szCs w:val="21"/>
        </w:rPr>
      </w:pPr>
      <w:r>
        <w:rPr>
          <w:rFonts w:hint="eastAsia" w:ascii="宋体" w:hAnsi="宋体" w:eastAsia="宋体" w:cs="宋体"/>
          <w:szCs w:val="21"/>
        </w:rPr>
        <w:t>★4.2.5新回风及送风口配多叶对开风阀，材质为镀锌钢板。风阀应具备调节灵活、密封性能好，密封件采用耐高温弹性密封橡胶。压差在800Pa范围内风阀漏风率不得超过1.5%。</w:t>
      </w:r>
      <w:r>
        <w:rPr>
          <w:rFonts w:hint="eastAsia" w:ascii="宋体" w:hAnsi="宋体" w:eastAsia="宋体" w:cs="宋体"/>
          <w:b/>
          <w:bCs/>
          <w:szCs w:val="21"/>
        </w:rPr>
        <w:t>风阀需单独提供第三方测试报告。</w:t>
      </w:r>
    </w:p>
    <w:p>
      <w:pPr>
        <w:spacing w:line="360" w:lineRule="auto"/>
        <w:ind w:firstLine="442" w:firstLineChars="200"/>
        <w:rPr>
          <w:rFonts w:ascii="宋体" w:hAnsi="宋体" w:eastAsia="宋体" w:cs="宋体"/>
          <w:szCs w:val="21"/>
        </w:rPr>
      </w:pPr>
      <w:r>
        <w:rPr>
          <w:rFonts w:hint="eastAsia" w:ascii="宋体" w:hAnsi="宋体" w:eastAsia="宋体" w:cs="宋体"/>
          <w:szCs w:val="21"/>
        </w:rPr>
        <w:t>4.2.6机组的每个功能段内设检修灯，检修灯24V/36V；检修灯带一个总开关，开关盒安装在机组外面，方便操作。检修灯的接线必须用PVC穿管保护.</w:t>
      </w:r>
    </w:p>
    <w:p>
      <w:pPr>
        <w:spacing w:line="360" w:lineRule="auto"/>
        <w:ind w:firstLine="442" w:firstLineChars="200"/>
        <w:rPr>
          <w:rFonts w:ascii="宋体" w:hAnsi="宋体" w:eastAsia="宋体" w:cs="宋体"/>
          <w:szCs w:val="21"/>
        </w:rPr>
      </w:pPr>
      <w:r>
        <w:rPr>
          <w:rFonts w:hint="eastAsia" w:ascii="宋体" w:hAnsi="宋体" w:eastAsia="宋体" w:cs="宋体"/>
          <w:szCs w:val="21"/>
        </w:rPr>
        <w:t>4.27底座采用国标槽钢，槽钢外必须有防腐喷涂，涂层≥70μm，底座不得采用镀锌钢板制造，以增加强度，延长寿命。</w:t>
      </w:r>
    </w:p>
    <w:p>
      <w:pPr>
        <w:spacing w:line="360" w:lineRule="auto"/>
        <w:ind w:firstLine="442" w:firstLineChars="200"/>
        <w:rPr>
          <w:rFonts w:ascii="宋体" w:hAnsi="宋体" w:eastAsia="宋体" w:cs="宋体"/>
          <w:szCs w:val="21"/>
        </w:rPr>
      </w:pPr>
      <w:r>
        <w:rPr>
          <w:rFonts w:hint="eastAsia" w:ascii="宋体" w:hAnsi="宋体" w:eastAsia="宋体" w:cs="宋体"/>
          <w:szCs w:val="21"/>
        </w:rPr>
        <w:t>4.28各功能段之间在拼装时，采用PVC及PE棉作为密封材料以保证整个机组的密封性。保证所有段之间拼装整齐，表面平整。杜绝所有形成冷桥的潜在可能。连接件必须防腐蚀。中标单位应提供机组安装基础图。</w:t>
      </w:r>
    </w:p>
    <w:p>
      <w:pPr>
        <w:spacing w:line="360" w:lineRule="auto"/>
        <w:ind w:firstLine="442" w:firstLineChars="200"/>
        <w:rPr>
          <w:rFonts w:ascii="宋体" w:hAnsi="宋体" w:eastAsia="宋体" w:cs="宋体"/>
          <w:szCs w:val="21"/>
        </w:rPr>
      </w:pPr>
      <w:r>
        <w:rPr>
          <w:rFonts w:hint="eastAsia" w:ascii="宋体" w:hAnsi="宋体" w:eastAsia="宋体" w:cs="宋体"/>
          <w:szCs w:val="21"/>
        </w:rPr>
        <w:t xml:space="preserve">4.3  风机段 </w:t>
      </w:r>
    </w:p>
    <w:p>
      <w:pPr>
        <w:spacing w:line="360" w:lineRule="auto"/>
        <w:ind w:firstLine="442" w:firstLineChars="200"/>
        <w:rPr>
          <w:rFonts w:ascii="宋体" w:hAnsi="宋体" w:eastAsia="宋体" w:cs="宋体"/>
          <w:szCs w:val="21"/>
        </w:rPr>
      </w:pPr>
      <w:r>
        <w:rPr>
          <w:rFonts w:hint="eastAsia" w:ascii="宋体" w:hAnsi="宋体" w:eastAsia="宋体" w:cs="宋体"/>
          <w:szCs w:val="21"/>
        </w:rPr>
        <w:t>4.3.1风机必须采用KRUGER、NICOTRA、YILIDA等品牌或其他同档次国际著名品牌，国内合资或独资产品。风机必须有国际空气流动与控制协会（AMCA）认证标志。</w:t>
      </w:r>
    </w:p>
    <w:p>
      <w:pPr>
        <w:spacing w:line="360" w:lineRule="auto"/>
        <w:ind w:firstLine="442" w:firstLineChars="200"/>
        <w:rPr>
          <w:rFonts w:ascii="宋体" w:hAnsi="宋体" w:eastAsia="宋体" w:cs="宋体"/>
          <w:szCs w:val="21"/>
        </w:rPr>
      </w:pPr>
      <w:r>
        <w:rPr>
          <w:rFonts w:hint="eastAsia" w:ascii="宋体" w:hAnsi="宋体" w:eastAsia="宋体" w:cs="宋体"/>
          <w:szCs w:val="21"/>
        </w:rPr>
        <w:t>4.3.2风机出口风速必须低于14m/s。</w:t>
      </w:r>
    </w:p>
    <w:p>
      <w:pPr>
        <w:spacing w:line="360" w:lineRule="auto"/>
        <w:ind w:firstLine="442" w:firstLineChars="200"/>
        <w:rPr>
          <w:rFonts w:ascii="宋体" w:hAnsi="宋体" w:eastAsia="宋体" w:cs="宋体"/>
          <w:szCs w:val="21"/>
        </w:rPr>
      </w:pPr>
      <w:r>
        <w:rPr>
          <w:rFonts w:hint="eastAsia" w:ascii="宋体" w:hAnsi="宋体" w:eastAsia="宋体" w:cs="宋体"/>
          <w:szCs w:val="21"/>
        </w:rPr>
        <w:t>4.3.3风机出口与面板之间采用软连接,软连接材料应具备防水,防腐,防火,不产尘,不积尘,韧性好等特点。</w:t>
      </w:r>
    </w:p>
    <w:p>
      <w:pPr>
        <w:spacing w:line="360" w:lineRule="auto"/>
        <w:ind w:firstLine="442" w:firstLineChars="200"/>
        <w:rPr>
          <w:rFonts w:ascii="宋体" w:hAnsi="宋体" w:eastAsia="宋体" w:cs="宋体"/>
          <w:szCs w:val="21"/>
        </w:rPr>
      </w:pPr>
      <w:r>
        <w:rPr>
          <w:rFonts w:hint="eastAsia" w:ascii="宋体" w:hAnsi="宋体" w:eastAsia="宋体" w:cs="宋体"/>
          <w:szCs w:val="21"/>
        </w:rPr>
        <w:t>4.3.4机叶轮表面、风机支架表面均应有可靠的防锈蚀保护涂层，固定用的螺栓、螺母、垫圈材质应镀锌。</w:t>
      </w:r>
    </w:p>
    <w:p>
      <w:pPr>
        <w:spacing w:line="360" w:lineRule="auto"/>
        <w:ind w:firstLine="442" w:firstLineChars="200"/>
        <w:rPr>
          <w:rFonts w:ascii="宋体" w:hAnsi="宋体" w:eastAsia="宋体" w:cs="宋体"/>
          <w:szCs w:val="21"/>
        </w:rPr>
      </w:pPr>
      <w:r>
        <w:rPr>
          <w:rFonts w:hint="eastAsia" w:ascii="宋体" w:hAnsi="宋体" w:eastAsia="宋体" w:cs="宋体"/>
          <w:szCs w:val="21"/>
        </w:rPr>
        <w:t>4.3.5电机要求采用ABB、西门子（SIEMENS）、江门江晟等品牌或其他同档次国际著名品牌，国内合资或独资产品。</w:t>
      </w:r>
    </w:p>
    <w:p>
      <w:pPr>
        <w:spacing w:line="360" w:lineRule="auto"/>
        <w:ind w:firstLine="442" w:firstLineChars="200"/>
        <w:rPr>
          <w:rFonts w:ascii="宋体" w:hAnsi="宋体" w:eastAsia="宋体" w:cs="宋体"/>
          <w:szCs w:val="21"/>
        </w:rPr>
      </w:pPr>
      <w:r>
        <w:rPr>
          <w:rFonts w:hint="eastAsia" w:ascii="宋体" w:hAnsi="宋体" w:eastAsia="宋体" w:cs="宋体"/>
          <w:szCs w:val="21"/>
        </w:rPr>
        <w:t>4.3.6轴承</w:t>
      </w:r>
    </w:p>
    <w:p>
      <w:pPr>
        <w:spacing w:line="360" w:lineRule="auto"/>
        <w:ind w:firstLine="442" w:firstLineChars="200"/>
        <w:rPr>
          <w:rFonts w:ascii="宋体" w:hAnsi="宋体" w:eastAsia="宋体" w:cs="宋体"/>
          <w:szCs w:val="21"/>
        </w:rPr>
      </w:pPr>
      <w:r>
        <w:rPr>
          <w:rFonts w:hint="eastAsia" w:ascii="宋体" w:hAnsi="宋体" w:eastAsia="宋体" w:cs="宋体"/>
          <w:szCs w:val="21"/>
        </w:rPr>
        <w:t>风机和电机的轴承必须采用SKF、NSK、PEER品牌产品或其他同档次国际著名品牌，国内合资或独资产品。</w:t>
      </w:r>
    </w:p>
    <w:p>
      <w:pPr>
        <w:spacing w:line="360" w:lineRule="auto"/>
        <w:ind w:firstLine="442" w:firstLineChars="200"/>
        <w:rPr>
          <w:rFonts w:ascii="宋体" w:hAnsi="宋体" w:eastAsia="宋体" w:cs="宋体"/>
          <w:szCs w:val="21"/>
        </w:rPr>
      </w:pPr>
      <w:r>
        <w:rPr>
          <w:rFonts w:hint="eastAsia" w:ascii="宋体" w:hAnsi="宋体" w:eastAsia="宋体" w:cs="宋体"/>
          <w:szCs w:val="21"/>
        </w:rPr>
        <w:t>4.3.7风机及电机在正常使用情况下，除轴承等易损件外，连续运行寿命应达到15年。</w:t>
      </w:r>
    </w:p>
    <w:p>
      <w:pPr>
        <w:spacing w:line="360" w:lineRule="auto"/>
        <w:ind w:firstLine="442" w:firstLineChars="200"/>
        <w:rPr>
          <w:rFonts w:ascii="宋体" w:hAnsi="宋体" w:eastAsia="宋体" w:cs="宋体"/>
          <w:szCs w:val="21"/>
        </w:rPr>
      </w:pPr>
      <w:r>
        <w:rPr>
          <w:rFonts w:hint="eastAsia" w:ascii="宋体" w:hAnsi="宋体" w:eastAsia="宋体" w:cs="宋体"/>
          <w:szCs w:val="21"/>
        </w:rPr>
        <w:t>4.3.8所有风机电机必须采用独立整体机座，并匹配弹簧减震器。减振器须有限位和防剪切功能以保护减振器在运输过程不受损。减震器在更换时可支起风机底座，方便简捷。电机和风机的相对位置可由电机底盘调节装置调整至最佳。风机和出风口用符合消防要求帆布挠性连接，隔绝了产生振动的电机和风机等向箱体其它部分的传递。</w:t>
      </w:r>
    </w:p>
    <w:p>
      <w:pPr>
        <w:spacing w:line="360" w:lineRule="auto"/>
        <w:ind w:firstLine="442" w:firstLineChars="200"/>
        <w:rPr>
          <w:rFonts w:ascii="宋体" w:hAnsi="宋体" w:eastAsia="宋体" w:cs="宋体"/>
          <w:szCs w:val="21"/>
        </w:rPr>
      </w:pPr>
      <w:r>
        <w:rPr>
          <w:rFonts w:hint="eastAsia" w:ascii="宋体" w:hAnsi="宋体" w:eastAsia="宋体" w:cs="宋体"/>
          <w:szCs w:val="21"/>
        </w:rPr>
        <w:t>4.3.9皮带采用V型皮带优质窄带耐磨无尘皮带传动。风机电机皮带轮采用锥套式结构（经动静平衡测试合格）。锥套式皮带轮按国家标准GB/T13575.1-92生产，材质为HT250。</w:t>
      </w:r>
    </w:p>
    <w:p>
      <w:pPr>
        <w:spacing w:line="360" w:lineRule="auto"/>
        <w:ind w:firstLine="442" w:firstLineChars="200"/>
        <w:rPr>
          <w:rFonts w:ascii="宋体" w:hAnsi="宋体" w:eastAsia="宋体" w:cs="宋体"/>
          <w:szCs w:val="21"/>
        </w:rPr>
      </w:pPr>
      <w:r>
        <w:rPr>
          <w:rFonts w:hint="eastAsia" w:ascii="宋体" w:hAnsi="宋体" w:eastAsia="宋体" w:cs="宋体"/>
          <w:szCs w:val="21"/>
        </w:rPr>
        <w:t>4.3.10设计工况下机组（无消声段）的噪音优于GB/T14294-2008 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4.3.11机组风量不大于100000m³/h采用单风机单电机，超过100000m³/h必须采用双风机双电机。</w:t>
      </w:r>
    </w:p>
    <w:p>
      <w:pPr>
        <w:spacing w:line="360" w:lineRule="auto"/>
        <w:ind w:firstLine="442" w:firstLineChars="200"/>
        <w:rPr>
          <w:rFonts w:ascii="宋体" w:hAnsi="宋体" w:eastAsia="宋体" w:cs="宋体"/>
          <w:szCs w:val="21"/>
        </w:rPr>
      </w:pPr>
      <w:r>
        <w:rPr>
          <w:rFonts w:hint="eastAsia" w:ascii="宋体" w:hAnsi="宋体" w:eastAsia="宋体" w:cs="宋体"/>
          <w:szCs w:val="21"/>
        </w:rPr>
        <w:t>4.4 盘管段</w:t>
      </w:r>
    </w:p>
    <w:p>
      <w:pPr>
        <w:spacing w:line="360" w:lineRule="auto"/>
        <w:ind w:firstLine="442" w:firstLineChars="200"/>
        <w:rPr>
          <w:rFonts w:ascii="宋体" w:hAnsi="宋体" w:eastAsia="宋体" w:cs="宋体"/>
          <w:szCs w:val="21"/>
        </w:rPr>
      </w:pPr>
      <w:r>
        <w:rPr>
          <w:rFonts w:hint="eastAsia" w:ascii="宋体" w:hAnsi="宋体" w:eastAsia="宋体" w:cs="宋体"/>
          <w:szCs w:val="21"/>
        </w:rPr>
        <w:t>4.4.1通过盘管内表面的迎风面风速不得大于2.75m/s，且必须带挡水板，挡水板材质必须为铝合金或不锈钢，厚度≥120mm。不得采用镀锌钢板或者玻璃钢挡水板。</w:t>
      </w:r>
    </w:p>
    <w:p>
      <w:pPr>
        <w:spacing w:line="360" w:lineRule="auto"/>
        <w:ind w:firstLine="442" w:firstLineChars="200"/>
        <w:rPr>
          <w:rFonts w:ascii="宋体" w:hAnsi="宋体" w:eastAsia="宋体" w:cs="宋体"/>
          <w:szCs w:val="21"/>
        </w:rPr>
      </w:pPr>
      <w:r>
        <w:rPr>
          <w:rFonts w:hint="eastAsia" w:ascii="宋体" w:hAnsi="宋体" w:eastAsia="宋体" w:cs="宋体"/>
          <w:szCs w:val="21"/>
        </w:rPr>
        <w:t>4.4.2换热盘管应采用优质无缝紫铜管穿亲水膜铝翅片结构，整体机械胀管。铜管外径必须为4/8英寸，铜管壁厚不小于0.35mm； 翅片间距应不小于0.1英寸；铝翅片必须为蓝色亲水箔，厚度不得小于0.112mm；铝翅片结构形式应为高效波纹型，要求不能积尘。盘管集管材料采用铜管或无缝钢管，集管壁厚不小于4mm；每台盘管设独立支架；盘管内水速为1.0~1.8m/s；盘管框架需采用冷轧钢板或不锈钢板，厚度≥1.5mm；表冷器与箱体、水盘之间缝隙必须做挡风处理，严禁漏风，厚度满足加工工艺要求，且框架必须稳固。</w:t>
      </w:r>
    </w:p>
    <w:p>
      <w:pPr>
        <w:spacing w:line="360" w:lineRule="auto"/>
        <w:ind w:firstLine="442" w:firstLineChars="200"/>
        <w:rPr>
          <w:rFonts w:ascii="宋体" w:hAnsi="宋体" w:eastAsia="宋体" w:cs="宋体"/>
          <w:szCs w:val="21"/>
        </w:rPr>
      </w:pPr>
      <w:r>
        <w:rPr>
          <w:rFonts w:hint="eastAsia" w:ascii="宋体" w:hAnsi="宋体" w:eastAsia="宋体" w:cs="宋体"/>
          <w:szCs w:val="21"/>
        </w:rPr>
        <w:t>4.4.3盘管高度大于1.6m时盘管必须分上下两层，且两盘管中间必须配中间排水盘。</w:t>
      </w:r>
    </w:p>
    <w:p>
      <w:pPr>
        <w:spacing w:line="360" w:lineRule="auto"/>
        <w:ind w:firstLine="442" w:firstLineChars="200"/>
        <w:rPr>
          <w:rFonts w:ascii="宋体" w:hAnsi="宋体" w:eastAsia="宋体" w:cs="宋体"/>
          <w:szCs w:val="21"/>
        </w:rPr>
      </w:pPr>
      <w:r>
        <w:rPr>
          <w:rFonts w:hint="eastAsia" w:ascii="宋体" w:hAnsi="宋体" w:eastAsia="宋体" w:cs="宋体"/>
          <w:szCs w:val="21"/>
        </w:rPr>
        <w:t>4.4.4每套换热盘管的水路行程、片距、管排数、翅片的形式及换热面积等参数应根据空调供回水温度和供冷或热量要求进行优化设计。</w:t>
      </w:r>
    </w:p>
    <w:p>
      <w:pPr>
        <w:spacing w:line="360" w:lineRule="auto"/>
        <w:ind w:firstLine="442" w:firstLineChars="200"/>
        <w:rPr>
          <w:rFonts w:ascii="宋体" w:hAnsi="宋体" w:eastAsia="宋体" w:cs="宋体"/>
          <w:szCs w:val="21"/>
        </w:rPr>
      </w:pPr>
      <w:r>
        <w:rPr>
          <w:rFonts w:hint="eastAsia" w:ascii="宋体" w:hAnsi="宋体" w:eastAsia="宋体" w:cs="宋体"/>
          <w:szCs w:val="21"/>
        </w:rPr>
        <w:t>4.4.5换热盘管出厂时应逐件进行检漏实验。表冷器水压试验压力不小于设计压力1.8倍，保持压力时间≥3min或气压试验压力不小于设计压力的2倍，保持压力≥1min，无渗漏。允许偏差±0.02MPa。盘管最高处设置排气阀，最低处设置排水阀。</w:t>
      </w:r>
    </w:p>
    <w:p>
      <w:pPr>
        <w:spacing w:line="360" w:lineRule="auto"/>
        <w:ind w:firstLine="442" w:firstLineChars="200"/>
        <w:rPr>
          <w:rFonts w:ascii="宋体" w:hAnsi="宋体" w:eastAsia="宋体" w:cs="宋体"/>
          <w:szCs w:val="21"/>
        </w:rPr>
      </w:pPr>
      <w:r>
        <w:rPr>
          <w:rFonts w:hint="eastAsia" w:ascii="宋体" w:hAnsi="宋体" w:eastAsia="宋体" w:cs="宋体"/>
          <w:szCs w:val="21"/>
        </w:rPr>
        <w:t>4.4.6表冷盘管段必须配倾斜式排水盘，水盘材质为镀锌板防腐喷涂或者不锈钢，钣金厚度不得小于0.8mm；凝水盘的外表面应粘贴PE保温材料，保温材料厚度不小于5mm；凝水盘应具有一定的坡度，排水孔应设在凝水盘的最低点，必须保证冷凝水能顺利排除干净。</w:t>
      </w:r>
    </w:p>
    <w:p>
      <w:pPr>
        <w:spacing w:line="360" w:lineRule="auto"/>
        <w:ind w:firstLine="442" w:firstLineChars="200"/>
        <w:rPr>
          <w:rFonts w:ascii="宋体" w:hAnsi="宋体" w:eastAsia="宋体" w:cs="宋体"/>
          <w:szCs w:val="21"/>
        </w:rPr>
      </w:pPr>
      <w:r>
        <w:rPr>
          <w:rFonts w:hint="eastAsia" w:ascii="宋体" w:hAnsi="宋体" w:eastAsia="宋体" w:cs="宋体"/>
          <w:szCs w:val="21"/>
        </w:rPr>
        <w:t>4.4.7盘管段进出水口和箱体之间必须采用专用橡胶密封，外加发泡密封块及钣金固定，彻底杜绝漏风的可能性。</w:t>
      </w:r>
    </w:p>
    <w:p>
      <w:pPr>
        <w:spacing w:line="360" w:lineRule="auto"/>
        <w:ind w:firstLine="442" w:firstLineChars="200"/>
        <w:rPr>
          <w:rFonts w:ascii="宋体" w:hAnsi="宋体" w:eastAsia="宋体" w:cs="宋体"/>
          <w:szCs w:val="21"/>
        </w:rPr>
      </w:pPr>
      <w:r>
        <w:rPr>
          <w:rFonts w:hint="eastAsia" w:ascii="宋体" w:hAnsi="宋体" w:eastAsia="宋体" w:cs="宋体"/>
          <w:szCs w:val="21"/>
        </w:rPr>
        <w:t>4.5过滤段</w:t>
      </w:r>
    </w:p>
    <w:p>
      <w:pPr>
        <w:spacing w:line="360" w:lineRule="auto"/>
        <w:ind w:firstLine="442" w:firstLineChars="200"/>
        <w:rPr>
          <w:rFonts w:ascii="宋体" w:hAnsi="宋体" w:eastAsia="宋体" w:cs="宋体"/>
          <w:szCs w:val="21"/>
        </w:rPr>
      </w:pPr>
      <w:r>
        <w:rPr>
          <w:rFonts w:hint="eastAsia" w:ascii="宋体" w:hAnsi="宋体" w:eastAsia="宋体" w:cs="宋体"/>
          <w:szCs w:val="21"/>
        </w:rPr>
        <w:t>4.5.1空气过滤器推荐采用AAF、Camfil、剑桥合资品牌产品。</w:t>
      </w:r>
    </w:p>
    <w:p>
      <w:pPr>
        <w:spacing w:line="360" w:lineRule="auto"/>
        <w:ind w:firstLine="442" w:firstLineChars="200"/>
        <w:rPr>
          <w:rFonts w:ascii="宋体" w:hAnsi="宋体" w:eastAsia="宋体" w:cs="宋体"/>
          <w:szCs w:val="21"/>
        </w:rPr>
      </w:pPr>
      <w:r>
        <w:rPr>
          <w:rFonts w:hint="eastAsia" w:ascii="宋体" w:hAnsi="宋体" w:eastAsia="宋体" w:cs="宋体"/>
          <w:szCs w:val="21"/>
        </w:rPr>
        <w:t>4.5.2过滤器框架采用铝合金或不锈钢制作，厚度1.0mm；不得采用纸质或其他金属框架；所有类型的空气过滤器必须配置足够强度的过滤器支撑架，以保证过滤器在容尘量饱和或过量的情况下不会发生倒伏和破坏等情况。过滤材料应具有强度高、阻燃、耐冲洗等特性。</w:t>
      </w:r>
    </w:p>
    <w:p>
      <w:pPr>
        <w:spacing w:line="360" w:lineRule="auto"/>
        <w:ind w:firstLine="442" w:firstLineChars="200"/>
        <w:rPr>
          <w:rFonts w:ascii="宋体" w:hAnsi="宋体" w:eastAsia="宋体" w:cs="宋体"/>
          <w:szCs w:val="21"/>
        </w:rPr>
      </w:pPr>
      <w:r>
        <w:rPr>
          <w:rFonts w:hint="eastAsia" w:ascii="宋体" w:hAnsi="宋体" w:eastAsia="宋体" w:cs="宋体"/>
          <w:szCs w:val="21"/>
        </w:rPr>
        <w:t>4.5.3过滤器须按EN799:1993测试标准进行测定。初效过滤效率G3以上，初效过滤器的厚度为2寸，人工尘计重法不小于80%。中效过滤器采用袋式F7，不得采用板式结构，采用进口滤料，进风口为粗纤维滤料层，出风口为细纤维滤料层；过滤器采用超声波缝接，不得采用针线缝接；比色法（Dust-spot）效率不能少于80%。高效过滤器采用W组合式，采用进口滤料进口热熔胶，效率为H13，大气尘计数法不小于99%（0.5μm），高效过滤器每片出厂前都做烟雾检漏测试。永久性安装框架设计须配合袋形过滤器组合式拼装，可根据现场安装情况，提供多方面包括从过滤器的前面，侧面，上游位置进行维修和更换。</w:t>
      </w:r>
    </w:p>
    <w:p>
      <w:pPr>
        <w:spacing w:line="360" w:lineRule="auto"/>
        <w:ind w:firstLine="442" w:firstLineChars="200"/>
        <w:rPr>
          <w:rFonts w:ascii="宋体" w:hAnsi="宋体" w:eastAsia="宋体" w:cs="宋体"/>
          <w:szCs w:val="21"/>
        </w:rPr>
      </w:pPr>
      <w:r>
        <w:rPr>
          <w:rFonts w:hint="eastAsia" w:ascii="宋体" w:hAnsi="宋体" w:eastAsia="宋体" w:cs="宋体"/>
          <w:szCs w:val="21"/>
        </w:rPr>
        <w:t>4.5.4过滤器两侧设液柱型压差计，其量程应与过滤器的压差相适应。</w:t>
      </w:r>
    </w:p>
    <w:p>
      <w:pPr>
        <w:spacing w:line="360" w:lineRule="auto"/>
        <w:ind w:firstLine="442" w:firstLineChars="200"/>
        <w:rPr>
          <w:rFonts w:ascii="宋体" w:hAnsi="宋体" w:eastAsia="宋体" w:cs="宋体"/>
          <w:szCs w:val="21"/>
        </w:rPr>
      </w:pPr>
      <w:r>
        <w:rPr>
          <w:rFonts w:hint="eastAsia" w:ascii="宋体" w:hAnsi="宋体" w:eastAsia="宋体" w:cs="宋体"/>
          <w:szCs w:val="21"/>
        </w:rPr>
        <w:t xml:space="preserve">4.5.5初、中效过滤器采用快速压紧卡钩方式, 高效过滤器采用快速锁紧压紧方式。 </w:t>
      </w:r>
    </w:p>
    <w:p>
      <w:pPr>
        <w:spacing w:line="360" w:lineRule="auto"/>
        <w:ind w:firstLine="442" w:firstLineChars="200"/>
        <w:rPr>
          <w:rFonts w:ascii="宋体" w:hAnsi="宋体" w:eastAsia="宋体" w:cs="宋体"/>
          <w:szCs w:val="21"/>
        </w:rPr>
      </w:pPr>
      <w:r>
        <w:rPr>
          <w:rFonts w:hint="eastAsia" w:ascii="宋体" w:hAnsi="宋体" w:eastAsia="宋体" w:cs="宋体"/>
          <w:szCs w:val="21"/>
        </w:rPr>
        <w:t>4.5.6所有空调机组内的过滤器必须保证方便拆卸、更换。</w:t>
      </w:r>
    </w:p>
    <w:p>
      <w:pPr>
        <w:spacing w:line="360" w:lineRule="auto"/>
        <w:ind w:firstLine="442" w:firstLineChars="200"/>
        <w:rPr>
          <w:rFonts w:ascii="宋体" w:hAnsi="宋体" w:eastAsia="宋体" w:cs="宋体"/>
          <w:szCs w:val="21"/>
        </w:rPr>
      </w:pPr>
      <w:r>
        <w:rPr>
          <w:rFonts w:hint="eastAsia" w:ascii="宋体" w:hAnsi="宋体" w:eastAsia="宋体" w:cs="宋体"/>
          <w:szCs w:val="21"/>
        </w:rPr>
        <w:t>4.6  消声段</w:t>
      </w:r>
    </w:p>
    <w:p>
      <w:pPr>
        <w:spacing w:line="360" w:lineRule="auto"/>
        <w:ind w:firstLine="442" w:firstLineChars="200"/>
        <w:rPr>
          <w:rFonts w:ascii="宋体" w:hAnsi="宋体" w:eastAsia="宋体" w:cs="宋体"/>
          <w:szCs w:val="21"/>
        </w:rPr>
      </w:pPr>
      <w:r>
        <w:rPr>
          <w:rFonts w:hint="eastAsia" w:ascii="宋体" w:hAnsi="宋体" w:eastAsia="宋体" w:cs="宋体"/>
          <w:szCs w:val="21"/>
        </w:rPr>
        <w:t>4.6.1消声器采用阻性片式消声器，消声器根据机组大小及规格增加片数和长度。消声器长度不小于600mm。</w:t>
      </w:r>
    </w:p>
    <w:p>
      <w:pPr>
        <w:spacing w:line="360" w:lineRule="auto"/>
        <w:ind w:firstLine="442" w:firstLineChars="200"/>
        <w:rPr>
          <w:rFonts w:ascii="宋体" w:hAnsi="宋体" w:eastAsia="宋体" w:cs="宋体"/>
          <w:szCs w:val="21"/>
        </w:rPr>
      </w:pPr>
      <w:r>
        <w:rPr>
          <w:rFonts w:hint="eastAsia" w:ascii="宋体" w:hAnsi="宋体" w:eastAsia="宋体" w:cs="宋体"/>
          <w:szCs w:val="21"/>
        </w:rPr>
        <w:t>4.6.2消声材料为超细玻璃纤维，外包穿孔镀锌钢板，镀锌板厚度大于1.2mm。孔径Φ6,穿孔率大于20%。</w:t>
      </w:r>
    </w:p>
    <w:p>
      <w:pPr>
        <w:spacing w:line="360" w:lineRule="auto"/>
        <w:ind w:firstLine="442" w:firstLineChars="200"/>
        <w:rPr>
          <w:rFonts w:ascii="宋体" w:hAnsi="宋体" w:eastAsia="宋体" w:cs="宋体"/>
          <w:szCs w:val="21"/>
        </w:rPr>
      </w:pPr>
      <w:r>
        <w:rPr>
          <w:rFonts w:hint="eastAsia" w:ascii="宋体" w:hAnsi="宋体" w:eastAsia="宋体" w:cs="宋体"/>
          <w:szCs w:val="21"/>
        </w:rPr>
        <w:t>4.7 加湿器</w:t>
      </w:r>
    </w:p>
    <w:p>
      <w:pPr>
        <w:spacing w:line="360" w:lineRule="auto"/>
        <w:ind w:firstLine="442" w:firstLineChars="200"/>
        <w:rPr>
          <w:rFonts w:ascii="宋体" w:hAnsi="宋体" w:eastAsia="宋体" w:cs="宋体"/>
          <w:szCs w:val="21"/>
        </w:rPr>
      </w:pPr>
      <w:r>
        <w:rPr>
          <w:rFonts w:hint="eastAsia" w:ascii="宋体" w:hAnsi="宋体" w:eastAsia="宋体" w:cs="宋体"/>
          <w:szCs w:val="21"/>
        </w:rPr>
        <w:t>4.7.1电极加湿器：加湿器内配有电脑控制板，既可接收0～10V/4～20mA湿度调节信号，也可接收ON/OFF湿度控制信号。适用性强可靠性极高；加湿量（&gt;23kg/h）的加湿桶，为可拆卸型加湿桶，可在电极极板结垢损坏后只更换极板，即可大大降低维护费用。只能控制系统可以根据加湿罐内水的可溶矿物质离子含量的变化自动调整加湿罐的排污周期。可选配专用的软水器。品牌要求：思探得、嘉乐斯乐。</w:t>
      </w:r>
    </w:p>
    <w:p>
      <w:pPr>
        <w:spacing w:line="360" w:lineRule="auto"/>
        <w:ind w:firstLine="442" w:firstLineChars="200"/>
        <w:rPr>
          <w:rFonts w:ascii="宋体" w:hAnsi="宋体" w:eastAsia="宋体" w:cs="宋体"/>
          <w:szCs w:val="21"/>
        </w:rPr>
      </w:pPr>
      <w:r>
        <w:rPr>
          <w:rFonts w:hint="eastAsia" w:ascii="宋体" w:hAnsi="宋体" w:eastAsia="宋体" w:cs="宋体"/>
          <w:szCs w:val="21"/>
        </w:rPr>
        <w:t>4.8 电加热段</w:t>
      </w:r>
    </w:p>
    <w:p>
      <w:pPr>
        <w:spacing w:line="360" w:lineRule="auto"/>
        <w:ind w:firstLine="442" w:firstLineChars="200"/>
        <w:rPr>
          <w:rFonts w:ascii="宋体" w:hAnsi="宋体" w:eastAsia="宋体" w:cs="宋体"/>
          <w:szCs w:val="21"/>
        </w:rPr>
      </w:pPr>
      <w:r>
        <w:rPr>
          <w:rFonts w:hint="eastAsia" w:ascii="宋体" w:hAnsi="宋体" w:eastAsia="宋体" w:cs="宋体"/>
          <w:szCs w:val="21"/>
        </w:rPr>
        <w:t>4.8.1电加热管必须由电热丝、陶瓷绝缘体、不锈钢管和不锈钢绕片组成。电加热使用环境-30~60℃，寿命＞6000h。电加热采用分组控制，且单组功率不得大于30KW。</w:t>
      </w:r>
    </w:p>
    <w:p>
      <w:pPr>
        <w:spacing w:line="360" w:lineRule="auto"/>
        <w:ind w:firstLine="442" w:firstLineChars="200"/>
        <w:rPr>
          <w:rFonts w:ascii="宋体" w:hAnsi="宋体" w:eastAsia="宋体" w:cs="宋体"/>
          <w:szCs w:val="21"/>
        </w:rPr>
      </w:pPr>
      <w:r>
        <w:rPr>
          <w:rFonts w:hint="eastAsia" w:ascii="宋体" w:hAnsi="宋体" w:eastAsia="宋体" w:cs="宋体"/>
          <w:szCs w:val="21"/>
        </w:rPr>
        <w:t>4.8.2 电加热器必须带五种及以上保护装置。包括温度过热保护、热熔断保护、无风断电保护。</w:t>
      </w:r>
    </w:p>
    <w:p>
      <w:pPr>
        <w:spacing w:line="360" w:lineRule="auto"/>
        <w:ind w:firstLine="442" w:firstLineChars="200"/>
        <w:rPr>
          <w:rFonts w:ascii="宋体" w:hAnsi="宋体" w:eastAsia="宋体" w:cs="宋体"/>
          <w:szCs w:val="21"/>
        </w:rPr>
      </w:pPr>
      <w:bookmarkStart w:id="151" w:name="_Toc21806"/>
      <w:r>
        <w:rPr>
          <w:rFonts w:hint="eastAsia" w:ascii="宋体" w:hAnsi="宋体" w:eastAsia="宋体" w:cs="宋体"/>
          <w:szCs w:val="21"/>
        </w:rPr>
        <w:t>5、空调外机：四管制模块机参数要求</w:t>
      </w:r>
      <w:bookmarkEnd w:id="151"/>
    </w:p>
    <w:p>
      <w:pPr>
        <w:spacing w:line="360" w:lineRule="auto"/>
        <w:ind w:firstLine="442" w:firstLineChars="200"/>
        <w:rPr>
          <w:rFonts w:ascii="宋体" w:hAnsi="宋体" w:eastAsia="宋体" w:cs="宋体"/>
          <w:szCs w:val="21"/>
        </w:rPr>
      </w:pPr>
      <w:r>
        <w:rPr>
          <w:rFonts w:hint="eastAsia" w:ascii="宋体" w:hAnsi="宋体" w:eastAsia="宋体" w:cs="宋体"/>
          <w:szCs w:val="21"/>
        </w:rPr>
        <w:t>5.1投标产品满足国家一级能效得；以国家级的第三方权威机构报告中实际测试值为准。</w:t>
      </w:r>
    </w:p>
    <w:p>
      <w:pPr>
        <w:spacing w:line="360" w:lineRule="auto"/>
        <w:ind w:firstLine="442" w:firstLineChars="200"/>
        <w:rPr>
          <w:rFonts w:ascii="宋体" w:hAnsi="宋体" w:eastAsia="宋体" w:cs="宋体"/>
          <w:szCs w:val="21"/>
        </w:rPr>
      </w:pPr>
      <w:r>
        <w:rPr>
          <w:rFonts w:hint="eastAsia" w:ascii="宋体" w:hAnsi="宋体" w:eastAsia="宋体" w:cs="宋体"/>
          <w:szCs w:val="21"/>
        </w:rPr>
        <w:t>5.2机组获得节能认证，并提供节能认证测试报告。</w:t>
      </w:r>
    </w:p>
    <w:p>
      <w:pPr>
        <w:spacing w:line="360" w:lineRule="auto"/>
        <w:ind w:firstLine="442" w:firstLineChars="200"/>
        <w:rPr>
          <w:rFonts w:ascii="宋体" w:hAnsi="宋体" w:eastAsia="宋体" w:cs="宋体"/>
          <w:szCs w:val="21"/>
        </w:rPr>
      </w:pPr>
      <w:r>
        <w:rPr>
          <w:rFonts w:hint="eastAsia" w:ascii="宋体" w:hAnsi="宋体" w:eastAsia="宋体" w:cs="宋体"/>
          <w:szCs w:val="21"/>
        </w:rPr>
        <w:t>5.3单台机组制冷量不小于66kW，制热量不小于68kW，同时冷热模式下制冷量不小于63KW，制热量不小于81KW。</w:t>
      </w:r>
    </w:p>
    <w:p>
      <w:pPr>
        <w:spacing w:line="360" w:lineRule="auto"/>
        <w:ind w:firstLine="442" w:firstLineChars="200"/>
        <w:rPr>
          <w:rFonts w:ascii="宋体" w:hAnsi="宋体" w:eastAsia="宋体" w:cs="宋体"/>
          <w:szCs w:val="21"/>
        </w:rPr>
      </w:pPr>
      <w:r>
        <w:rPr>
          <w:rFonts w:hint="eastAsia" w:ascii="宋体" w:hAnsi="宋体" w:eastAsia="宋体" w:cs="宋体"/>
          <w:szCs w:val="21"/>
        </w:rPr>
        <w:t>5.4冷水侧换热器承压1.6MPa。</w:t>
      </w:r>
    </w:p>
    <w:p>
      <w:pPr>
        <w:spacing w:line="360" w:lineRule="auto"/>
        <w:ind w:firstLine="442" w:firstLineChars="200"/>
        <w:rPr>
          <w:rFonts w:ascii="宋体" w:hAnsi="宋体" w:eastAsia="宋体" w:cs="宋体"/>
          <w:szCs w:val="21"/>
        </w:rPr>
      </w:pPr>
      <w:r>
        <w:rPr>
          <w:rFonts w:hint="eastAsia" w:ascii="宋体" w:hAnsi="宋体" w:eastAsia="宋体" w:cs="宋体"/>
          <w:szCs w:val="21"/>
        </w:rPr>
        <w:t>5.5机组采用R410A环保制冷剂。</w:t>
      </w:r>
    </w:p>
    <w:p>
      <w:pPr>
        <w:spacing w:line="360" w:lineRule="auto"/>
        <w:ind w:firstLine="442" w:firstLineChars="200"/>
        <w:rPr>
          <w:rFonts w:ascii="宋体" w:hAnsi="宋体" w:eastAsia="宋体" w:cs="宋体"/>
          <w:szCs w:val="21"/>
        </w:rPr>
      </w:pPr>
      <w:r>
        <w:rPr>
          <w:rFonts w:hint="eastAsia" w:ascii="宋体" w:hAnsi="宋体" w:eastAsia="宋体" w:cs="宋体"/>
          <w:szCs w:val="21"/>
        </w:rPr>
        <w:t>5.6风侧热交器为换热效率高占地面积小的半M型热交器。</w:t>
      </w:r>
    </w:p>
    <w:p>
      <w:pPr>
        <w:spacing w:line="360" w:lineRule="auto"/>
        <w:ind w:firstLine="442" w:firstLineChars="200"/>
        <w:rPr>
          <w:rFonts w:ascii="宋体" w:hAnsi="宋体" w:eastAsia="宋体" w:cs="宋体"/>
          <w:szCs w:val="21"/>
        </w:rPr>
      </w:pPr>
      <w:r>
        <w:rPr>
          <w:rFonts w:hint="eastAsia" w:ascii="宋体" w:hAnsi="宋体" w:eastAsia="宋体" w:cs="宋体"/>
          <w:szCs w:val="21"/>
        </w:rPr>
        <w:t>5.7为降低能耗与噪声，机组采用变频风机，能根据负荷自动调节转速。</w:t>
      </w:r>
    </w:p>
    <w:p>
      <w:pPr>
        <w:spacing w:line="360" w:lineRule="auto"/>
        <w:ind w:firstLine="442" w:firstLineChars="200"/>
        <w:rPr>
          <w:rFonts w:ascii="宋体" w:hAnsi="宋体" w:eastAsia="宋体" w:cs="宋体"/>
          <w:szCs w:val="21"/>
        </w:rPr>
      </w:pPr>
      <w:r>
        <w:rPr>
          <w:rFonts w:hint="eastAsia" w:ascii="宋体" w:hAnsi="宋体" w:eastAsia="宋体" w:cs="宋体"/>
          <w:szCs w:val="21"/>
        </w:rPr>
        <w:t>5.8机组可进行16台模块化组合使用。</w:t>
      </w:r>
    </w:p>
    <w:p>
      <w:pPr>
        <w:spacing w:line="360" w:lineRule="auto"/>
        <w:ind w:firstLine="442" w:firstLineChars="200"/>
        <w:rPr>
          <w:rFonts w:ascii="宋体" w:hAnsi="宋体" w:eastAsia="宋体" w:cs="宋体"/>
          <w:szCs w:val="21"/>
        </w:rPr>
      </w:pPr>
      <w:r>
        <w:rPr>
          <w:rFonts w:hint="eastAsia" w:ascii="宋体" w:hAnsi="宋体" w:eastAsia="宋体" w:cs="宋体"/>
          <w:szCs w:val="21"/>
        </w:rPr>
        <w:t>5.9机组出厂时内部已安装水流保护开关，高精确度的水压差开关。</w:t>
      </w:r>
    </w:p>
    <w:p>
      <w:pPr>
        <w:spacing w:line="360" w:lineRule="auto"/>
        <w:ind w:firstLine="442" w:firstLineChars="200"/>
        <w:rPr>
          <w:rFonts w:ascii="宋体" w:hAnsi="宋体" w:eastAsia="宋体" w:cs="宋体"/>
          <w:szCs w:val="21"/>
        </w:rPr>
      </w:pPr>
      <w:r>
        <w:rPr>
          <w:rFonts w:hint="eastAsia" w:ascii="宋体" w:hAnsi="宋体" w:eastAsia="宋体" w:cs="宋体"/>
          <w:szCs w:val="21"/>
        </w:rPr>
        <w:t>5.10每台模块须配置安装于机组进口管道上的Y型过滤器。</w:t>
      </w:r>
    </w:p>
    <w:p>
      <w:pPr>
        <w:spacing w:line="360" w:lineRule="auto"/>
        <w:ind w:firstLine="442" w:firstLineChars="200"/>
        <w:rPr>
          <w:rFonts w:ascii="宋体" w:hAnsi="宋体" w:eastAsia="宋体" w:cs="宋体"/>
          <w:szCs w:val="21"/>
        </w:rPr>
      </w:pPr>
      <w:r>
        <w:rPr>
          <w:rFonts w:hint="eastAsia" w:ascii="宋体" w:hAnsi="宋体" w:eastAsia="宋体" w:cs="宋体"/>
          <w:szCs w:val="21"/>
        </w:rPr>
        <w:t>5.11单个控制器最多可实现16台组合，模块组合时，可现场更改主/从机属性，以及时应对主机故障的发生。</w:t>
      </w:r>
    </w:p>
    <w:p>
      <w:pPr>
        <w:spacing w:line="360" w:lineRule="auto"/>
        <w:ind w:firstLine="442" w:firstLineChars="200"/>
        <w:rPr>
          <w:rFonts w:ascii="宋体" w:hAnsi="宋体" w:eastAsia="宋体" w:cs="宋体"/>
          <w:szCs w:val="21"/>
        </w:rPr>
      </w:pPr>
      <w:r>
        <w:rPr>
          <w:rFonts w:hint="eastAsia" w:ascii="宋体" w:hAnsi="宋体" w:eastAsia="宋体" w:cs="宋体"/>
          <w:szCs w:val="21"/>
        </w:rPr>
        <w:t>5.12机组标准配置ModBus协议接口，可免费接入楼宇自控系统。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5.13冷水侧换热器承压1.6MPa。</w:t>
      </w:r>
    </w:p>
    <w:p>
      <w:pPr>
        <w:spacing w:line="360" w:lineRule="auto"/>
        <w:ind w:firstLine="442" w:firstLineChars="200"/>
        <w:rPr>
          <w:rFonts w:ascii="宋体" w:hAnsi="宋体" w:eastAsia="宋体" w:cs="宋体"/>
          <w:szCs w:val="21"/>
        </w:rPr>
      </w:pPr>
      <w:r>
        <w:rPr>
          <w:rFonts w:hint="eastAsia" w:ascii="宋体" w:hAnsi="宋体" w:eastAsia="宋体" w:cs="宋体"/>
          <w:szCs w:val="21"/>
        </w:rPr>
        <w:t>5.14机组采用R410A环保制冷剂。</w:t>
      </w:r>
    </w:p>
    <w:p>
      <w:pPr>
        <w:spacing w:line="360" w:lineRule="auto"/>
        <w:ind w:firstLine="442" w:firstLineChars="200"/>
        <w:rPr>
          <w:rFonts w:ascii="宋体" w:hAnsi="宋体" w:eastAsia="宋体" w:cs="宋体"/>
          <w:szCs w:val="21"/>
        </w:rPr>
      </w:pPr>
      <w:bookmarkStart w:id="152" w:name="_Toc6761"/>
      <w:r>
        <w:rPr>
          <w:rFonts w:hint="eastAsia" w:ascii="宋体" w:hAnsi="宋体" w:eastAsia="宋体" w:cs="宋体"/>
          <w:szCs w:val="21"/>
        </w:rPr>
        <w:t>6、空调外机：直流变频风冷模块机参数要求</w:t>
      </w:r>
      <w:bookmarkEnd w:id="152"/>
    </w:p>
    <w:p>
      <w:pPr>
        <w:spacing w:line="360" w:lineRule="auto"/>
        <w:ind w:firstLine="442" w:firstLineChars="200"/>
        <w:rPr>
          <w:rFonts w:ascii="宋体" w:hAnsi="宋体" w:eastAsia="宋体" w:cs="宋体"/>
          <w:szCs w:val="21"/>
        </w:rPr>
      </w:pPr>
      <w:r>
        <w:rPr>
          <w:rFonts w:hint="eastAsia" w:ascii="宋体" w:hAnsi="宋体" w:eastAsia="宋体" w:cs="宋体"/>
          <w:szCs w:val="21"/>
        </w:rPr>
        <w:t>6.1机组采用R410A环保制冷剂。</w:t>
      </w:r>
    </w:p>
    <w:p>
      <w:pPr>
        <w:spacing w:line="360" w:lineRule="auto"/>
        <w:ind w:firstLine="442" w:firstLineChars="200"/>
        <w:rPr>
          <w:rFonts w:ascii="宋体" w:hAnsi="宋体" w:eastAsia="宋体" w:cs="宋体"/>
          <w:szCs w:val="21"/>
        </w:rPr>
      </w:pPr>
      <w:r>
        <w:rPr>
          <w:rFonts w:hint="eastAsia" w:ascii="宋体" w:hAnsi="宋体" w:eastAsia="宋体" w:cs="宋体"/>
          <w:szCs w:val="21"/>
        </w:rPr>
        <w:t>6.2压缩机采用直流变频控制无级调节，机组可实现15%-100%无级容量调节。</w:t>
      </w:r>
    </w:p>
    <w:p>
      <w:pPr>
        <w:spacing w:line="360" w:lineRule="auto"/>
        <w:ind w:firstLine="442" w:firstLineChars="200"/>
        <w:rPr>
          <w:rFonts w:ascii="宋体" w:hAnsi="宋体" w:eastAsia="宋体" w:cs="宋体"/>
          <w:szCs w:val="21"/>
        </w:rPr>
      </w:pPr>
      <w:r>
        <w:rPr>
          <w:rFonts w:hint="eastAsia" w:ascii="宋体" w:hAnsi="宋体" w:eastAsia="宋体" w:cs="宋体"/>
          <w:szCs w:val="21"/>
        </w:rPr>
        <w:t>6.3水侧换热器型式：真空钎焊板式换热器（材质：不锈钢）。</w:t>
      </w:r>
    </w:p>
    <w:p>
      <w:pPr>
        <w:spacing w:line="360" w:lineRule="auto"/>
        <w:ind w:firstLine="442" w:firstLineChars="200"/>
        <w:rPr>
          <w:rFonts w:ascii="宋体" w:hAnsi="宋体" w:eastAsia="宋体" w:cs="宋体"/>
          <w:szCs w:val="21"/>
        </w:rPr>
      </w:pPr>
      <w:r>
        <w:rPr>
          <w:rFonts w:hint="eastAsia" w:ascii="宋体" w:hAnsi="宋体" w:eastAsia="宋体" w:cs="宋体"/>
          <w:szCs w:val="21"/>
        </w:rPr>
        <w:t>6.4空气侧换热器需采用半M型结构，铜管采用内螺纹铜管，翅片采用亲水铝箔。</w:t>
      </w:r>
    </w:p>
    <w:p>
      <w:pPr>
        <w:spacing w:line="360" w:lineRule="auto"/>
        <w:ind w:firstLine="442" w:firstLineChars="200"/>
        <w:rPr>
          <w:rFonts w:ascii="宋体" w:hAnsi="宋体" w:eastAsia="宋体" w:cs="宋体"/>
          <w:szCs w:val="21"/>
        </w:rPr>
      </w:pPr>
      <w:r>
        <w:rPr>
          <w:rFonts w:hint="eastAsia" w:ascii="宋体" w:hAnsi="宋体" w:eastAsia="宋体" w:cs="宋体"/>
          <w:szCs w:val="21"/>
        </w:rPr>
        <w:t>6.5节流部件采用优质品牌的电子膨胀阀。</w:t>
      </w:r>
    </w:p>
    <w:p>
      <w:pPr>
        <w:spacing w:line="360" w:lineRule="auto"/>
        <w:ind w:firstLine="442" w:firstLineChars="200"/>
        <w:rPr>
          <w:rFonts w:ascii="宋体" w:hAnsi="宋体" w:eastAsia="宋体" w:cs="宋体"/>
          <w:szCs w:val="21"/>
        </w:rPr>
      </w:pPr>
      <w:r>
        <w:rPr>
          <w:rFonts w:hint="eastAsia" w:ascii="宋体" w:hAnsi="宋体" w:eastAsia="宋体" w:cs="宋体"/>
          <w:szCs w:val="21"/>
        </w:rPr>
        <w:t>6.6机组冷凝风扇采用直流变频电机，风量根据负荷需求自动无级调节。部分负荷运行更节能，更静音。</w:t>
      </w:r>
    </w:p>
    <w:p>
      <w:pPr>
        <w:spacing w:line="360" w:lineRule="auto"/>
        <w:ind w:firstLine="442" w:firstLineChars="200"/>
        <w:rPr>
          <w:rFonts w:ascii="宋体" w:hAnsi="宋体" w:eastAsia="宋体" w:cs="宋体"/>
          <w:szCs w:val="21"/>
        </w:rPr>
      </w:pPr>
      <w:r>
        <w:rPr>
          <w:rFonts w:hint="eastAsia" w:ascii="宋体" w:hAnsi="宋体" w:eastAsia="宋体" w:cs="宋体"/>
          <w:szCs w:val="21"/>
        </w:rPr>
        <w:t>6.7机组IPLV不小于4.42，机组能效国家1级能效，在名义工况下，COP（制冷性能系数kW/kW）不小于3.1，获得国家节能产品认证并进入政府节能采购清单，以提供节能认证第三方检验报告实测值为准。</w:t>
      </w:r>
    </w:p>
    <w:p>
      <w:pPr>
        <w:spacing w:line="360" w:lineRule="auto"/>
        <w:ind w:firstLine="442" w:firstLineChars="200"/>
        <w:rPr>
          <w:rFonts w:ascii="宋体" w:hAnsi="宋体" w:eastAsia="宋体" w:cs="宋体"/>
          <w:szCs w:val="21"/>
        </w:rPr>
      </w:pPr>
      <w:r>
        <w:rPr>
          <w:rFonts w:hint="eastAsia" w:ascii="宋体" w:hAnsi="宋体" w:eastAsia="宋体" w:cs="宋体"/>
          <w:szCs w:val="21"/>
        </w:rPr>
        <w:t>6.8投标机型应通过CRAA认证，并提供CRAA认证证书。</w:t>
      </w:r>
    </w:p>
    <w:p>
      <w:pPr>
        <w:spacing w:line="360" w:lineRule="auto"/>
        <w:ind w:firstLine="442" w:firstLineChars="200"/>
        <w:rPr>
          <w:rFonts w:ascii="宋体" w:hAnsi="宋体" w:eastAsia="宋体" w:cs="宋体"/>
          <w:szCs w:val="21"/>
        </w:rPr>
      </w:pPr>
      <w:r>
        <w:rPr>
          <w:rFonts w:hint="eastAsia" w:ascii="宋体" w:hAnsi="宋体" w:eastAsia="宋体" w:cs="宋体"/>
          <w:szCs w:val="21"/>
        </w:rPr>
        <w:t>6.9型式：机组应采用模块化设计，每组最大组合台数应不小于16台，线控器控制整组机组,每组机组需标配线控器。可选集中线控器，至少可控制8组模块机。</w:t>
      </w:r>
    </w:p>
    <w:p>
      <w:pPr>
        <w:spacing w:line="360" w:lineRule="auto"/>
        <w:ind w:firstLine="442" w:firstLineChars="200"/>
        <w:rPr>
          <w:rFonts w:ascii="宋体" w:hAnsi="宋体" w:eastAsia="宋体" w:cs="宋体"/>
          <w:szCs w:val="21"/>
        </w:rPr>
      </w:pPr>
      <w:r>
        <w:rPr>
          <w:rFonts w:hint="eastAsia" w:ascii="宋体" w:hAnsi="宋体" w:eastAsia="宋体" w:cs="宋体"/>
          <w:szCs w:val="21"/>
        </w:rPr>
        <w:t>6.10除霜系统：模块组合后，须具有间隔除霜功能，且保证系统内运行除霜模式的系统数不超过总台数的一半。应可更具实际情况手动设置除霜。</w:t>
      </w:r>
    </w:p>
    <w:p>
      <w:pPr>
        <w:spacing w:line="360" w:lineRule="auto"/>
        <w:ind w:firstLine="442" w:firstLineChars="200"/>
        <w:rPr>
          <w:rFonts w:ascii="宋体" w:hAnsi="宋体" w:eastAsia="宋体" w:cs="宋体"/>
          <w:szCs w:val="21"/>
        </w:rPr>
      </w:pPr>
      <w:r>
        <w:rPr>
          <w:rFonts w:hint="eastAsia" w:ascii="宋体" w:hAnsi="宋体" w:eastAsia="宋体" w:cs="宋体"/>
          <w:szCs w:val="21"/>
        </w:rPr>
        <w:t>6.11运行范围：机组应确保在室外环境温度-15℃～48℃时可正常运行制冷模式；在室外环境温度-26℃～30℃时可正常运行制热模式。</w:t>
      </w:r>
    </w:p>
    <w:p>
      <w:pPr>
        <w:spacing w:line="360" w:lineRule="auto"/>
        <w:ind w:firstLine="442" w:firstLineChars="200"/>
        <w:rPr>
          <w:rFonts w:ascii="宋体" w:hAnsi="宋体" w:eastAsia="宋体" w:cs="宋体"/>
          <w:szCs w:val="21"/>
        </w:rPr>
      </w:pPr>
      <w:r>
        <w:rPr>
          <w:rFonts w:hint="eastAsia" w:ascii="宋体" w:hAnsi="宋体" w:eastAsia="宋体" w:cs="宋体"/>
          <w:szCs w:val="21"/>
        </w:rPr>
        <w:t>6.12出水温度：机组可选出水温度控制，温度控制更精确，更好满足用户使用。</w:t>
      </w:r>
    </w:p>
    <w:p>
      <w:pPr>
        <w:spacing w:line="360" w:lineRule="auto"/>
        <w:ind w:firstLine="442" w:firstLineChars="200"/>
        <w:rPr>
          <w:rFonts w:ascii="宋体" w:hAnsi="宋体" w:eastAsia="宋体" w:cs="宋体"/>
          <w:szCs w:val="21"/>
        </w:rPr>
      </w:pPr>
      <w:r>
        <w:rPr>
          <w:rFonts w:hint="eastAsia" w:ascii="宋体" w:hAnsi="宋体" w:eastAsia="宋体" w:cs="宋体"/>
          <w:szCs w:val="21"/>
        </w:rPr>
        <w:t>6.13噪声：单台模块机组噪声应不大于69dB(A)，以及提供国家认可实验室出具的噪声测试报告；并且机组须具有自动调节的智能静音模式和手动调节的强制静音模式，有效降低机组噪音。</w:t>
      </w:r>
    </w:p>
    <w:p>
      <w:pPr>
        <w:spacing w:line="360" w:lineRule="auto"/>
        <w:ind w:firstLine="442" w:firstLineChars="200"/>
        <w:rPr>
          <w:rFonts w:ascii="宋体" w:hAnsi="宋体" w:eastAsia="宋体" w:cs="宋体"/>
          <w:szCs w:val="21"/>
        </w:rPr>
      </w:pPr>
      <w:r>
        <w:rPr>
          <w:rFonts w:hint="eastAsia" w:ascii="宋体" w:hAnsi="宋体" w:eastAsia="宋体" w:cs="宋体"/>
          <w:szCs w:val="21"/>
        </w:rPr>
        <w:t>6.14热泵应具备以下保护功能及故障报警功能：压缩机/风机过载保护、水泵过载保护、水系统电加热过载保护、高低压保护、过热度过小保护、进出水温度过低保护、环境温度过高或过低保护、排气/回气温度过高保护、水流保护、电源保护、冬季防冻保护、板换防冻保护、从机通讯故障报警、温度传感器故障报警、制冷剂泄漏报警、线控器与主机通讯故障报警。</w:t>
      </w:r>
    </w:p>
    <w:p>
      <w:pPr>
        <w:spacing w:line="360" w:lineRule="auto"/>
        <w:ind w:firstLine="442" w:firstLineChars="200"/>
        <w:rPr>
          <w:rFonts w:ascii="宋体" w:hAnsi="宋体" w:eastAsia="宋体" w:cs="宋体"/>
          <w:szCs w:val="21"/>
        </w:rPr>
      </w:pPr>
      <w:r>
        <w:rPr>
          <w:rFonts w:hint="eastAsia" w:ascii="宋体" w:hAnsi="宋体" w:eastAsia="宋体" w:cs="宋体"/>
          <w:szCs w:val="21"/>
        </w:rPr>
        <w:t>6.15每台模块须配置水压差开关，保障机组在安全水流量下运行。</w:t>
      </w:r>
    </w:p>
    <w:p>
      <w:pPr>
        <w:spacing w:line="360" w:lineRule="auto"/>
        <w:ind w:firstLine="442" w:firstLineChars="200"/>
        <w:rPr>
          <w:rFonts w:ascii="宋体" w:hAnsi="宋体" w:eastAsia="宋体" w:cs="宋体"/>
          <w:szCs w:val="21"/>
        </w:rPr>
      </w:pPr>
      <w:r>
        <w:rPr>
          <w:rFonts w:hint="eastAsia" w:ascii="宋体" w:hAnsi="宋体" w:eastAsia="宋体" w:cs="宋体"/>
          <w:szCs w:val="21"/>
        </w:rPr>
        <w:t>6.16机组压缩机、蒸发器、电子膨胀阀、四通阀及铜管连接管等部件采用钣金密封，起到保护机组，避免内部零部件外露加剧老化，并具有更优异的隔音作用。</w:t>
      </w:r>
    </w:p>
    <w:p>
      <w:pPr>
        <w:spacing w:line="360" w:lineRule="auto"/>
        <w:ind w:firstLine="442" w:firstLineChars="200"/>
        <w:rPr>
          <w:rFonts w:ascii="宋体" w:hAnsi="宋体" w:eastAsia="宋体" w:cs="宋体"/>
          <w:szCs w:val="21"/>
        </w:rPr>
      </w:pPr>
      <w:r>
        <w:rPr>
          <w:rFonts w:hint="eastAsia" w:ascii="宋体" w:hAnsi="宋体" w:eastAsia="宋体" w:cs="宋体"/>
          <w:szCs w:val="21"/>
        </w:rPr>
        <w:t>6.17每台模块须标配安装于机组进口管道上的Y型过滤器。</w:t>
      </w:r>
    </w:p>
    <w:p>
      <w:pPr>
        <w:spacing w:line="360" w:lineRule="auto"/>
        <w:ind w:firstLine="442" w:firstLineChars="200"/>
        <w:rPr>
          <w:rFonts w:ascii="宋体" w:hAnsi="宋体" w:eastAsia="宋体" w:cs="宋体"/>
          <w:szCs w:val="21"/>
        </w:rPr>
      </w:pPr>
      <w:r>
        <w:rPr>
          <w:rFonts w:hint="eastAsia" w:ascii="宋体" w:hAnsi="宋体" w:eastAsia="宋体" w:cs="宋体"/>
          <w:szCs w:val="21"/>
        </w:rPr>
        <w:t>6.18模块组合时，任何一台从机需要维护或维修时不影响其他机组的正常运行。</w:t>
      </w:r>
    </w:p>
    <w:p>
      <w:pPr>
        <w:spacing w:line="360" w:lineRule="auto"/>
        <w:ind w:firstLine="442" w:firstLineChars="200"/>
        <w:rPr>
          <w:rFonts w:ascii="宋体" w:hAnsi="宋体" w:eastAsia="宋体" w:cs="宋体"/>
          <w:szCs w:val="21"/>
        </w:rPr>
      </w:pPr>
      <w:r>
        <w:rPr>
          <w:rFonts w:hint="eastAsia" w:ascii="宋体" w:hAnsi="宋体" w:eastAsia="宋体" w:cs="宋体"/>
          <w:szCs w:val="21"/>
        </w:rPr>
        <w:t>6.19模块组合时，应具有分级启动功能，降低启动电流，减少对电网的冲击。</w:t>
      </w:r>
    </w:p>
    <w:p>
      <w:pPr>
        <w:spacing w:line="360" w:lineRule="auto"/>
        <w:ind w:firstLine="442" w:firstLineChars="200"/>
        <w:rPr>
          <w:rFonts w:ascii="宋体" w:hAnsi="宋体" w:eastAsia="宋体" w:cs="宋体"/>
          <w:szCs w:val="21"/>
        </w:rPr>
      </w:pPr>
      <w:r>
        <w:rPr>
          <w:rFonts w:hint="eastAsia" w:ascii="宋体" w:hAnsi="宋体" w:eastAsia="宋体" w:cs="宋体"/>
          <w:szCs w:val="21"/>
        </w:rPr>
        <w:t>6.20模块组合时，每台模块机可互为备用，使运行更有保障。</w:t>
      </w:r>
    </w:p>
    <w:p>
      <w:pPr>
        <w:spacing w:line="360" w:lineRule="auto"/>
        <w:ind w:firstLine="442" w:firstLineChars="200"/>
        <w:rPr>
          <w:rFonts w:ascii="宋体" w:hAnsi="宋体" w:eastAsia="宋体" w:cs="宋体"/>
          <w:szCs w:val="21"/>
        </w:rPr>
      </w:pPr>
      <w:r>
        <w:rPr>
          <w:rFonts w:hint="eastAsia" w:ascii="宋体" w:hAnsi="宋体" w:eastAsia="宋体" w:cs="宋体"/>
          <w:szCs w:val="21"/>
        </w:rPr>
        <w:t>6.21机组采用出水温度控制，提升空调舒适性。</w:t>
      </w:r>
    </w:p>
    <w:p>
      <w:pPr>
        <w:spacing w:line="360" w:lineRule="auto"/>
        <w:ind w:firstLine="442" w:firstLineChars="200"/>
        <w:rPr>
          <w:rFonts w:ascii="宋体" w:hAnsi="宋体" w:eastAsia="宋体" w:cs="宋体"/>
          <w:szCs w:val="21"/>
        </w:rPr>
      </w:pPr>
      <w:r>
        <w:rPr>
          <w:rFonts w:hint="eastAsia" w:ascii="宋体" w:hAnsi="宋体" w:eastAsia="宋体" w:cs="宋体"/>
          <w:szCs w:val="21"/>
        </w:rPr>
        <w:t>6.22控制系统能记录每台压缩机的历史运行时间，实现平均磨损，延长机组的整体寿命。</w:t>
      </w:r>
    </w:p>
    <w:p>
      <w:pPr>
        <w:spacing w:line="360" w:lineRule="auto"/>
        <w:ind w:firstLine="442" w:firstLineChars="200"/>
        <w:rPr>
          <w:rFonts w:ascii="宋体" w:hAnsi="宋体" w:eastAsia="宋体" w:cs="宋体"/>
          <w:szCs w:val="21"/>
        </w:rPr>
      </w:pPr>
      <w:r>
        <w:rPr>
          <w:rFonts w:hint="eastAsia" w:ascii="宋体" w:hAnsi="宋体" w:eastAsia="宋体" w:cs="宋体"/>
          <w:szCs w:val="21"/>
        </w:rPr>
        <w:t>6.23机组可通过线控器设定制冷/制热的进/出水温度，可设置定时开关机，具有断电记忆功能、自检功能、故障报警及故障代码显示功能。</w:t>
      </w:r>
    </w:p>
    <w:p>
      <w:pPr>
        <w:spacing w:line="360" w:lineRule="auto"/>
        <w:ind w:firstLine="442" w:firstLineChars="200"/>
        <w:rPr>
          <w:rFonts w:ascii="宋体" w:hAnsi="宋体" w:eastAsia="宋体" w:cs="宋体"/>
          <w:szCs w:val="21"/>
        </w:rPr>
      </w:pPr>
      <w:r>
        <w:rPr>
          <w:rFonts w:hint="eastAsia" w:ascii="宋体" w:hAnsi="宋体" w:eastAsia="宋体" w:cs="宋体"/>
          <w:szCs w:val="21"/>
        </w:rPr>
        <w:t>6.24热泵应具备以下保护功能及故障报警功能：压缩机/风机过载保护、水泵过载保护、水系统电加热过载保护、高低压保护、过热度过小保护、进出水温度过低保护、环境温度过高或过低保护、排气/回气温度过高保护、水流保护、电源保护、冬季防冻保护、板换防冻保护、从机通讯故障报警、温度传感器故障报警、制冷剂泄漏报警、线控器与主机通讯故障报警。</w:t>
      </w:r>
    </w:p>
    <w:p>
      <w:pPr>
        <w:pStyle w:val="5"/>
        <w:ind w:firstLine="444"/>
      </w:pPr>
      <w:bookmarkStart w:id="153" w:name="_Toc16165"/>
      <w:r>
        <w:rPr>
          <w:rFonts w:hint="eastAsia"/>
        </w:rPr>
        <w:t>（三）电气系统</w:t>
      </w:r>
      <w:bookmarkEnd w:id="153"/>
    </w:p>
    <w:p>
      <w:pPr>
        <w:spacing w:line="360" w:lineRule="auto"/>
        <w:ind w:firstLine="442" w:firstLineChars="200"/>
        <w:rPr>
          <w:rFonts w:ascii="宋体" w:hAnsi="宋体" w:eastAsia="宋体" w:cs="宋体"/>
          <w:szCs w:val="21"/>
        </w:rPr>
      </w:pPr>
      <w:bookmarkStart w:id="154" w:name="_Toc10518"/>
      <w:r>
        <w:rPr>
          <w:rFonts w:hint="eastAsia" w:ascii="宋体" w:hAnsi="宋体" w:eastAsia="宋体" w:cs="宋体"/>
          <w:szCs w:val="21"/>
        </w:rPr>
        <w:t>1、系统描述、系统描述：</w:t>
      </w:r>
      <w:bookmarkEnd w:id="154"/>
    </w:p>
    <w:p>
      <w:pPr>
        <w:spacing w:line="360" w:lineRule="auto"/>
        <w:ind w:firstLine="442" w:firstLineChars="200"/>
        <w:rPr>
          <w:rFonts w:ascii="宋体" w:hAnsi="宋体" w:eastAsia="宋体" w:cs="宋体"/>
          <w:szCs w:val="21"/>
        </w:rPr>
      </w:pPr>
      <w:r>
        <w:rPr>
          <w:rFonts w:hint="eastAsia" w:ascii="宋体" w:hAnsi="宋体" w:eastAsia="宋体" w:cs="宋体"/>
          <w:szCs w:val="21"/>
        </w:rPr>
        <w:t>实验设施专用配电系统包括实验室动力配电、实验室插座、实验室照明，主要设备及材料选型等。用电安全永远是放在第一位的，在保障用电需求的前提下，同时要保证人员、设备用电的安全。照明设计的原则是合理配光，营造高亮度，舒适得照明环境，设计照度要符合《建筑照明设计标准》GB50034-2013中的要求。插座的设计要结合实验室功能需求、家具摆放、仪器设备的使用需求来按实设计。</w:t>
      </w:r>
    </w:p>
    <w:p>
      <w:pPr>
        <w:spacing w:line="360" w:lineRule="auto"/>
        <w:ind w:firstLine="442" w:firstLineChars="200"/>
        <w:rPr>
          <w:rFonts w:ascii="宋体" w:hAnsi="宋体" w:eastAsia="宋体" w:cs="宋体"/>
          <w:szCs w:val="21"/>
        </w:rPr>
      </w:pPr>
      <w:bookmarkStart w:id="155" w:name="_Toc645"/>
      <w:bookmarkStart w:id="156" w:name="_Toc454321890"/>
      <w:r>
        <w:rPr>
          <w:rFonts w:hint="eastAsia" w:ascii="宋体" w:hAnsi="宋体" w:eastAsia="宋体" w:cs="宋体"/>
          <w:szCs w:val="21"/>
        </w:rPr>
        <w:t>2、照明系统</w:t>
      </w:r>
      <w:bookmarkEnd w:id="155"/>
      <w:bookmarkEnd w:id="156"/>
    </w:p>
    <w:p>
      <w:pPr>
        <w:spacing w:line="360" w:lineRule="auto"/>
        <w:ind w:firstLine="442" w:firstLineChars="200"/>
        <w:rPr>
          <w:rFonts w:ascii="宋体" w:hAnsi="宋体" w:eastAsia="宋体" w:cs="宋体"/>
          <w:szCs w:val="21"/>
        </w:rPr>
      </w:pPr>
      <w:r>
        <w:rPr>
          <w:rFonts w:hint="eastAsia" w:ascii="宋体" w:hAnsi="宋体" w:eastAsia="宋体" w:cs="宋体"/>
          <w:szCs w:val="21"/>
        </w:rPr>
        <w:t>照明灯具：照明采用超薄型LED明装平板净化灯，功率24W/48W，尺寸300*600/300*1200；LED T龙骨灯，功率24W，具有黄白两种光源。照明、插座、开关等装置及安装符合洁净区要求。</w:t>
      </w:r>
    </w:p>
    <w:p>
      <w:pPr>
        <w:spacing w:line="360" w:lineRule="auto"/>
        <w:ind w:firstLine="442" w:firstLineChars="200"/>
        <w:rPr>
          <w:rFonts w:ascii="宋体" w:hAnsi="宋体" w:eastAsia="宋体" w:cs="宋体"/>
          <w:szCs w:val="21"/>
        </w:rPr>
      </w:pPr>
      <w:bookmarkStart w:id="157" w:name="_Toc4447"/>
      <w:r>
        <w:rPr>
          <w:rFonts w:hint="eastAsia" w:ascii="宋体" w:hAnsi="宋体" w:eastAsia="宋体" w:cs="宋体"/>
          <w:szCs w:val="21"/>
        </w:rPr>
        <w:t>3、开关、插座：</w:t>
      </w:r>
      <w:bookmarkEnd w:id="157"/>
    </w:p>
    <w:p>
      <w:pPr>
        <w:spacing w:line="360" w:lineRule="auto"/>
        <w:ind w:firstLine="442" w:firstLineChars="200"/>
        <w:rPr>
          <w:rFonts w:ascii="宋体" w:hAnsi="宋体" w:eastAsia="宋体" w:cs="宋体"/>
          <w:szCs w:val="21"/>
        </w:rPr>
      </w:pPr>
      <w:r>
        <w:rPr>
          <w:rFonts w:hint="eastAsia" w:ascii="宋体" w:hAnsi="宋体" w:eastAsia="宋体" w:cs="宋体"/>
          <w:szCs w:val="21"/>
        </w:rPr>
        <w:t>插座、开关应采用国际品牌。产品通过“3C”认证，符合实验室的需求；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插座开关适应环境温度50摄氏度，并具有以下特性及优点：表面材料选用进口PC，耐冲击、耐高温、光洁度好、易清洁；插座均带安全保护门，采用高弹性锡磷铜片，弹力好拔插稳；后座采用阻燃尼龙，阻燃性强；开关类采用高品质银合金触点，导电性好，减少电弧；</w:t>
      </w:r>
    </w:p>
    <w:p>
      <w:pPr>
        <w:spacing w:line="360" w:lineRule="auto"/>
        <w:ind w:firstLine="442" w:firstLineChars="200"/>
        <w:rPr>
          <w:rFonts w:ascii="宋体" w:hAnsi="宋体" w:eastAsia="宋体" w:cs="宋体"/>
          <w:szCs w:val="21"/>
        </w:rPr>
      </w:pPr>
      <w:bookmarkStart w:id="158" w:name="_Toc454321891"/>
      <w:bookmarkStart w:id="159" w:name="_Toc12433"/>
      <w:r>
        <w:rPr>
          <w:rFonts w:hint="eastAsia" w:ascii="宋体" w:hAnsi="宋体" w:eastAsia="宋体" w:cs="宋体"/>
          <w:szCs w:val="21"/>
        </w:rPr>
        <w:t>4、配电系统</w:t>
      </w:r>
      <w:bookmarkEnd w:id="158"/>
      <w:bookmarkEnd w:id="159"/>
    </w:p>
    <w:p>
      <w:pPr>
        <w:spacing w:line="360" w:lineRule="auto"/>
        <w:ind w:firstLine="442" w:firstLineChars="200"/>
        <w:rPr>
          <w:rFonts w:ascii="宋体" w:hAnsi="宋体" w:eastAsia="宋体" w:cs="宋体"/>
          <w:szCs w:val="21"/>
        </w:rPr>
      </w:pPr>
      <w:r>
        <w:rPr>
          <w:rFonts w:hint="eastAsia" w:ascii="宋体" w:hAnsi="宋体" w:eastAsia="宋体" w:cs="宋体"/>
          <w:szCs w:val="21"/>
        </w:rPr>
        <w:t>电气工程配电：主要包括：动力配电柜、照明配电箱、电线管路敷设、接线盒、开关盒、安装与调试。</w:t>
      </w:r>
    </w:p>
    <w:p>
      <w:pPr>
        <w:spacing w:line="360" w:lineRule="auto"/>
        <w:ind w:firstLine="442" w:firstLineChars="200"/>
        <w:rPr>
          <w:rFonts w:ascii="宋体" w:hAnsi="宋体" w:eastAsia="宋体" w:cs="宋体"/>
          <w:szCs w:val="21"/>
        </w:rPr>
      </w:pPr>
      <w:r>
        <w:rPr>
          <w:rFonts w:hint="eastAsia" w:ascii="宋体" w:hAnsi="宋体" w:eastAsia="宋体" w:cs="宋体"/>
          <w:szCs w:val="21"/>
        </w:rPr>
        <w:t>4.1采用TN-S三相五线制供电系统，动力电和照明电、仪器用电分开设置，供电应充分保证实验室的用电安全。大功率用电器使用一路相线，其他仪器独立使用一路相线，以避免大功率开停对检验仪器的影响。所有用电仪器设备均应良好接地。</w:t>
      </w:r>
    </w:p>
    <w:p>
      <w:pPr>
        <w:spacing w:line="360" w:lineRule="auto"/>
        <w:ind w:firstLine="442" w:firstLineChars="200"/>
        <w:rPr>
          <w:rFonts w:ascii="宋体" w:hAnsi="宋体" w:eastAsia="宋体" w:cs="宋体"/>
          <w:szCs w:val="21"/>
        </w:rPr>
      </w:pPr>
      <w:r>
        <w:rPr>
          <w:rFonts w:hint="eastAsia" w:ascii="宋体" w:hAnsi="宋体" w:eastAsia="宋体" w:cs="宋体"/>
          <w:szCs w:val="21"/>
        </w:rPr>
        <w:t>4.2电气系统及控制系统线缆：所有动力电缆使用聚氯乙烯绝缘、聚氯乙烯护套的铜芯电缆，所有控制线使用聚氯乙烯绝缘、聚氯乙烯护套的屏蔽铜芯电缆。所有电气设备、现场盘柜需可靠接地。</w:t>
      </w:r>
    </w:p>
    <w:p>
      <w:pPr>
        <w:spacing w:line="360" w:lineRule="auto"/>
        <w:ind w:firstLine="442" w:firstLineChars="200"/>
        <w:rPr>
          <w:rFonts w:ascii="宋体" w:hAnsi="宋体" w:eastAsia="宋体" w:cs="宋体"/>
          <w:szCs w:val="21"/>
        </w:rPr>
      </w:pPr>
      <w:r>
        <w:rPr>
          <w:rFonts w:hint="eastAsia" w:ascii="宋体" w:hAnsi="宋体" w:eastAsia="宋体" w:cs="宋体"/>
          <w:szCs w:val="21"/>
        </w:rPr>
        <w:t>4.3仪表电缆应敷设在固定的电缆桥架中或穿入镀锌管中，并与电力电缆分离。</w:t>
      </w:r>
    </w:p>
    <w:p>
      <w:pPr>
        <w:spacing w:line="360" w:lineRule="auto"/>
        <w:ind w:firstLine="442" w:firstLineChars="200"/>
        <w:rPr>
          <w:rFonts w:ascii="宋体" w:hAnsi="宋体" w:eastAsia="宋体" w:cs="宋体"/>
          <w:szCs w:val="21"/>
        </w:rPr>
      </w:pPr>
      <w:bookmarkStart w:id="160" w:name="_Toc22573"/>
      <w:r>
        <w:rPr>
          <w:rFonts w:hint="eastAsia" w:ascii="宋体" w:hAnsi="宋体" w:eastAsia="宋体" w:cs="宋体"/>
          <w:szCs w:val="21"/>
        </w:rPr>
        <w:t>5、配电箱</w:t>
      </w:r>
      <w:bookmarkEnd w:id="160"/>
    </w:p>
    <w:p>
      <w:pPr>
        <w:spacing w:line="360" w:lineRule="auto"/>
        <w:ind w:firstLine="442" w:firstLineChars="200"/>
        <w:rPr>
          <w:rFonts w:ascii="宋体" w:hAnsi="宋体" w:eastAsia="宋体" w:cs="宋体"/>
          <w:szCs w:val="21"/>
        </w:rPr>
      </w:pPr>
      <w:r>
        <w:rPr>
          <w:rFonts w:hint="eastAsia" w:ascii="宋体" w:hAnsi="宋体" w:eastAsia="宋体" w:cs="宋体"/>
          <w:szCs w:val="21"/>
        </w:rPr>
        <w:t>配电箱符合GB17466标准，箱内配有中性端子排、接地端子排及DIN导轨，可配合终端配电保护产品。</w:t>
      </w:r>
    </w:p>
    <w:p>
      <w:pPr>
        <w:spacing w:line="360" w:lineRule="auto"/>
        <w:ind w:firstLine="442" w:firstLineChars="200"/>
        <w:rPr>
          <w:rFonts w:ascii="宋体" w:hAnsi="宋体" w:eastAsia="宋体" w:cs="宋体"/>
          <w:szCs w:val="21"/>
        </w:rPr>
      </w:pPr>
      <w:bookmarkStart w:id="161" w:name="_Toc22643"/>
      <w:r>
        <w:rPr>
          <w:rFonts w:hint="eastAsia" w:ascii="宋体" w:hAnsi="宋体" w:eastAsia="宋体" w:cs="宋体"/>
          <w:szCs w:val="21"/>
        </w:rPr>
        <w:t>6、微型断路器</w:t>
      </w:r>
      <w:bookmarkEnd w:id="161"/>
    </w:p>
    <w:p>
      <w:pPr>
        <w:spacing w:line="360" w:lineRule="auto"/>
        <w:ind w:firstLine="442" w:firstLineChars="200"/>
        <w:rPr>
          <w:rFonts w:ascii="宋体" w:hAnsi="宋体" w:eastAsia="宋体" w:cs="宋体"/>
          <w:szCs w:val="21"/>
        </w:rPr>
      </w:pPr>
      <w:r>
        <w:rPr>
          <w:rFonts w:hint="eastAsia" w:ascii="宋体" w:hAnsi="宋体" w:eastAsia="宋体" w:cs="宋体"/>
          <w:szCs w:val="21"/>
        </w:rPr>
        <w:t>通过CCC/VDE认证、具有CCC/CE标志。具有以下功能：短路保护、过载保护、控制、隔离功能，且均通过强制性3C认证。</w:t>
      </w:r>
    </w:p>
    <w:p>
      <w:pPr>
        <w:spacing w:line="360" w:lineRule="auto"/>
        <w:ind w:firstLine="442" w:firstLineChars="200"/>
        <w:rPr>
          <w:rFonts w:ascii="宋体" w:hAnsi="宋体" w:eastAsia="宋体" w:cs="宋体"/>
          <w:szCs w:val="21"/>
        </w:rPr>
      </w:pPr>
      <w:bookmarkStart w:id="162" w:name="_Toc7747"/>
      <w:r>
        <w:rPr>
          <w:rFonts w:hint="eastAsia" w:ascii="宋体" w:hAnsi="宋体" w:eastAsia="宋体" w:cs="宋体"/>
          <w:szCs w:val="21"/>
        </w:rPr>
        <w:t>7、</w:t>
      </w:r>
      <w:bookmarkStart w:id="163" w:name="_Toc454321892"/>
      <w:r>
        <w:rPr>
          <w:rFonts w:hint="eastAsia" w:ascii="宋体" w:hAnsi="宋体" w:eastAsia="宋体" w:cs="宋体"/>
          <w:szCs w:val="21"/>
        </w:rPr>
        <w:t>门禁系统</w:t>
      </w:r>
      <w:bookmarkEnd w:id="162"/>
      <w:bookmarkEnd w:id="163"/>
    </w:p>
    <w:p>
      <w:pPr>
        <w:spacing w:line="360" w:lineRule="auto"/>
        <w:ind w:firstLine="442" w:firstLineChars="200"/>
        <w:rPr>
          <w:rFonts w:ascii="宋体" w:hAnsi="宋体" w:eastAsia="宋体" w:cs="宋体"/>
          <w:szCs w:val="21"/>
        </w:rPr>
      </w:pPr>
      <w:r>
        <w:rPr>
          <w:rFonts w:hint="eastAsia" w:ascii="宋体" w:hAnsi="宋体" w:eastAsia="宋体" w:cs="宋体"/>
          <w:szCs w:val="21"/>
        </w:rPr>
        <w:t>7.1门禁系统：实验室实验人员主要进门口应设有门禁管理（见施工图标注），实现刷卡开门，并通过门禁控制器将开门的信息传递给控制室的微机。微机通过门禁管理软件实现对实验室人员的进出管理与记录。</w:t>
      </w:r>
    </w:p>
    <w:p>
      <w:pPr>
        <w:spacing w:line="360" w:lineRule="auto"/>
        <w:ind w:firstLine="442" w:firstLineChars="200"/>
        <w:rPr>
          <w:rFonts w:ascii="宋体" w:hAnsi="宋体" w:eastAsia="宋体" w:cs="宋体"/>
          <w:szCs w:val="21"/>
        </w:rPr>
      </w:pPr>
      <w:bookmarkStart w:id="164" w:name="_Toc454321894"/>
      <w:r>
        <w:rPr>
          <w:rFonts w:hint="eastAsia" w:ascii="宋体" w:hAnsi="宋体" w:eastAsia="宋体" w:cs="宋体"/>
          <w:szCs w:val="21"/>
        </w:rPr>
        <w:t>7.2仪器设备接地系统</w:t>
      </w:r>
      <w:bookmarkEnd w:id="164"/>
    </w:p>
    <w:p>
      <w:pPr>
        <w:spacing w:line="360" w:lineRule="auto"/>
        <w:ind w:firstLine="442" w:firstLineChars="200"/>
        <w:rPr>
          <w:rFonts w:ascii="宋体" w:hAnsi="宋体" w:eastAsia="宋体" w:cs="宋体"/>
          <w:szCs w:val="21"/>
        </w:rPr>
      </w:pPr>
      <w:r>
        <w:rPr>
          <w:rFonts w:hint="eastAsia" w:ascii="宋体" w:hAnsi="宋体" w:eastAsia="宋体" w:cs="宋体"/>
          <w:szCs w:val="21"/>
        </w:rPr>
        <w:t>实验室部分精密仪器等需要接地，大楼的接地系统无法满足仪器的接地电阻需求，设置独立接地系统，仪器接地电阻要求≤1Ω。</w:t>
      </w:r>
    </w:p>
    <w:p>
      <w:pPr>
        <w:spacing w:line="360" w:lineRule="auto"/>
        <w:ind w:firstLine="442" w:firstLineChars="200"/>
        <w:rPr>
          <w:rFonts w:ascii="宋体" w:hAnsi="宋体" w:eastAsia="宋体" w:cs="宋体"/>
          <w:szCs w:val="21"/>
        </w:rPr>
      </w:pPr>
      <w:bookmarkStart w:id="165" w:name="_Toc13599"/>
      <w:bookmarkStart w:id="166" w:name="_Toc454321895"/>
      <w:r>
        <w:rPr>
          <w:rFonts w:hint="eastAsia" w:ascii="宋体" w:hAnsi="宋体" w:eastAsia="宋体" w:cs="宋体"/>
          <w:szCs w:val="21"/>
        </w:rPr>
        <w:t>8、弱电网络电话系统</w:t>
      </w:r>
      <w:bookmarkEnd w:id="165"/>
      <w:bookmarkEnd w:id="166"/>
    </w:p>
    <w:p>
      <w:pPr>
        <w:spacing w:line="360" w:lineRule="auto"/>
        <w:ind w:firstLine="442" w:firstLineChars="200"/>
        <w:rPr>
          <w:rFonts w:ascii="宋体" w:hAnsi="宋体" w:eastAsia="宋体" w:cs="宋体"/>
          <w:szCs w:val="21"/>
        </w:rPr>
      </w:pPr>
      <w:r>
        <w:rPr>
          <w:rFonts w:hint="eastAsia" w:ascii="宋体" w:hAnsi="宋体" w:eastAsia="宋体" w:cs="宋体"/>
          <w:szCs w:val="21"/>
        </w:rPr>
        <w:t>根据使用需求、工艺实验流程及设备参数等特性，实验室合理设置网络、电话接入点；</w:t>
      </w:r>
    </w:p>
    <w:p>
      <w:pPr>
        <w:spacing w:line="360" w:lineRule="auto"/>
        <w:ind w:firstLine="442" w:firstLineChars="200"/>
        <w:rPr>
          <w:rFonts w:ascii="宋体" w:hAnsi="宋体" w:eastAsia="宋体" w:cs="宋体"/>
          <w:szCs w:val="21"/>
        </w:rPr>
      </w:pPr>
      <w:r>
        <w:rPr>
          <w:rFonts w:hint="eastAsia" w:ascii="宋体" w:hAnsi="宋体" w:eastAsia="宋体" w:cs="宋体"/>
          <w:szCs w:val="21"/>
        </w:rPr>
        <w:t>每个实验室电话、网络模块一起布置时采用一个两孔面板，电话、网络连接到本层配线架，接入大楼语音、网络系统；</w:t>
      </w:r>
      <w:bookmarkStart w:id="167" w:name="_Toc454321896"/>
    </w:p>
    <w:p>
      <w:pPr>
        <w:spacing w:line="360" w:lineRule="auto"/>
        <w:ind w:firstLine="442" w:firstLineChars="200"/>
        <w:rPr>
          <w:rFonts w:ascii="宋体" w:hAnsi="宋体" w:eastAsia="宋体" w:cs="宋体"/>
          <w:szCs w:val="21"/>
        </w:rPr>
      </w:pPr>
      <w:bookmarkStart w:id="168" w:name="_Toc17174"/>
      <w:r>
        <w:rPr>
          <w:rFonts w:hint="eastAsia" w:ascii="宋体" w:hAnsi="宋体" w:eastAsia="宋体" w:cs="宋体"/>
          <w:szCs w:val="21"/>
        </w:rPr>
        <w:t>9、监控系统</w:t>
      </w:r>
      <w:bookmarkEnd w:id="167"/>
      <w:bookmarkEnd w:id="168"/>
    </w:p>
    <w:p>
      <w:pPr>
        <w:spacing w:line="360" w:lineRule="auto"/>
        <w:ind w:firstLine="442" w:firstLineChars="200"/>
        <w:rPr>
          <w:rFonts w:ascii="宋体" w:hAnsi="宋体" w:eastAsia="宋体" w:cs="宋体"/>
          <w:szCs w:val="21"/>
        </w:rPr>
      </w:pPr>
      <w:r>
        <w:rPr>
          <w:rFonts w:hint="eastAsia" w:ascii="宋体" w:hAnsi="宋体" w:eastAsia="宋体" w:cs="宋体"/>
          <w:szCs w:val="21"/>
        </w:rPr>
        <w:t>部分重要实验区域，需要视频监控，走廊两端等进口处需要设计视频监控，接入大楼监控系统。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半球型彩色摄像头：网络通讯、红外探测30～50M（3.6mm镜头）、防水、防雷、带POE功能；</w:t>
      </w:r>
    </w:p>
    <w:p>
      <w:pPr>
        <w:spacing w:line="360" w:lineRule="auto"/>
        <w:ind w:firstLine="442" w:firstLineChars="200"/>
        <w:rPr>
          <w:rFonts w:ascii="宋体" w:hAnsi="宋体" w:eastAsia="宋体" w:cs="宋体"/>
          <w:szCs w:val="21"/>
        </w:rPr>
      </w:pPr>
      <w:r>
        <w:rPr>
          <w:rFonts w:hint="eastAsia" w:ascii="宋体" w:hAnsi="宋体" w:eastAsia="宋体" w:cs="宋体"/>
          <w:szCs w:val="21"/>
        </w:rPr>
        <w:t>配备DC12V的专用电源；</w:t>
      </w:r>
    </w:p>
    <w:p>
      <w:pPr>
        <w:spacing w:line="360" w:lineRule="auto"/>
        <w:ind w:firstLine="442" w:firstLineChars="200"/>
        <w:rPr>
          <w:rFonts w:ascii="宋体" w:hAnsi="宋体" w:eastAsia="宋体" w:cs="宋体"/>
          <w:szCs w:val="21"/>
        </w:rPr>
      </w:pPr>
      <w:r>
        <w:rPr>
          <w:rFonts w:hint="eastAsia" w:ascii="宋体" w:hAnsi="宋体" w:eastAsia="宋体" w:cs="宋体"/>
          <w:szCs w:val="21"/>
        </w:rPr>
        <w:t>显示器：彩色27英寸，1920×1080配备硬盘及定制专用软件。</w:t>
      </w:r>
    </w:p>
    <w:p>
      <w:pPr>
        <w:pStyle w:val="5"/>
        <w:ind w:firstLine="444"/>
      </w:pPr>
      <w:bookmarkStart w:id="169" w:name="_Toc16188"/>
      <w:r>
        <w:rPr>
          <w:rFonts w:hint="eastAsia"/>
        </w:rPr>
        <w:t>（四）给排水系统</w:t>
      </w:r>
      <w:bookmarkEnd w:id="169"/>
    </w:p>
    <w:p>
      <w:pPr>
        <w:spacing w:line="360" w:lineRule="auto"/>
        <w:ind w:firstLine="442" w:firstLineChars="200"/>
        <w:rPr>
          <w:rFonts w:ascii="宋体" w:hAnsi="宋体" w:eastAsia="宋体" w:cs="宋体"/>
          <w:szCs w:val="21"/>
        </w:rPr>
      </w:pPr>
      <w:bookmarkStart w:id="170" w:name="_Toc16276"/>
      <w:r>
        <w:rPr>
          <w:rFonts w:hint="eastAsia" w:ascii="宋体" w:hAnsi="宋体" w:eastAsia="宋体" w:cs="宋体"/>
          <w:szCs w:val="21"/>
        </w:rPr>
        <w:t>1、给水系统</w:t>
      </w:r>
      <w:bookmarkEnd w:id="170"/>
    </w:p>
    <w:p>
      <w:pPr>
        <w:spacing w:line="360" w:lineRule="auto"/>
        <w:ind w:firstLine="442" w:firstLineChars="200"/>
        <w:rPr>
          <w:rFonts w:ascii="宋体" w:hAnsi="宋体" w:eastAsia="宋体" w:cs="宋体"/>
          <w:szCs w:val="21"/>
        </w:rPr>
      </w:pPr>
      <w:r>
        <w:rPr>
          <w:rFonts w:hint="eastAsia" w:ascii="宋体" w:hAnsi="宋体" w:eastAsia="宋体" w:cs="宋体"/>
          <w:szCs w:val="21"/>
        </w:rPr>
        <w:t>1.1主要给水设备：清洗用水、空调加湿补水、冷却水补水等，每个给水点安装一个截止阀。施工完成后需进行管道压力试验、消毒冲洗。管道和管件性能参数应符合GB/T18742-20&lt;&lt;冷热水用塑料管道系统&gt;&gt;。</w:t>
      </w:r>
    </w:p>
    <w:p>
      <w:pPr>
        <w:spacing w:line="360" w:lineRule="auto"/>
        <w:ind w:firstLine="442" w:firstLineChars="200"/>
        <w:rPr>
          <w:rFonts w:ascii="宋体" w:hAnsi="宋体" w:eastAsia="宋体" w:cs="宋体"/>
          <w:szCs w:val="21"/>
        </w:rPr>
      </w:pPr>
      <w:r>
        <w:rPr>
          <w:rFonts w:hint="eastAsia" w:ascii="宋体" w:hAnsi="宋体" w:eastAsia="宋体" w:cs="宋体"/>
          <w:szCs w:val="21"/>
        </w:rPr>
        <w:t>1.2冷水管采用S4型聚丙烯给水管（公称工作压力1.6MPa），材质采用PPR给水管，热熔连接，暗装。</w:t>
      </w:r>
    </w:p>
    <w:p>
      <w:pPr>
        <w:spacing w:line="360" w:lineRule="auto"/>
        <w:ind w:firstLine="442" w:firstLineChars="200"/>
        <w:rPr>
          <w:rFonts w:ascii="宋体" w:hAnsi="宋体" w:eastAsia="宋体" w:cs="宋体"/>
          <w:szCs w:val="21"/>
        </w:rPr>
      </w:pPr>
      <w:bookmarkStart w:id="171" w:name="_Toc27489"/>
      <w:r>
        <w:rPr>
          <w:rFonts w:hint="eastAsia" w:ascii="宋体" w:hAnsi="宋体" w:eastAsia="宋体" w:cs="宋体"/>
          <w:szCs w:val="21"/>
        </w:rPr>
        <w:t>2、排水系统、排水系统：</w:t>
      </w:r>
      <w:bookmarkEnd w:id="171"/>
    </w:p>
    <w:p>
      <w:pPr>
        <w:spacing w:line="360" w:lineRule="auto"/>
        <w:ind w:firstLine="442" w:firstLineChars="200"/>
        <w:rPr>
          <w:rFonts w:ascii="宋体" w:hAnsi="宋体" w:eastAsia="宋体" w:cs="宋体"/>
          <w:szCs w:val="21"/>
        </w:rPr>
      </w:pPr>
      <w:r>
        <w:rPr>
          <w:rFonts w:hint="eastAsia" w:ascii="宋体" w:hAnsi="宋体" w:eastAsia="宋体" w:cs="宋体"/>
          <w:szCs w:val="21"/>
        </w:rPr>
        <w:t>2.1主要排水设备：纯水间排水、清洗间通风橱、洗眼器等指定用水设备。</w:t>
      </w:r>
    </w:p>
    <w:p>
      <w:pPr>
        <w:spacing w:line="360" w:lineRule="auto"/>
        <w:ind w:firstLine="442" w:firstLineChars="200"/>
        <w:rPr>
          <w:rFonts w:ascii="宋体" w:hAnsi="宋体" w:eastAsia="宋体" w:cs="宋体"/>
          <w:szCs w:val="21"/>
        </w:rPr>
      </w:pPr>
      <w:r>
        <w:rPr>
          <w:rFonts w:hint="eastAsia" w:ascii="宋体" w:hAnsi="宋体" w:eastAsia="宋体" w:cs="宋体"/>
          <w:szCs w:val="21"/>
        </w:rPr>
        <w:t>2.2实验室排水管采用PP材质，采用密封胶圈承插连接。空调机房等不含污染性物质排水管采用UPVC材质，采用承插粘接。</w:t>
      </w:r>
    </w:p>
    <w:p>
      <w:pPr>
        <w:spacing w:line="360" w:lineRule="auto"/>
        <w:ind w:firstLine="442" w:firstLineChars="200"/>
        <w:rPr>
          <w:rFonts w:ascii="宋体" w:hAnsi="宋体" w:eastAsia="宋体" w:cs="宋体"/>
          <w:szCs w:val="21"/>
        </w:rPr>
      </w:pPr>
      <w:r>
        <w:rPr>
          <w:rFonts w:hint="eastAsia" w:ascii="宋体" w:hAnsi="宋体" w:eastAsia="宋体" w:cs="宋体"/>
          <w:szCs w:val="21"/>
        </w:rPr>
        <w:t>2.3实验室废水需通过废水处理设备处理后排至校园污水管网。</w:t>
      </w:r>
    </w:p>
    <w:p>
      <w:pPr>
        <w:spacing w:line="360" w:lineRule="auto"/>
        <w:ind w:firstLine="442" w:firstLineChars="200"/>
        <w:rPr>
          <w:rFonts w:ascii="宋体" w:hAnsi="宋体" w:eastAsia="宋体" w:cs="宋体"/>
          <w:szCs w:val="21"/>
        </w:rPr>
      </w:pPr>
      <w:bookmarkStart w:id="172" w:name="_Toc32748"/>
      <w:r>
        <w:rPr>
          <w:rFonts w:hint="eastAsia" w:ascii="宋体" w:hAnsi="宋体" w:eastAsia="宋体" w:cs="宋体"/>
          <w:szCs w:val="21"/>
        </w:rPr>
        <w:t>3、纯水系统</w:t>
      </w:r>
      <w:bookmarkEnd w:id="172"/>
    </w:p>
    <w:p>
      <w:pPr>
        <w:spacing w:line="360" w:lineRule="auto"/>
        <w:ind w:firstLine="442" w:firstLineChars="200"/>
        <w:rPr>
          <w:rFonts w:ascii="宋体" w:hAnsi="宋体" w:eastAsia="宋体" w:cs="宋体"/>
          <w:szCs w:val="21"/>
        </w:rPr>
      </w:pPr>
      <w:r>
        <w:rPr>
          <w:rFonts w:hint="eastAsia" w:ascii="宋体" w:hAnsi="宋体" w:eastAsia="宋体" w:cs="宋体"/>
          <w:szCs w:val="21"/>
        </w:rPr>
        <w:t>3.1 制水系统基本技术要求：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系统产水量：1000L/h@25℃</w:t>
      </w:r>
    </w:p>
    <w:p>
      <w:pPr>
        <w:spacing w:line="360" w:lineRule="auto"/>
        <w:ind w:firstLine="442" w:firstLineChars="200"/>
        <w:rPr>
          <w:rFonts w:ascii="宋体" w:hAnsi="宋体" w:eastAsia="宋体" w:cs="宋体"/>
          <w:szCs w:val="21"/>
        </w:rPr>
      </w:pPr>
      <w:r>
        <w:rPr>
          <w:rFonts w:hint="eastAsia" w:ascii="宋体" w:hAnsi="宋体" w:eastAsia="宋体" w:cs="宋体"/>
          <w:szCs w:val="21"/>
        </w:rPr>
        <w:t xml:space="preserve">出水水质：二级反渗透水：电导率&lt;5μS/cm； </w:t>
      </w:r>
    </w:p>
    <w:p>
      <w:pPr>
        <w:spacing w:line="360" w:lineRule="auto"/>
        <w:ind w:firstLine="442" w:firstLineChars="200"/>
        <w:rPr>
          <w:rFonts w:ascii="宋体" w:hAnsi="宋体" w:eastAsia="宋体" w:cs="宋体"/>
          <w:szCs w:val="21"/>
        </w:rPr>
      </w:pPr>
      <w:r>
        <w:rPr>
          <w:rFonts w:hint="eastAsia" w:ascii="宋体" w:hAnsi="宋体" w:eastAsia="宋体" w:cs="宋体"/>
          <w:szCs w:val="21"/>
        </w:rPr>
        <w:t>EDI去离子水：电阻率&gt;10MΩ.cm；</w:t>
      </w:r>
    </w:p>
    <w:p>
      <w:pPr>
        <w:spacing w:line="360" w:lineRule="auto"/>
        <w:ind w:firstLine="442" w:firstLineChars="200"/>
        <w:rPr>
          <w:rFonts w:ascii="宋体" w:hAnsi="宋体" w:eastAsia="宋体" w:cs="宋体"/>
          <w:szCs w:val="21"/>
        </w:rPr>
      </w:pPr>
      <w:r>
        <w:rPr>
          <w:rFonts w:hint="eastAsia" w:ascii="宋体" w:hAnsi="宋体" w:eastAsia="宋体" w:cs="宋体"/>
          <w:szCs w:val="21"/>
        </w:rPr>
        <w:t>EDI去离子水：电阻率18.2MΩ.cm</w:t>
      </w:r>
    </w:p>
    <w:p>
      <w:pPr>
        <w:spacing w:line="360" w:lineRule="auto"/>
        <w:ind w:firstLine="442" w:firstLineChars="200"/>
        <w:rPr>
          <w:rFonts w:ascii="宋体" w:hAnsi="宋体" w:eastAsia="宋体" w:cs="宋体"/>
          <w:szCs w:val="21"/>
        </w:rPr>
      </w:pPr>
      <w:r>
        <w:rPr>
          <w:rFonts w:hint="eastAsia" w:ascii="宋体" w:hAnsi="宋体" w:eastAsia="宋体" w:cs="宋体"/>
          <w:szCs w:val="21"/>
        </w:rPr>
        <w:t>运行方式：制水系统需采用PLC控制方式+液晶触摸屏，在控制面板上设有手动及自动切换开关，设备运行（泵的起停）、监视（出水电导、流量、压力等）参数，在线显示运行参数及水质变化情况，并且在非正常情况下实现自动报警。系统液位与各工作水泵可实行连锁保护，有利于设备安全运行。</w:t>
      </w:r>
    </w:p>
    <w:p>
      <w:pPr>
        <w:spacing w:line="360" w:lineRule="auto"/>
        <w:ind w:firstLine="442" w:firstLineChars="200"/>
        <w:rPr>
          <w:rFonts w:ascii="宋体" w:hAnsi="宋体" w:eastAsia="宋体" w:cs="宋体"/>
          <w:szCs w:val="21"/>
        </w:rPr>
      </w:pPr>
      <w:r>
        <w:rPr>
          <w:rFonts w:hint="eastAsia" w:ascii="宋体" w:hAnsi="宋体" w:eastAsia="宋体" w:cs="宋体"/>
          <w:szCs w:val="21"/>
        </w:rPr>
        <w:t>3.2具备自动控制功能（自动制水、自动冲洗、原水缺水/水箱满水自动停机、高低压报警、产水水质超标报警等）。</w:t>
      </w:r>
    </w:p>
    <w:p>
      <w:pPr>
        <w:spacing w:line="360" w:lineRule="auto"/>
        <w:ind w:firstLine="442" w:firstLineChars="200"/>
        <w:rPr>
          <w:rFonts w:ascii="宋体" w:hAnsi="宋体" w:eastAsia="宋体" w:cs="宋体"/>
          <w:szCs w:val="21"/>
        </w:rPr>
      </w:pPr>
      <w:r>
        <w:rPr>
          <w:rFonts w:hint="eastAsia" w:ascii="宋体" w:hAnsi="宋体" w:eastAsia="宋体" w:cs="宋体"/>
          <w:szCs w:val="21"/>
        </w:rPr>
        <w:t>3.3 配备相关的在线显示制水系统运行状态并可以实现就地监控的仪表，包括：压力、流量、电导率等。</w:t>
      </w:r>
    </w:p>
    <w:p>
      <w:pPr>
        <w:spacing w:line="360" w:lineRule="auto"/>
        <w:ind w:firstLine="442" w:firstLineChars="200"/>
        <w:rPr>
          <w:rFonts w:ascii="宋体" w:hAnsi="宋体" w:eastAsia="宋体" w:cs="宋体"/>
          <w:szCs w:val="21"/>
        </w:rPr>
      </w:pPr>
      <w:r>
        <w:rPr>
          <w:rFonts w:hint="eastAsia" w:ascii="宋体" w:hAnsi="宋体" w:eastAsia="宋体" w:cs="宋体"/>
          <w:szCs w:val="21"/>
        </w:rPr>
        <w:t>3.4反渗透膜、EDI模块采用优质品牌。</w:t>
      </w:r>
    </w:p>
    <w:p>
      <w:pPr>
        <w:spacing w:line="360" w:lineRule="auto"/>
        <w:ind w:firstLine="442" w:firstLineChars="200"/>
        <w:rPr>
          <w:rFonts w:ascii="宋体" w:hAnsi="宋体" w:eastAsia="宋体" w:cs="宋体"/>
          <w:szCs w:val="21"/>
        </w:rPr>
      </w:pPr>
      <w:r>
        <w:rPr>
          <w:rFonts w:hint="eastAsia" w:ascii="宋体" w:hAnsi="宋体" w:eastAsia="宋体" w:cs="宋体"/>
          <w:szCs w:val="21"/>
        </w:rPr>
        <w:t>3.5系统配置输送泵，输送泵通过主机编程控制启动时间，确保工作连续输送纯水，非工作时间定时启动防止管路微生物生长，而不升高水温，满足后续仪器设备、用水点等对纯水的压力和流量的要求；保证纯水管道循环所需的压力和流量。</w:t>
      </w:r>
    </w:p>
    <w:p>
      <w:pPr>
        <w:spacing w:line="360" w:lineRule="auto"/>
        <w:ind w:firstLine="442" w:firstLineChars="200"/>
        <w:rPr>
          <w:rFonts w:ascii="宋体" w:hAnsi="宋体" w:eastAsia="宋体" w:cs="宋体"/>
          <w:szCs w:val="21"/>
        </w:rPr>
      </w:pPr>
      <w:r>
        <w:rPr>
          <w:rFonts w:hint="eastAsia" w:ascii="宋体" w:hAnsi="宋体" w:eastAsia="宋体" w:cs="宋体"/>
          <w:szCs w:val="21"/>
        </w:rPr>
        <w:t>3.6主机操作配备 GLP管理概念的安全权限电子触摸密匙，多级密码控制系统，防止未经授权的操作。</w:t>
      </w:r>
    </w:p>
    <w:p>
      <w:pPr>
        <w:spacing w:line="360" w:lineRule="auto"/>
        <w:ind w:firstLine="442" w:firstLineChars="200"/>
        <w:rPr>
          <w:rFonts w:ascii="宋体" w:hAnsi="宋体" w:eastAsia="宋体" w:cs="宋体"/>
          <w:szCs w:val="21"/>
        </w:rPr>
      </w:pPr>
      <w:r>
        <w:rPr>
          <w:rFonts w:hint="eastAsia" w:ascii="宋体" w:hAnsi="宋体" w:eastAsia="宋体" w:cs="宋体"/>
          <w:szCs w:val="21"/>
        </w:rPr>
        <w:t>3.7 纯化工艺组成</w:t>
      </w:r>
    </w:p>
    <w:p>
      <w:pPr>
        <w:spacing w:line="360" w:lineRule="auto"/>
        <w:ind w:firstLine="442" w:firstLineChars="200"/>
        <w:rPr>
          <w:rFonts w:ascii="宋体" w:hAnsi="宋体" w:eastAsia="宋体" w:cs="宋体"/>
          <w:szCs w:val="21"/>
        </w:rPr>
      </w:pPr>
      <w:r>
        <w:rPr>
          <w:rFonts w:hint="eastAsia" w:ascii="宋体" w:hAnsi="宋体" w:eastAsia="宋体" w:cs="宋体"/>
          <w:szCs w:val="21"/>
        </w:rPr>
        <w:t>中央纯水制造主机：原水箱——源水增压泵——全自动石英砂-活性炭过滤器——全自动软水器——精密过滤器——一级RO增压泵——一级RO(反渗透膜) ——中间RO水箱——二级RO增压泵——二级RO(反渗透膜)——EDI增压泵——EDI(连续电流去离子)膜堆——EDI储水箱-离子交换-纯水输送泵</w:t>
      </w:r>
    </w:p>
    <w:p>
      <w:pPr>
        <w:pStyle w:val="5"/>
        <w:ind w:firstLine="444"/>
      </w:pPr>
      <w:bookmarkStart w:id="173" w:name="_Toc24357"/>
      <w:r>
        <w:rPr>
          <w:rFonts w:hint="eastAsia"/>
        </w:rPr>
        <w:t>（五）实验室环境设施的自动控制</w:t>
      </w:r>
      <w:bookmarkEnd w:id="128"/>
      <w:bookmarkEnd w:id="129"/>
      <w:bookmarkEnd w:id="130"/>
      <w:bookmarkEnd w:id="173"/>
    </w:p>
    <w:bookmarkEnd w:id="118"/>
    <w:bookmarkEnd w:id="119"/>
    <w:bookmarkEnd w:id="120"/>
    <w:p>
      <w:pPr>
        <w:spacing w:line="360" w:lineRule="auto"/>
        <w:ind w:firstLine="442" w:firstLineChars="200"/>
        <w:rPr>
          <w:rFonts w:ascii="宋体" w:hAnsi="宋体" w:eastAsia="宋体" w:cs="宋体"/>
          <w:szCs w:val="21"/>
        </w:rPr>
      </w:pPr>
      <w:bookmarkStart w:id="174" w:name="_Toc31960"/>
      <w:bookmarkStart w:id="175" w:name="_Toc454062977"/>
      <w:bookmarkStart w:id="176" w:name="_Toc454321802"/>
      <w:bookmarkStart w:id="177" w:name="_Toc17738"/>
      <w:bookmarkStart w:id="178" w:name="_Toc9172"/>
      <w:r>
        <w:rPr>
          <w:rFonts w:hint="eastAsia" w:ascii="宋体" w:hAnsi="宋体" w:eastAsia="宋体" w:cs="宋体"/>
          <w:szCs w:val="21"/>
        </w:rPr>
        <w:t>1、系统描述、系统描述：</w:t>
      </w:r>
      <w:bookmarkEnd w:id="174"/>
    </w:p>
    <w:p>
      <w:pPr>
        <w:spacing w:line="360" w:lineRule="auto"/>
        <w:ind w:firstLine="442" w:firstLineChars="200"/>
        <w:rPr>
          <w:rFonts w:ascii="宋体" w:hAnsi="宋体" w:eastAsia="宋体" w:cs="宋体"/>
          <w:szCs w:val="21"/>
        </w:rPr>
      </w:pPr>
      <w:r>
        <w:rPr>
          <w:rFonts w:hint="eastAsia" w:ascii="宋体" w:hAnsi="宋体" w:eastAsia="宋体" w:cs="宋体"/>
          <w:szCs w:val="21"/>
        </w:rPr>
        <w:t>1.1本项目自控系统设置2套PLC控制系统。自控系统范围包含万级净化区、千级净化区、百级黄光区</w:t>
      </w:r>
    </w:p>
    <w:p>
      <w:pPr>
        <w:spacing w:line="360" w:lineRule="auto"/>
        <w:ind w:firstLine="442" w:firstLineChars="200"/>
        <w:rPr>
          <w:rFonts w:ascii="宋体" w:hAnsi="宋体" w:eastAsia="宋体" w:cs="宋体"/>
          <w:szCs w:val="21"/>
        </w:rPr>
      </w:pPr>
      <w:r>
        <w:rPr>
          <w:rFonts w:hint="eastAsia" w:ascii="宋体" w:hAnsi="宋体" w:eastAsia="宋体" w:cs="宋体"/>
          <w:szCs w:val="21"/>
        </w:rPr>
        <w:t>1.2实验室空调、排风系统以及空调冷热源系统。自控系统的架构采用PLC控制盘+触摸屏+自控仪表的控制方式。</w:t>
      </w:r>
    </w:p>
    <w:p>
      <w:pPr>
        <w:spacing w:line="360" w:lineRule="auto"/>
        <w:ind w:firstLine="442" w:firstLineChars="200"/>
        <w:rPr>
          <w:rFonts w:ascii="宋体" w:hAnsi="宋体" w:eastAsia="宋体" w:cs="宋体"/>
          <w:szCs w:val="21"/>
        </w:rPr>
      </w:pPr>
      <w:r>
        <w:rPr>
          <w:rFonts w:hint="eastAsia" w:ascii="宋体" w:hAnsi="宋体" w:eastAsia="宋体" w:cs="宋体"/>
          <w:szCs w:val="21"/>
        </w:rPr>
        <w:t>1.3保证自控系统控制回路电气线路的安全性，控制器传感器电气元器件等产品的安全稳定性，以及操作屏、现场控制切换按钮的静电安全性，保证系统操作人员的安全。</w:t>
      </w:r>
    </w:p>
    <w:p>
      <w:pPr>
        <w:spacing w:line="360" w:lineRule="auto"/>
        <w:ind w:firstLine="442" w:firstLineChars="200"/>
        <w:rPr>
          <w:rFonts w:ascii="宋体" w:hAnsi="宋体" w:eastAsia="宋体" w:cs="宋体"/>
          <w:szCs w:val="21"/>
        </w:rPr>
      </w:pPr>
      <w:r>
        <w:rPr>
          <w:rFonts w:hint="eastAsia" w:ascii="宋体" w:hAnsi="宋体" w:eastAsia="宋体" w:cs="宋体"/>
          <w:szCs w:val="21"/>
        </w:rPr>
        <w:t>1.4控制器的数据采集的准确性、控制仪表精度的准确性，执行机构行程的准确性。保证温湿度、房间压力、管道静压控制的准确性。</w:t>
      </w:r>
    </w:p>
    <w:p>
      <w:pPr>
        <w:spacing w:line="360" w:lineRule="auto"/>
        <w:ind w:firstLine="442" w:firstLineChars="200"/>
        <w:rPr>
          <w:rFonts w:ascii="宋体" w:hAnsi="宋体" w:eastAsia="宋体" w:cs="宋体"/>
          <w:szCs w:val="21"/>
        </w:rPr>
      </w:pPr>
      <w:r>
        <w:rPr>
          <w:rFonts w:hint="eastAsia" w:ascii="宋体" w:hAnsi="宋体" w:eastAsia="宋体" w:cs="宋体"/>
          <w:szCs w:val="21"/>
        </w:rPr>
        <w:t>1.5恒温净化实验室需要保证一个高精密的温度和洁净环境，实验室通过空调自控系统，自动调节实验室的温湿度及环境的洁净度。</w:t>
      </w:r>
    </w:p>
    <w:p>
      <w:pPr>
        <w:spacing w:line="360" w:lineRule="auto"/>
        <w:ind w:firstLine="442" w:firstLineChars="200"/>
        <w:rPr>
          <w:rFonts w:ascii="宋体" w:hAnsi="宋体" w:eastAsia="宋体" w:cs="宋体"/>
          <w:szCs w:val="21"/>
        </w:rPr>
      </w:pPr>
      <w:r>
        <w:rPr>
          <w:rFonts w:hint="eastAsia" w:ascii="宋体" w:hAnsi="宋体" w:eastAsia="宋体" w:cs="宋体"/>
          <w:szCs w:val="21"/>
        </w:rPr>
        <w:t>1.6空调自控系统应具有以下功能：</w:t>
      </w:r>
    </w:p>
    <w:p>
      <w:pPr>
        <w:spacing w:line="360" w:lineRule="auto"/>
        <w:ind w:firstLine="442" w:firstLineChars="200"/>
        <w:rPr>
          <w:rFonts w:ascii="宋体" w:hAnsi="宋体" w:eastAsia="宋体" w:cs="宋体"/>
          <w:szCs w:val="21"/>
        </w:rPr>
      </w:pPr>
      <w:r>
        <w:rPr>
          <w:rFonts w:hint="eastAsia" w:ascii="宋体" w:hAnsi="宋体" w:eastAsia="宋体" w:cs="宋体"/>
          <w:szCs w:val="21"/>
        </w:rPr>
        <w:t>（1）空调自控系统应采用一键式启停整套空调系统。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（2）系统启动后，系统能根据总送、排风管道静压，自动调节风机变频器频率，确保总送、排风管道压力恒定。</w:t>
      </w:r>
    </w:p>
    <w:p>
      <w:pPr>
        <w:spacing w:line="360" w:lineRule="auto"/>
        <w:ind w:firstLine="442" w:firstLineChars="200"/>
        <w:rPr>
          <w:rFonts w:ascii="宋体" w:hAnsi="宋体" w:eastAsia="宋体" w:cs="宋体"/>
          <w:szCs w:val="21"/>
        </w:rPr>
      </w:pPr>
      <w:r>
        <w:rPr>
          <w:rFonts w:hint="eastAsia" w:ascii="宋体" w:hAnsi="宋体" w:eastAsia="宋体" w:cs="宋体"/>
          <w:szCs w:val="21"/>
        </w:rPr>
        <w:t>★（3）控制系统的温度控制波动度达到或优于±0.03℃。需提供省级或以上的法定计量检定机构针对控制系统的校准证书复印件加盖章。</w:t>
      </w:r>
    </w:p>
    <w:p>
      <w:pPr>
        <w:spacing w:line="360" w:lineRule="auto"/>
        <w:ind w:firstLine="442" w:firstLineChars="200"/>
        <w:rPr>
          <w:rFonts w:ascii="宋体" w:hAnsi="宋体" w:eastAsia="宋体" w:cs="宋体"/>
          <w:szCs w:val="21"/>
        </w:rPr>
      </w:pPr>
      <w:r>
        <w:rPr>
          <w:rFonts w:hint="eastAsia" w:ascii="宋体" w:hAnsi="宋体" w:eastAsia="宋体" w:cs="宋体"/>
          <w:szCs w:val="21"/>
        </w:rPr>
        <w:t>★（4）控制系统的高精度温度传感器精度要求不低于±0.05℃（应校准不少于3个温度点），需提供省级或以上的法定计量检定机构针对控制系统的校准证书复印件加盖章。</w:t>
      </w:r>
    </w:p>
    <w:p>
      <w:pPr>
        <w:spacing w:line="360" w:lineRule="auto"/>
        <w:ind w:firstLine="442" w:firstLineChars="200"/>
        <w:rPr>
          <w:rFonts w:ascii="宋体" w:hAnsi="宋体" w:eastAsia="宋体" w:cs="宋体"/>
          <w:szCs w:val="21"/>
        </w:rPr>
      </w:pPr>
      <w:r>
        <w:rPr>
          <w:rFonts w:hint="eastAsia" w:ascii="宋体" w:hAnsi="宋体" w:eastAsia="宋体" w:cs="宋体"/>
          <w:szCs w:val="21"/>
        </w:rPr>
        <w:t>★（5）PLC控制系统含高低压电气件、PLC 控制器及 IO 模块，具备风机一键启停、故障处理、自动压差控制（净化实验室）、过滤器寿命监测（净化实验室）、实验室状态显示、温湿度控制、温湿度监测（净化实验室）、紧急状态急停及应急处理、远程登录运维控制系统等功能。</w:t>
      </w:r>
      <w:r>
        <w:rPr>
          <w:rFonts w:hint="eastAsia" w:ascii="宋体" w:hAnsi="宋体" w:eastAsia="宋体" w:cs="宋体"/>
          <w:b/>
          <w:bCs/>
          <w:szCs w:val="21"/>
        </w:rPr>
        <w:t>（提供软件界面截图）</w:t>
      </w:r>
    </w:p>
    <w:p>
      <w:pPr>
        <w:spacing w:line="360" w:lineRule="auto"/>
        <w:ind w:firstLine="442" w:firstLineChars="200"/>
        <w:rPr>
          <w:rFonts w:ascii="宋体" w:hAnsi="宋体" w:eastAsia="宋体" w:cs="宋体"/>
          <w:szCs w:val="21"/>
        </w:rPr>
      </w:pPr>
      <w:r>
        <w:rPr>
          <w:rFonts w:hint="eastAsia" w:ascii="宋体" w:hAnsi="宋体" w:eastAsia="宋体" w:cs="宋体"/>
          <w:szCs w:val="21"/>
        </w:rPr>
        <w:t>★（6）控制系统应具备手机APP远程登录运维控制系统等功能。</w:t>
      </w:r>
      <w:r>
        <w:rPr>
          <w:rFonts w:hint="eastAsia" w:ascii="宋体" w:hAnsi="宋体" w:eastAsia="宋体" w:cs="宋体"/>
          <w:b/>
          <w:bCs/>
          <w:szCs w:val="21"/>
        </w:rPr>
        <w:t>（提供软件界面截图）</w:t>
      </w:r>
    </w:p>
    <w:p>
      <w:pPr>
        <w:spacing w:line="360" w:lineRule="auto"/>
        <w:ind w:firstLine="442" w:firstLineChars="200"/>
        <w:rPr>
          <w:rFonts w:ascii="宋体" w:hAnsi="宋体" w:eastAsia="宋体" w:cs="宋体"/>
          <w:szCs w:val="21"/>
        </w:rPr>
      </w:pPr>
      <w:bookmarkStart w:id="179" w:name="_Toc31706"/>
      <w:r>
        <w:rPr>
          <w:rFonts w:hint="eastAsia" w:ascii="宋体" w:hAnsi="宋体" w:eastAsia="宋体" w:cs="宋体"/>
          <w:szCs w:val="21"/>
        </w:rPr>
        <w:t>2、PLC控制盘、PLC控制盘：</w:t>
      </w:r>
      <w:bookmarkEnd w:id="179"/>
    </w:p>
    <w:p>
      <w:pPr>
        <w:spacing w:line="360" w:lineRule="auto"/>
        <w:ind w:firstLine="442" w:firstLineChars="200"/>
        <w:rPr>
          <w:rFonts w:ascii="宋体" w:hAnsi="宋体" w:eastAsia="宋体" w:cs="宋体"/>
          <w:szCs w:val="21"/>
        </w:rPr>
      </w:pPr>
      <w:r>
        <w:rPr>
          <w:rFonts w:hint="eastAsia" w:ascii="宋体" w:hAnsi="宋体" w:eastAsia="宋体" w:cs="宋体"/>
          <w:szCs w:val="21"/>
        </w:rPr>
        <w:t>2.1控制器选用PLC，本次投标不接受DDC控制器投标。控制系统具备可扩展性，IO模块需预留20、30%的点位余量。</w:t>
      </w:r>
    </w:p>
    <w:p>
      <w:pPr>
        <w:spacing w:line="360" w:lineRule="auto"/>
        <w:ind w:firstLine="442" w:firstLineChars="200"/>
        <w:rPr>
          <w:rFonts w:ascii="宋体" w:hAnsi="宋体" w:eastAsia="宋体" w:cs="宋体"/>
          <w:szCs w:val="21"/>
        </w:rPr>
      </w:pPr>
      <w:r>
        <w:rPr>
          <w:rFonts w:hint="eastAsia" w:ascii="宋体" w:hAnsi="宋体" w:eastAsia="宋体" w:cs="宋体"/>
          <w:szCs w:val="21"/>
        </w:rPr>
        <w:t>2.2控制器控制器能在高噪声，电磁干扰和振动环境下连续运行。具备远程下载与上载的功能，可实时远程维护控制程序。控制器电源：要求严格核算各模块消耗电流，配置有足够输出电流余量的高可靠电源。电磁兼容性符合EMC规程的要求，应满足IEC 61000、6、2，IEC 61000、4、2，IEC 61000、4、3，IEC 61000、4、4，IEC 61000、4、5，IEC 61000、4、6，EN50081、2规定的要求。数字量、模拟量输入输出信号要求采用信号隔离器等隔离原件。 数字输入模块：24VDC直流输入，光电隔离型。数字输出模块：24VDC，0.5A，继电器输出，光电隔离型。模拟量输入模块：具备诊断功能。在整个温度范围内运行极限的误差/精度为±0.1%，基本误差极限不高于0.05%。模拟量输出模块：具备诊断功能。在整个温度范围内运行极限的误差/精度为±0.12%，基本误差极限不高于0.02%。</w:t>
      </w:r>
    </w:p>
    <w:p>
      <w:pPr>
        <w:spacing w:line="360" w:lineRule="auto"/>
        <w:ind w:firstLine="442" w:firstLineChars="200"/>
        <w:rPr>
          <w:rFonts w:ascii="宋体" w:hAnsi="宋体" w:eastAsia="宋体" w:cs="宋体"/>
          <w:szCs w:val="21"/>
        </w:rPr>
      </w:pPr>
      <w:bookmarkStart w:id="180" w:name="_Toc6136"/>
      <w:r>
        <w:rPr>
          <w:rFonts w:hint="eastAsia" w:ascii="宋体" w:hAnsi="宋体" w:eastAsia="宋体" w:cs="宋体"/>
          <w:szCs w:val="21"/>
        </w:rPr>
        <w:t>3、控制机柜</w:t>
      </w:r>
      <w:bookmarkEnd w:id="180"/>
    </w:p>
    <w:p>
      <w:pPr>
        <w:spacing w:line="360" w:lineRule="auto"/>
        <w:ind w:firstLine="442" w:firstLineChars="200"/>
        <w:rPr>
          <w:rFonts w:ascii="宋体" w:hAnsi="宋体" w:eastAsia="宋体" w:cs="宋体"/>
          <w:szCs w:val="21"/>
        </w:rPr>
      </w:pPr>
      <w:r>
        <w:rPr>
          <w:rFonts w:hint="eastAsia" w:ascii="宋体" w:hAnsi="宋体" w:eastAsia="宋体" w:cs="宋体"/>
          <w:szCs w:val="21"/>
        </w:rPr>
        <w:t>采用不低于1mm厚优质冷轧钢板折弯而成柜体（安装底板1.5mm厚），外经环氧树脂静电防腐喷涂处理，为确保防护等级为IP54，要求门框与门边所有接合处均采用聚氨酯发泡密封条进行密封，内设专用走线槽，设有各种信号端子、多路强弱电开关。柜体全框架结构，侧板、顶板、底板均可取下，以方便安装检修。具备防静电功能，具有快速拆装各种器件等功能。控制箱内配散热风扇及进气过滤网，保证柜内通风。散热风扇采用精度、长寿命双滚珠轴承，铝合金压铸防腐结构。</w:t>
      </w:r>
    </w:p>
    <w:p>
      <w:pPr>
        <w:spacing w:line="360" w:lineRule="auto"/>
        <w:ind w:firstLine="442" w:firstLineChars="200"/>
        <w:rPr>
          <w:rFonts w:ascii="宋体" w:hAnsi="宋体" w:eastAsia="宋体" w:cs="宋体"/>
          <w:szCs w:val="21"/>
        </w:rPr>
      </w:pPr>
      <w:bookmarkStart w:id="181" w:name="_Toc21476"/>
      <w:r>
        <w:rPr>
          <w:rFonts w:hint="eastAsia" w:ascii="宋体" w:hAnsi="宋体" w:eastAsia="宋体" w:cs="宋体"/>
          <w:szCs w:val="21"/>
        </w:rPr>
        <w:t>4、触摸屏</w:t>
      </w:r>
      <w:bookmarkEnd w:id="181"/>
    </w:p>
    <w:p>
      <w:pPr>
        <w:spacing w:line="360" w:lineRule="auto"/>
        <w:ind w:firstLine="442" w:firstLineChars="200"/>
        <w:rPr>
          <w:rFonts w:ascii="宋体" w:hAnsi="宋体" w:eastAsia="宋体" w:cs="宋体"/>
          <w:szCs w:val="21"/>
        </w:rPr>
      </w:pPr>
      <w:r>
        <w:rPr>
          <w:rFonts w:hint="eastAsia" w:ascii="宋体" w:hAnsi="宋体" w:eastAsia="宋体" w:cs="宋体"/>
          <w:szCs w:val="21"/>
        </w:rPr>
        <w:t>4.1控制系统应采用不小于10寸的液晶触摸屏，作为自控柜体的就地操作显示人机界面。所有需要检测和控制的点位都可以以文字或者图形的形式显示在触摸屏上，简单易操作。</w:t>
      </w:r>
    </w:p>
    <w:p>
      <w:pPr>
        <w:spacing w:line="360" w:lineRule="auto"/>
        <w:ind w:firstLine="442" w:firstLineChars="200"/>
        <w:rPr>
          <w:rFonts w:ascii="宋体" w:hAnsi="宋体" w:eastAsia="宋体" w:cs="宋体"/>
          <w:szCs w:val="21"/>
        </w:rPr>
      </w:pPr>
      <w:r>
        <w:rPr>
          <w:rFonts w:hint="eastAsia" w:ascii="宋体" w:hAnsi="宋体" w:eastAsia="宋体" w:cs="宋体"/>
          <w:szCs w:val="21"/>
        </w:rPr>
        <w:t>4.1可以根据要求设定操作权限，更加智能化，人性化，便于管理。</w:t>
      </w:r>
    </w:p>
    <w:p>
      <w:pPr>
        <w:spacing w:line="360" w:lineRule="auto"/>
        <w:ind w:firstLine="442" w:firstLineChars="200"/>
        <w:rPr>
          <w:rFonts w:ascii="宋体" w:hAnsi="宋体" w:eastAsia="宋体" w:cs="宋体"/>
          <w:szCs w:val="21"/>
        </w:rPr>
      </w:pPr>
      <w:r>
        <w:rPr>
          <w:rFonts w:hint="eastAsia" w:ascii="宋体" w:hAnsi="宋体" w:eastAsia="宋体" w:cs="宋体"/>
          <w:szCs w:val="21"/>
        </w:rPr>
        <w:t>★4.2可以远程监控，管理操作系统等功能。</w:t>
      </w:r>
      <w:r>
        <w:rPr>
          <w:rFonts w:hint="eastAsia" w:ascii="宋体" w:hAnsi="宋体" w:eastAsia="宋体" w:cs="宋体"/>
          <w:b/>
          <w:bCs/>
          <w:szCs w:val="21"/>
        </w:rPr>
        <w:t>（提供软件界面截图）</w:t>
      </w:r>
    </w:p>
    <w:p>
      <w:pPr>
        <w:spacing w:line="360" w:lineRule="auto"/>
        <w:ind w:firstLine="442" w:firstLineChars="200"/>
        <w:rPr>
          <w:rFonts w:ascii="宋体" w:hAnsi="宋体" w:eastAsia="宋体" w:cs="宋体"/>
          <w:szCs w:val="21"/>
        </w:rPr>
      </w:pPr>
      <w:bookmarkStart w:id="182" w:name="_Toc7227"/>
      <w:r>
        <w:rPr>
          <w:rFonts w:hint="eastAsia" w:ascii="宋体" w:hAnsi="宋体" w:eastAsia="宋体" w:cs="宋体"/>
          <w:szCs w:val="21"/>
        </w:rPr>
        <w:t>5、温湿度传感器</w:t>
      </w:r>
      <w:bookmarkEnd w:id="182"/>
    </w:p>
    <w:p>
      <w:pPr>
        <w:spacing w:line="360" w:lineRule="auto"/>
        <w:ind w:firstLine="442" w:firstLineChars="200"/>
        <w:rPr>
          <w:rFonts w:ascii="宋体" w:hAnsi="宋体" w:eastAsia="宋体" w:cs="宋体"/>
          <w:szCs w:val="21"/>
        </w:rPr>
      </w:pPr>
      <w:r>
        <w:rPr>
          <w:rFonts w:hint="eastAsia" w:ascii="宋体" w:hAnsi="宋体" w:eastAsia="宋体" w:cs="宋体"/>
          <w:szCs w:val="21"/>
        </w:rPr>
        <w:t>温度测量精度不低于±0.3℃（全测量范围内），风管温度测量范围应涵盖、40℃～60℃，相对湿度测量精度不低于±2.5%RH（全测量范围内），相对湿度测量范围应涵盖0～100%RH。采用0、10VDC的信号输出或RS485通讯。</w:t>
      </w:r>
    </w:p>
    <w:p>
      <w:pPr>
        <w:spacing w:line="360" w:lineRule="auto"/>
        <w:ind w:firstLine="442" w:firstLineChars="200"/>
        <w:rPr>
          <w:rFonts w:ascii="宋体" w:hAnsi="宋体" w:eastAsia="宋体" w:cs="宋体"/>
          <w:szCs w:val="21"/>
        </w:rPr>
      </w:pPr>
      <w:bookmarkStart w:id="183" w:name="_Toc2064"/>
      <w:r>
        <w:rPr>
          <w:rFonts w:hint="eastAsia" w:ascii="宋体" w:hAnsi="宋体" w:eastAsia="宋体" w:cs="宋体"/>
          <w:szCs w:val="21"/>
        </w:rPr>
        <w:t>6、压差变送器、压差变送器</w:t>
      </w:r>
      <w:bookmarkEnd w:id="183"/>
    </w:p>
    <w:p>
      <w:pPr>
        <w:spacing w:line="360" w:lineRule="auto"/>
        <w:ind w:firstLine="442" w:firstLineChars="200"/>
        <w:rPr>
          <w:rFonts w:ascii="宋体" w:hAnsi="宋体" w:eastAsia="宋体" w:cs="宋体"/>
          <w:szCs w:val="21"/>
        </w:rPr>
      </w:pPr>
      <w:r>
        <w:rPr>
          <w:rFonts w:hint="eastAsia" w:ascii="宋体" w:hAnsi="宋体" w:eastAsia="宋体" w:cs="宋体"/>
          <w:szCs w:val="21"/>
        </w:rPr>
        <w:t>工作环境温度应涵盖、18℃～65℃，工作电压为12~30VDC，测量压差范围应为0~1000Pa，输出信号为1、10Vdc。</w:t>
      </w:r>
    </w:p>
    <w:p>
      <w:pPr>
        <w:spacing w:line="360" w:lineRule="auto"/>
        <w:ind w:firstLine="442" w:firstLineChars="200"/>
        <w:rPr>
          <w:rFonts w:ascii="宋体" w:hAnsi="宋体" w:eastAsia="宋体" w:cs="宋体"/>
          <w:szCs w:val="21"/>
        </w:rPr>
      </w:pPr>
      <w:bookmarkStart w:id="184" w:name="_Toc2676"/>
      <w:r>
        <w:rPr>
          <w:rFonts w:hint="eastAsia" w:ascii="宋体" w:hAnsi="宋体" w:eastAsia="宋体" w:cs="宋体"/>
          <w:szCs w:val="21"/>
        </w:rPr>
        <w:t>7、风阀执行器</w:t>
      </w:r>
      <w:bookmarkEnd w:id="184"/>
    </w:p>
    <w:p>
      <w:pPr>
        <w:spacing w:line="360" w:lineRule="auto"/>
        <w:ind w:firstLine="442" w:firstLineChars="200"/>
        <w:rPr>
          <w:rFonts w:ascii="宋体" w:hAnsi="宋体" w:eastAsia="宋体" w:cs="宋体"/>
          <w:szCs w:val="21"/>
        </w:rPr>
      </w:pPr>
      <w:r>
        <w:rPr>
          <w:rFonts w:hint="eastAsia" w:ascii="宋体" w:hAnsi="宋体" w:eastAsia="宋体" w:cs="宋体"/>
          <w:szCs w:val="21"/>
        </w:rPr>
        <w:t>扭矩均不小于5NM，比例调节型风阀执行器可接收DC4～20mA或DC0～10V的控制信号，并带阀位开度反馈信号0、10V信号；开关型执行器带阀位开和关状态反馈信号，工作电压DC/AC24V。</w:t>
      </w:r>
    </w:p>
    <w:p>
      <w:pPr>
        <w:spacing w:line="360" w:lineRule="auto"/>
        <w:ind w:firstLine="442" w:firstLineChars="200"/>
        <w:rPr>
          <w:rFonts w:ascii="宋体" w:hAnsi="宋体" w:eastAsia="宋体" w:cs="宋体"/>
          <w:szCs w:val="21"/>
        </w:rPr>
      </w:pPr>
      <w:bookmarkStart w:id="185" w:name="_Toc13397"/>
      <w:r>
        <w:rPr>
          <w:rFonts w:hint="eastAsia" w:ascii="宋体" w:hAnsi="宋体" w:eastAsia="宋体" w:cs="宋体"/>
          <w:szCs w:val="21"/>
        </w:rPr>
        <w:t>8、水阀执行器、应采用液压型电动执行器</w:t>
      </w:r>
      <w:bookmarkEnd w:id="185"/>
    </w:p>
    <w:p>
      <w:pPr>
        <w:spacing w:line="360" w:lineRule="auto"/>
        <w:ind w:firstLine="442" w:firstLineChars="200"/>
        <w:rPr>
          <w:rFonts w:ascii="宋体" w:hAnsi="宋体" w:eastAsia="宋体" w:cs="宋体"/>
          <w:szCs w:val="21"/>
        </w:rPr>
      </w:pPr>
      <w:r>
        <w:rPr>
          <w:rFonts w:hint="eastAsia" w:ascii="宋体" w:hAnsi="宋体" w:eastAsia="宋体" w:cs="宋体"/>
          <w:szCs w:val="21"/>
        </w:rPr>
        <w:t>可接收DC4～20mA或DC0～10V的控制信号，并带阀位开度反馈信号0、10V信号，工作电压DC/AC24V。</w:t>
      </w:r>
    </w:p>
    <w:p>
      <w:pPr>
        <w:spacing w:line="360" w:lineRule="auto"/>
        <w:ind w:firstLine="442" w:firstLineChars="200"/>
        <w:rPr>
          <w:rFonts w:ascii="宋体" w:hAnsi="宋体" w:eastAsia="宋体" w:cs="宋体"/>
          <w:szCs w:val="21"/>
        </w:rPr>
      </w:pPr>
      <w:bookmarkStart w:id="186" w:name="_Toc23418"/>
      <w:r>
        <w:rPr>
          <w:rFonts w:hint="eastAsia" w:ascii="宋体" w:hAnsi="宋体" w:eastAsia="宋体" w:cs="宋体"/>
          <w:szCs w:val="21"/>
        </w:rPr>
        <w:t>9、变频器</w:t>
      </w:r>
      <w:bookmarkEnd w:id="186"/>
    </w:p>
    <w:p>
      <w:pPr>
        <w:spacing w:line="360" w:lineRule="auto"/>
        <w:ind w:firstLine="442" w:firstLineChars="200"/>
        <w:rPr>
          <w:rFonts w:ascii="宋体" w:hAnsi="宋体" w:eastAsia="宋体" w:cs="宋体"/>
          <w:szCs w:val="21"/>
        </w:rPr>
      </w:pPr>
      <w:r>
        <w:rPr>
          <w:rFonts w:hint="eastAsia" w:ascii="宋体" w:hAnsi="宋体" w:eastAsia="宋体" w:cs="宋体"/>
          <w:szCs w:val="21"/>
        </w:rPr>
        <w:t>采用风机水泵型专用变频器，配有液晶显示操作面板，安装于控制柜门板/变频器表面，便于操作。</w:t>
      </w:r>
      <w:bookmarkStart w:id="187" w:name="_Toc4066"/>
    </w:p>
    <w:p>
      <w:pPr>
        <w:pStyle w:val="5"/>
        <w:ind w:firstLine="444"/>
      </w:pPr>
      <w:r>
        <w:rPr>
          <w:rFonts w:hint="eastAsia"/>
        </w:rPr>
        <w:t>（六）特气工程</w:t>
      </w:r>
      <w:bookmarkEnd w:id="187"/>
    </w:p>
    <w:p>
      <w:pPr>
        <w:spacing w:line="360" w:lineRule="auto"/>
        <w:ind w:firstLine="442" w:firstLineChars="200"/>
        <w:rPr>
          <w:rFonts w:ascii="宋体" w:hAnsi="宋体" w:eastAsia="宋体" w:cs="宋体"/>
          <w:szCs w:val="21"/>
        </w:rPr>
      </w:pPr>
      <w:r>
        <w:rPr>
          <w:rFonts w:hint="eastAsia" w:ascii="宋体" w:hAnsi="宋体" w:eastAsia="宋体" w:cs="宋体"/>
          <w:szCs w:val="21"/>
        </w:rPr>
        <w:t>1、材料、设备基本要求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本项目主要设备、材料品牌要求详见</w:t>
      </w:r>
      <w:r>
        <w:rPr>
          <w:rFonts w:hint="eastAsia"/>
        </w:rPr>
        <w:t>十四、主要材料设备推荐品牌表</w:t>
      </w:r>
      <w:r>
        <w:rPr>
          <w:rFonts w:hint="eastAsia" w:ascii="宋体" w:hAnsi="宋体" w:eastAsia="宋体" w:cs="宋体"/>
          <w:szCs w:val="21"/>
        </w:rPr>
        <w:t>。所有材料品牌按照招标文件所列的气体材料及设备品牌表中的所列的行业知名品牌中进行选择，并按照所列品牌报价。所选用产品及部件（元器件）的性能、功用、技术参数不得低于设计要求（详见设计图纸、技术规格书），说明未尽之处详见施工图和相关标准、规范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2、气体供应系统工作范围</w:t>
      </w:r>
    </w:p>
    <w:p>
      <w:pPr>
        <w:spacing w:line="360" w:lineRule="auto"/>
        <w:ind w:firstLine="442" w:firstLineChars="200"/>
        <w:rPr>
          <w:rFonts w:ascii="宋体" w:hAnsi="宋体" w:eastAsia="宋体" w:cs="宋体"/>
          <w:szCs w:val="21"/>
        </w:rPr>
      </w:pPr>
      <w:r>
        <w:rPr>
          <w:rFonts w:hint="eastAsia" w:ascii="宋体" w:hAnsi="宋体" w:eastAsia="宋体" w:cs="宋体"/>
          <w:szCs w:val="21"/>
        </w:rPr>
        <w:t>海宁校区特气系统工程，投标人需要按规划要求和工艺设备对气体系统需求。承包单位负责承担此工程的设计、施工、材料与设备采购、供应、安装调试、测试、调试送气、保固期维护及其他相关服务等。</w:t>
      </w:r>
    </w:p>
    <w:p>
      <w:pPr>
        <w:spacing w:line="360" w:lineRule="auto"/>
        <w:ind w:firstLine="442" w:firstLineChars="200"/>
        <w:rPr>
          <w:rFonts w:ascii="宋体" w:hAnsi="宋体" w:eastAsia="宋体" w:cs="宋体"/>
          <w:szCs w:val="21"/>
        </w:rPr>
      </w:pPr>
      <w:r>
        <w:rPr>
          <w:rFonts w:hint="eastAsia" w:ascii="宋体" w:hAnsi="宋体" w:eastAsia="宋体" w:cs="宋体"/>
          <w:szCs w:val="21"/>
        </w:rPr>
        <w:t xml:space="preserve">具体内容如下： </w:t>
      </w:r>
    </w:p>
    <w:p>
      <w:pPr>
        <w:spacing w:line="360" w:lineRule="auto"/>
        <w:ind w:firstLine="442" w:firstLineChars="200"/>
        <w:rPr>
          <w:rFonts w:ascii="宋体" w:hAnsi="宋体" w:eastAsia="宋体" w:cs="宋体"/>
          <w:szCs w:val="21"/>
        </w:rPr>
      </w:pPr>
      <w:r>
        <w:rPr>
          <w:rFonts w:hint="eastAsia" w:ascii="宋体" w:hAnsi="宋体" w:eastAsia="宋体" w:cs="宋体"/>
          <w:szCs w:val="21"/>
        </w:rPr>
        <w:t>2.1投标者提供特气系统设计图纸：包括特气输送系统设计、气体侦测系统设计。</w:t>
      </w:r>
    </w:p>
    <w:p>
      <w:pPr>
        <w:spacing w:line="360" w:lineRule="auto"/>
        <w:ind w:firstLine="442" w:firstLineChars="200"/>
        <w:rPr>
          <w:rFonts w:ascii="宋体" w:hAnsi="宋体" w:eastAsia="宋体" w:cs="宋体"/>
          <w:szCs w:val="21"/>
        </w:rPr>
      </w:pPr>
      <w:r>
        <w:rPr>
          <w:rFonts w:hint="eastAsia" w:ascii="宋体" w:hAnsi="宋体" w:eastAsia="宋体" w:cs="宋体"/>
          <w:szCs w:val="21"/>
        </w:rPr>
        <w:t>2.2大宗气和特种气体供气主系统设计、气柜、供气面板、燃烧桶采购、安装及气体输送管道系统供应、施工、测试、验收、调试送气。</w:t>
      </w:r>
    </w:p>
    <w:p>
      <w:pPr>
        <w:spacing w:line="360" w:lineRule="auto"/>
        <w:ind w:firstLine="442" w:firstLineChars="200"/>
        <w:rPr>
          <w:rFonts w:ascii="宋体" w:hAnsi="宋体" w:eastAsia="宋体" w:cs="宋体"/>
          <w:szCs w:val="21"/>
        </w:rPr>
      </w:pPr>
      <w:r>
        <w:rPr>
          <w:rFonts w:hint="eastAsia" w:ascii="宋体" w:hAnsi="宋体" w:eastAsia="宋体" w:cs="宋体"/>
          <w:szCs w:val="21"/>
        </w:rPr>
        <w:t>2.3气体侦测与监控报警系统设计、设备采购及系统安装供应及现场安装调试</w:t>
      </w:r>
    </w:p>
    <w:p>
      <w:pPr>
        <w:spacing w:line="360" w:lineRule="auto"/>
        <w:ind w:firstLine="442" w:firstLineChars="200"/>
        <w:rPr>
          <w:rFonts w:ascii="宋体" w:hAnsi="宋体" w:eastAsia="宋体" w:cs="宋体"/>
          <w:szCs w:val="21"/>
        </w:rPr>
      </w:pPr>
      <w:r>
        <w:rPr>
          <w:rFonts w:hint="eastAsia" w:ascii="宋体" w:hAnsi="宋体" w:eastAsia="宋体" w:cs="宋体"/>
          <w:szCs w:val="21"/>
        </w:rPr>
        <w:t>2.4气体设备配套辅助系统（GN2/Vent/PN2/Pneumatic等）。</w:t>
      </w:r>
    </w:p>
    <w:p>
      <w:pPr>
        <w:spacing w:line="360" w:lineRule="auto"/>
        <w:ind w:firstLine="442" w:firstLineChars="200"/>
        <w:rPr>
          <w:rFonts w:ascii="宋体" w:hAnsi="宋体" w:eastAsia="宋体" w:cs="宋体"/>
          <w:szCs w:val="21"/>
        </w:rPr>
      </w:pPr>
      <w:bookmarkStart w:id="188" w:name="OLE_LINK26"/>
      <w:r>
        <w:rPr>
          <w:rFonts w:hint="eastAsia" w:ascii="宋体" w:hAnsi="宋体" w:eastAsia="宋体" w:cs="宋体"/>
          <w:szCs w:val="21"/>
        </w:rPr>
        <w:t>3、气体供应系统工作界面</w:t>
      </w:r>
    </w:p>
    <w:p>
      <w:pPr>
        <w:spacing w:line="360" w:lineRule="auto"/>
        <w:ind w:firstLine="442" w:firstLineChars="200"/>
        <w:rPr>
          <w:rFonts w:ascii="宋体" w:hAnsi="宋体" w:eastAsia="宋体" w:cs="宋体"/>
          <w:szCs w:val="21"/>
        </w:rPr>
      </w:pPr>
      <w:r>
        <w:rPr>
          <w:rFonts w:hint="eastAsia" w:ascii="宋体" w:hAnsi="宋体" w:eastAsia="宋体" w:cs="宋体"/>
          <w:szCs w:val="21"/>
        </w:rPr>
        <w:t>3.1本项目涉及所有设备配电、消防、排风、土建、空调、洁净室改造及装修由其他包商负责，不包含在本包工作范围。所有气体设备须静电接地，防雷设施工由机电包负责。</w:t>
      </w:r>
    </w:p>
    <w:p>
      <w:pPr>
        <w:spacing w:line="360" w:lineRule="auto"/>
        <w:ind w:firstLine="442" w:firstLineChars="200"/>
        <w:rPr>
          <w:rFonts w:ascii="宋体" w:hAnsi="宋体" w:eastAsia="宋体" w:cs="宋体"/>
          <w:szCs w:val="21"/>
        </w:rPr>
      </w:pPr>
      <w:r>
        <w:rPr>
          <w:rFonts w:hint="eastAsia" w:ascii="宋体" w:hAnsi="宋体" w:eastAsia="宋体" w:cs="宋体"/>
          <w:szCs w:val="21"/>
        </w:rPr>
        <w:t>3.2CDA系统其他包商将预留阀预留在需求燃烧桶5米范围内，后续接至燃烧桶部分属于本包工作范围；</w:t>
      </w:r>
    </w:p>
    <w:p>
      <w:pPr>
        <w:spacing w:line="360" w:lineRule="auto"/>
        <w:ind w:firstLine="442" w:firstLineChars="200"/>
        <w:rPr>
          <w:rFonts w:ascii="宋体" w:hAnsi="宋体" w:eastAsia="宋体" w:cs="宋体"/>
          <w:szCs w:val="21"/>
        </w:rPr>
      </w:pPr>
      <w:r>
        <w:rPr>
          <w:rFonts w:hint="eastAsia" w:ascii="宋体" w:hAnsi="宋体" w:eastAsia="宋体" w:cs="宋体"/>
          <w:szCs w:val="21"/>
        </w:rPr>
        <w:t>3.3特气气柜尾气排放需排放至处理PECVD尾气用的燃烧桶；。</w:t>
      </w:r>
    </w:p>
    <w:p>
      <w:pPr>
        <w:spacing w:line="360" w:lineRule="auto"/>
        <w:ind w:firstLine="442" w:firstLineChars="200"/>
        <w:rPr>
          <w:rFonts w:ascii="宋体" w:hAnsi="宋体" w:eastAsia="宋体" w:cs="宋体"/>
          <w:szCs w:val="21"/>
        </w:rPr>
      </w:pPr>
      <w:r>
        <w:rPr>
          <w:rFonts w:hint="eastAsia" w:ascii="宋体" w:hAnsi="宋体" w:eastAsia="宋体" w:cs="宋体"/>
          <w:szCs w:val="21"/>
        </w:rPr>
        <w:t>3.4承包方还需负责墙壁的穿孔及再密封，管道穿墙和楼板应设套管，其中穿通防火墙处还应用专用的阻火圈及阻火泥封堵。</w:t>
      </w:r>
    </w:p>
    <w:p>
      <w:pPr>
        <w:spacing w:line="360" w:lineRule="auto"/>
        <w:ind w:firstLine="442" w:firstLineChars="200"/>
        <w:rPr>
          <w:rFonts w:ascii="宋体" w:hAnsi="宋体" w:eastAsia="宋体" w:cs="宋体"/>
          <w:szCs w:val="21"/>
        </w:rPr>
      </w:pPr>
      <w:r>
        <w:rPr>
          <w:rFonts w:hint="eastAsia" w:ascii="宋体" w:hAnsi="宋体" w:eastAsia="宋体" w:cs="宋体"/>
          <w:szCs w:val="21"/>
        </w:rPr>
        <w:t>3.5除本文件注明部分外，其它为完成以上任务所需的所有必须的材料、设备、人工等。</w:t>
      </w:r>
    </w:p>
    <w:p>
      <w:pPr>
        <w:spacing w:line="360" w:lineRule="auto"/>
        <w:ind w:firstLine="442" w:firstLineChars="200"/>
        <w:rPr>
          <w:rFonts w:ascii="宋体" w:hAnsi="宋体" w:eastAsia="宋体" w:cs="宋体"/>
          <w:szCs w:val="21"/>
        </w:rPr>
      </w:pPr>
      <w:r>
        <w:rPr>
          <w:rFonts w:hint="eastAsia" w:ascii="宋体" w:hAnsi="宋体" w:eastAsia="宋体" w:cs="宋体"/>
          <w:szCs w:val="21"/>
        </w:rPr>
        <w:t>4、其它要求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4.1承包人提供所有气瓶的首次钢瓶上线运行与第一次换钢瓶安装、测试、上线服务，并提供现场培训。</w:t>
      </w:r>
    </w:p>
    <w:p>
      <w:pPr>
        <w:spacing w:line="360" w:lineRule="auto"/>
        <w:ind w:firstLine="442" w:firstLineChars="200"/>
        <w:rPr>
          <w:rFonts w:ascii="宋体" w:hAnsi="宋体" w:eastAsia="宋体" w:cs="宋体"/>
          <w:szCs w:val="21"/>
        </w:rPr>
      </w:pPr>
      <w:r>
        <w:rPr>
          <w:rFonts w:hint="eastAsia" w:ascii="宋体" w:hAnsi="宋体" w:eastAsia="宋体" w:cs="宋体"/>
          <w:szCs w:val="21"/>
        </w:rPr>
        <w:t>4.2承包人负责对发包人实验室工程技术人员进行系统培训，操作与维护培训，故障处理预防措施等。</w:t>
      </w:r>
    </w:p>
    <w:p>
      <w:pPr>
        <w:spacing w:line="360" w:lineRule="auto"/>
        <w:ind w:firstLine="442" w:firstLineChars="200"/>
        <w:rPr>
          <w:rFonts w:ascii="宋体" w:hAnsi="宋体" w:eastAsia="宋体" w:cs="宋体"/>
          <w:szCs w:val="21"/>
        </w:rPr>
      </w:pPr>
      <w:r>
        <w:rPr>
          <w:rFonts w:hint="eastAsia" w:ascii="宋体" w:hAnsi="宋体" w:eastAsia="宋体" w:cs="宋体"/>
          <w:szCs w:val="21"/>
        </w:rPr>
        <w:t>4.3对于管道工作中涉及的材料与组件，除参考</w:t>
      </w:r>
      <w:r>
        <w:rPr>
          <w:rFonts w:hint="eastAsia"/>
        </w:rPr>
        <w:t>十四、主要材料设备推荐品牌表</w:t>
      </w:r>
      <w:r>
        <w:rPr>
          <w:rFonts w:hint="eastAsia" w:ascii="宋体" w:hAnsi="宋体" w:eastAsia="宋体" w:cs="宋体"/>
          <w:szCs w:val="21"/>
        </w:rPr>
        <w:t>其余的材料与组件也必须为国际上的知名品牌。</w:t>
      </w:r>
    </w:p>
    <w:p>
      <w:pPr>
        <w:spacing w:line="360" w:lineRule="auto"/>
        <w:ind w:firstLine="442" w:firstLineChars="200"/>
        <w:rPr>
          <w:rFonts w:ascii="宋体" w:hAnsi="宋体" w:eastAsia="宋体" w:cs="宋体"/>
          <w:szCs w:val="21"/>
        </w:rPr>
      </w:pPr>
      <w:r>
        <w:rPr>
          <w:rFonts w:hint="eastAsia" w:ascii="宋体" w:hAnsi="宋体" w:eastAsia="宋体" w:cs="宋体"/>
          <w:szCs w:val="21"/>
        </w:rPr>
        <w:t>5、气体供应系统技术规格要求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5.1气瓶柜（GC）基本配置及功能要求（适用于1#、2#、3#气体）</w:t>
      </w:r>
    </w:p>
    <w:p>
      <w:pPr>
        <w:spacing w:line="360" w:lineRule="auto"/>
        <w:ind w:firstLine="442" w:firstLineChars="200"/>
        <w:rPr>
          <w:rFonts w:ascii="宋体" w:hAnsi="宋体" w:eastAsia="宋体" w:cs="宋体"/>
          <w:szCs w:val="21"/>
        </w:rPr>
      </w:pPr>
      <w:r>
        <w:rPr>
          <w:rFonts w:hint="eastAsia" w:ascii="宋体" w:hAnsi="宋体" w:eastAsia="宋体" w:cs="宋体"/>
          <w:szCs w:val="21"/>
        </w:rPr>
        <w:t>（1）1号气体+3号气体气柜为双瓶柜体，1号工艺气瓶+3号工艺气瓶盘面；气瓶柜配备左右两侧减压阀各两级减压阀、高压HPN2和LPN2吹扫单元、EFS（适用于1号气体）、抽真空单元、出口0.003微米过滤器、左右两侧紧急关断阀门、高压侧压力开关（PSG）、独立抽风、消防喷淋头、UV/IR等必要的组件。</w:t>
      </w:r>
    </w:p>
    <w:p>
      <w:pPr>
        <w:spacing w:line="360" w:lineRule="auto"/>
        <w:ind w:firstLine="442" w:firstLineChars="200"/>
        <w:rPr>
          <w:rFonts w:ascii="宋体" w:hAnsi="宋体" w:eastAsia="宋体" w:cs="宋体"/>
          <w:szCs w:val="21"/>
        </w:rPr>
      </w:pPr>
      <w:r>
        <w:rPr>
          <w:rFonts w:hint="eastAsia" w:ascii="宋体" w:hAnsi="宋体" w:eastAsia="宋体" w:cs="宋体"/>
          <w:szCs w:val="21"/>
        </w:rPr>
        <w:t>（2）2号工艺气瓶+单吹扫钢瓶气柜为双瓶柜体，2号工艺气瓶+单吹扫钢瓶盘面；气瓶柜配备左右两侧减压阀、LPN2吹扫单元、抽真空单元、钢瓶秤（适用于2号气体）、出口0.003微米过滤器、紧急关断阀门、高压侧压力开关（PSG）、独立抽风、侦测器（GC和ENV)、消防喷淋头等必要的组件。</w:t>
      </w:r>
    </w:p>
    <w:p>
      <w:pPr>
        <w:spacing w:line="360" w:lineRule="auto"/>
        <w:ind w:firstLine="442" w:firstLineChars="200"/>
        <w:rPr>
          <w:rFonts w:ascii="宋体" w:hAnsi="宋体" w:eastAsia="宋体" w:cs="宋体"/>
          <w:szCs w:val="21"/>
        </w:rPr>
      </w:pPr>
      <w:r>
        <w:rPr>
          <w:rFonts w:hint="eastAsia" w:ascii="宋体" w:hAnsi="宋体" w:eastAsia="宋体" w:cs="宋体"/>
          <w:szCs w:val="21"/>
        </w:rPr>
        <w:t>（3）GC柜体为符合国际安全规范的带钢丝玻璃观察窗的抽风外壳，外壳钢板厚度不应小于2.5mm，并有防腐蚀涂层；柜门须具有自动关闭，上锁的功能。</w:t>
      </w:r>
    </w:p>
    <w:p>
      <w:pPr>
        <w:spacing w:line="360" w:lineRule="auto"/>
        <w:ind w:firstLine="442" w:firstLineChars="200"/>
        <w:rPr>
          <w:rFonts w:ascii="宋体" w:hAnsi="宋体" w:eastAsia="宋体" w:cs="宋体"/>
          <w:szCs w:val="21"/>
        </w:rPr>
      </w:pPr>
      <w:r>
        <w:rPr>
          <w:rFonts w:hint="eastAsia" w:ascii="宋体" w:hAnsi="宋体" w:eastAsia="宋体" w:cs="宋体"/>
          <w:szCs w:val="21"/>
        </w:rPr>
        <w:t>（4）带可调节抽风功能，负压监控。</w:t>
      </w:r>
    </w:p>
    <w:p>
      <w:pPr>
        <w:spacing w:line="360" w:lineRule="auto"/>
        <w:ind w:firstLine="442" w:firstLineChars="200"/>
        <w:rPr>
          <w:rFonts w:ascii="宋体" w:hAnsi="宋体" w:eastAsia="宋体" w:cs="宋体"/>
          <w:szCs w:val="21"/>
        </w:rPr>
      </w:pPr>
      <w:r>
        <w:rPr>
          <w:rFonts w:hint="eastAsia" w:ascii="宋体" w:hAnsi="宋体" w:eastAsia="宋体" w:cs="宋体"/>
          <w:szCs w:val="21"/>
        </w:rPr>
        <w:t>（5）在钢瓶接头附近的管线应设有Gasket Filter以去除更换钢瓶时可能产生的金属颗粒，承包方应于投标技术服务书提出上述过滤孔径。</w:t>
      </w:r>
    </w:p>
    <w:p>
      <w:pPr>
        <w:spacing w:line="360" w:lineRule="auto"/>
        <w:ind w:firstLine="442" w:firstLineChars="200"/>
        <w:rPr>
          <w:rFonts w:ascii="宋体" w:hAnsi="宋体" w:eastAsia="宋体" w:cs="宋体"/>
          <w:szCs w:val="21"/>
        </w:rPr>
      </w:pPr>
      <w:r>
        <w:rPr>
          <w:rFonts w:hint="eastAsia" w:ascii="宋体" w:hAnsi="宋体" w:eastAsia="宋体" w:cs="宋体"/>
          <w:szCs w:val="21"/>
        </w:rPr>
        <w:t>（6）每一钢瓶应有远程遥控启动紧急停机开关，在灾害发生时钢瓶被自动关闭；</w:t>
      </w:r>
    </w:p>
    <w:p>
      <w:pPr>
        <w:spacing w:line="360" w:lineRule="auto"/>
        <w:ind w:firstLine="442" w:firstLineChars="200"/>
        <w:rPr>
          <w:rFonts w:ascii="宋体" w:hAnsi="宋体" w:eastAsia="宋体" w:cs="宋体"/>
          <w:szCs w:val="21"/>
        </w:rPr>
      </w:pPr>
      <w:r>
        <w:rPr>
          <w:rFonts w:hint="eastAsia" w:ascii="宋体" w:hAnsi="宋体" w:eastAsia="宋体" w:cs="宋体"/>
          <w:szCs w:val="21"/>
        </w:rPr>
        <w:t>（7）系统发生警告(Warning)/切断(Shut Down)状况至少包含以下的情况：1）气体过流量时；2）低压或排风系统失效时；2）电力失效时；3）侦测到气体泄漏时；4）气柜测到火警时；</w:t>
      </w:r>
    </w:p>
    <w:p>
      <w:pPr>
        <w:spacing w:line="360" w:lineRule="auto"/>
        <w:ind w:firstLine="442" w:firstLineChars="200"/>
        <w:rPr>
          <w:rFonts w:ascii="宋体" w:hAnsi="宋体" w:eastAsia="宋体" w:cs="宋体"/>
          <w:szCs w:val="21"/>
        </w:rPr>
      </w:pPr>
      <w:r>
        <w:rPr>
          <w:rFonts w:hint="eastAsia" w:ascii="宋体" w:hAnsi="宋体" w:eastAsia="宋体" w:cs="宋体"/>
          <w:szCs w:val="21"/>
        </w:rPr>
        <w:t>（8）设备内所有弯头采用成品迷你弯头。</w:t>
      </w:r>
    </w:p>
    <w:p>
      <w:pPr>
        <w:spacing w:line="360" w:lineRule="auto"/>
        <w:ind w:firstLine="442" w:firstLineChars="200"/>
        <w:rPr>
          <w:rFonts w:ascii="宋体" w:hAnsi="宋体" w:eastAsia="宋体" w:cs="宋体"/>
          <w:szCs w:val="21"/>
        </w:rPr>
      </w:pPr>
      <w:r>
        <w:rPr>
          <w:rFonts w:hint="eastAsia" w:ascii="宋体" w:hAnsi="宋体" w:eastAsia="宋体" w:cs="宋体"/>
          <w:szCs w:val="21"/>
        </w:rPr>
        <w:t>5.2 1号气体+3号气体VMB技术要求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（1）采用符合国际安全规范的带钢丝玻璃观察窗，安全金属钢板抽风外壳，壳钢板厚度不应小于2.5mm，并有防腐蚀涂层。具有自动关闭门、抽风外壳、上锁等功能。</w:t>
      </w:r>
    </w:p>
    <w:p>
      <w:pPr>
        <w:spacing w:line="360" w:lineRule="auto"/>
        <w:ind w:firstLine="442" w:firstLineChars="200"/>
        <w:rPr>
          <w:rFonts w:ascii="宋体" w:hAnsi="宋体" w:eastAsia="宋体" w:cs="宋体"/>
          <w:szCs w:val="21"/>
        </w:rPr>
      </w:pPr>
      <w:r>
        <w:rPr>
          <w:rFonts w:hint="eastAsia" w:ascii="宋体" w:hAnsi="宋体" w:eastAsia="宋体" w:cs="宋体"/>
          <w:szCs w:val="21"/>
        </w:rPr>
        <w:t>（2）VMB根据工艺设备需求，本次1号气体+3号气体二级减压共用一个箱体；每种气体设计2条二次配支路。</w:t>
      </w:r>
    </w:p>
    <w:p>
      <w:pPr>
        <w:spacing w:line="360" w:lineRule="auto"/>
        <w:ind w:firstLine="442" w:firstLineChars="200"/>
        <w:rPr>
          <w:rFonts w:ascii="宋体" w:hAnsi="宋体" w:eastAsia="宋体" w:cs="宋体"/>
          <w:szCs w:val="21"/>
        </w:rPr>
      </w:pPr>
      <w:r>
        <w:rPr>
          <w:rFonts w:hint="eastAsia" w:ascii="宋体" w:hAnsi="宋体" w:eastAsia="宋体" w:cs="宋体"/>
          <w:szCs w:val="21"/>
        </w:rPr>
        <w:t>（3）VMB各支路配置：主管配置手动阀+压力表；支管配置手动阀门+二级减压阀+压力表+手动阀 ；吹扫管路配置手动阀+单向阀+压力表+各支路手动隔离阀。</w:t>
      </w:r>
    </w:p>
    <w:p>
      <w:pPr>
        <w:spacing w:line="360" w:lineRule="auto"/>
        <w:ind w:firstLine="442" w:firstLineChars="200"/>
        <w:rPr>
          <w:rFonts w:ascii="宋体" w:hAnsi="宋体" w:eastAsia="宋体" w:cs="宋体"/>
          <w:szCs w:val="21"/>
        </w:rPr>
      </w:pPr>
      <w:r>
        <w:rPr>
          <w:rFonts w:hint="eastAsia" w:ascii="宋体" w:hAnsi="宋体" w:eastAsia="宋体" w:cs="宋体"/>
          <w:szCs w:val="21"/>
        </w:rPr>
        <w:t>（4）1号气体采用双套管，配备负压监控装置。双套管内管选用SS316L EP超净管；外管选用SS316L BA，双套管间隙采用压力表监测。其余管材、阀门与组件均采用SS316L EP。</w:t>
      </w:r>
    </w:p>
    <w:p>
      <w:pPr>
        <w:spacing w:line="360" w:lineRule="auto"/>
        <w:ind w:firstLine="442" w:firstLineChars="200"/>
        <w:rPr>
          <w:rFonts w:ascii="宋体" w:hAnsi="宋体" w:eastAsia="宋体" w:cs="宋体"/>
          <w:szCs w:val="21"/>
        </w:rPr>
      </w:pPr>
      <w:r>
        <w:rPr>
          <w:rFonts w:hint="eastAsia" w:ascii="宋体" w:hAnsi="宋体" w:eastAsia="宋体" w:cs="宋体"/>
          <w:szCs w:val="21"/>
        </w:rPr>
        <w:t>（5）VMB吹扫PN2与气柜共用。</w:t>
      </w:r>
    </w:p>
    <w:p>
      <w:pPr>
        <w:spacing w:line="360" w:lineRule="auto"/>
        <w:ind w:firstLine="442" w:firstLineChars="200"/>
        <w:rPr>
          <w:rFonts w:ascii="宋体" w:hAnsi="宋体" w:eastAsia="宋体" w:cs="宋体"/>
          <w:szCs w:val="21"/>
        </w:rPr>
      </w:pPr>
      <w:r>
        <w:rPr>
          <w:rFonts w:hint="eastAsia" w:ascii="宋体" w:hAnsi="宋体" w:eastAsia="宋体" w:cs="宋体"/>
          <w:szCs w:val="21"/>
        </w:rPr>
        <w:t>（6）管路非焊接接口采用VCR连接，焊接接口采用自动轨道焊接方式。</w:t>
      </w:r>
    </w:p>
    <w:p>
      <w:pPr>
        <w:spacing w:line="360" w:lineRule="auto"/>
        <w:ind w:firstLine="442" w:firstLineChars="200"/>
        <w:rPr>
          <w:rFonts w:ascii="宋体" w:hAnsi="宋体" w:eastAsia="宋体" w:cs="宋体"/>
          <w:szCs w:val="21"/>
        </w:rPr>
      </w:pPr>
      <w:r>
        <w:rPr>
          <w:rFonts w:hint="eastAsia" w:ascii="宋体" w:hAnsi="宋体" w:eastAsia="宋体" w:cs="宋体"/>
          <w:szCs w:val="21"/>
        </w:rPr>
        <w:t>（7）设备内所有弯头采用成品迷你弯头。</w:t>
      </w:r>
    </w:p>
    <w:p>
      <w:pPr>
        <w:spacing w:line="360" w:lineRule="auto"/>
        <w:ind w:firstLine="442" w:firstLineChars="200"/>
        <w:rPr>
          <w:rFonts w:ascii="宋体" w:hAnsi="宋体" w:eastAsia="宋体" w:cs="宋体"/>
          <w:szCs w:val="21"/>
        </w:rPr>
      </w:pPr>
      <w:r>
        <w:rPr>
          <w:rFonts w:hint="eastAsia" w:ascii="宋体" w:hAnsi="宋体" w:eastAsia="宋体" w:cs="宋体"/>
          <w:szCs w:val="21"/>
        </w:rPr>
        <w:t>5.3气瓶面板（GP）的基本配置与技术要求(适用于GN2、Ar、He、O2、CF4、SF6、C4F8、N2O、H/LPN2)</w:t>
      </w:r>
    </w:p>
    <w:p>
      <w:pPr>
        <w:spacing w:line="360" w:lineRule="auto"/>
        <w:ind w:firstLine="442" w:firstLineChars="200"/>
        <w:rPr>
          <w:rFonts w:ascii="宋体" w:hAnsi="宋体" w:eastAsia="宋体" w:cs="宋体"/>
          <w:szCs w:val="21"/>
        </w:rPr>
      </w:pPr>
      <w:r>
        <w:rPr>
          <w:rFonts w:hint="eastAsia" w:ascii="宋体" w:hAnsi="宋体" w:eastAsia="宋体" w:cs="宋体"/>
          <w:szCs w:val="21"/>
        </w:rPr>
        <w:t>（1）GN2配置为3用3备用压力左右杜瓦切气瓶面板；左右侧均需配置压力表+球阀*2+调压阀+压力表+球阀，另需配置高压排气阀门；设备管阀件尺寸为1/2”</w:t>
      </w:r>
    </w:p>
    <w:p>
      <w:pPr>
        <w:spacing w:line="360" w:lineRule="auto"/>
        <w:ind w:firstLine="442" w:firstLineChars="200"/>
        <w:rPr>
          <w:rFonts w:ascii="宋体" w:hAnsi="宋体" w:eastAsia="宋体" w:cs="宋体"/>
          <w:szCs w:val="21"/>
        </w:rPr>
      </w:pPr>
      <w:r>
        <w:rPr>
          <w:rFonts w:hint="eastAsia" w:ascii="宋体" w:hAnsi="宋体" w:eastAsia="宋体" w:cs="宋体"/>
          <w:szCs w:val="21"/>
        </w:rPr>
        <w:t>（2）Ar、O2配置为1备1用压力左右钢瓶切气瓶面板；左右侧均需配置压力表+高压膜阀*2+调压阀+压力表+膜阀，另需配置高压排气阀门；工艺出口配置0.003微米过滤器；设备管阀件尺寸为1/4” 。</w:t>
      </w:r>
    </w:p>
    <w:p>
      <w:pPr>
        <w:spacing w:line="360" w:lineRule="auto"/>
        <w:ind w:firstLine="442" w:firstLineChars="200"/>
        <w:rPr>
          <w:rFonts w:ascii="宋体" w:hAnsi="宋体" w:eastAsia="宋体" w:cs="宋体"/>
          <w:szCs w:val="21"/>
        </w:rPr>
      </w:pPr>
      <w:r>
        <w:rPr>
          <w:rFonts w:hint="eastAsia" w:ascii="宋体" w:hAnsi="宋体" w:eastAsia="宋体" w:cs="宋体"/>
          <w:szCs w:val="21"/>
        </w:rPr>
        <w:t>（3）He、CF4、N2O单瓶气瓶面板采用手动供气方式；需配置高压侧压力表+手动膜阀+一级调压阀+压力表+二级调压阀+低压侧压力表+0.003微米过滤器，另需配置高压排气阀门；设备管阀件尺寸为1/4” 。</w:t>
      </w:r>
    </w:p>
    <w:p>
      <w:pPr>
        <w:spacing w:line="360" w:lineRule="auto"/>
        <w:ind w:firstLine="442" w:firstLineChars="200"/>
        <w:rPr>
          <w:rFonts w:ascii="宋体" w:hAnsi="宋体" w:eastAsia="宋体" w:cs="宋体"/>
          <w:szCs w:val="21"/>
        </w:rPr>
      </w:pPr>
      <w:r>
        <w:rPr>
          <w:rFonts w:hint="eastAsia" w:ascii="宋体" w:hAnsi="宋体" w:eastAsia="宋体" w:cs="宋体"/>
          <w:szCs w:val="21"/>
        </w:rPr>
        <w:t>（4）SF6、C4F8单瓶气瓶面板采用手动供气方式；需配置高压侧压力表+手动膜阀+调压阀+低压侧压力表+0.003微米过滤器，另需配置高压排气阀门；其中SF6、C4F8需配置钢瓶称；设备管阀件尺寸为1/4” 。</w:t>
      </w:r>
    </w:p>
    <w:p>
      <w:pPr>
        <w:spacing w:line="360" w:lineRule="auto"/>
        <w:ind w:firstLine="442" w:firstLineChars="200"/>
        <w:rPr>
          <w:rFonts w:ascii="宋体" w:hAnsi="宋体" w:eastAsia="宋体" w:cs="宋体"/>
          <w:szCs w:val="21"/>
        </w:rPr>
      </w:pPr>
      <w:r>
        <w:rPr>
          <w:rFonts w:hint="eastAsia" w:ascii="宋体" w:hAnsi="宋体" w:eastAsia="宋体" w:cs="宋体"/>
          <w:szCs w:val="21"/>
        </w:rPr>
        <w:t>（5）H/LPN2单瓶气瓶面板采用手动供气方式；低压侧支路需配置高压侧压力表+手动膜阀+调压阀+低压侧压力表+0.003微米过滤器；高压侧支路需配置高压侧压力表+手动膜阀+调压阀+低压侧压力表；另需配置高压排气阀门；设备管阀件尺寸为1/4” 。</w:t>
      </w:r>
    </w:p>
    <w:p>
      <w:pPr>
        <w:spacing w:line="360" w:lineRule="auto"/>
        <w:ind w:firstLine="442" w:firstLineChars="200"/>
        <w:rPr>
          <w:rFonts w:ascii="宋体" w:hAnsi="宋体" w:eastAsia="宋体" w:cs="宋体"/>
          <w:szCs w:val="21"/>
        </w:rPr>
      </w:pPr>
      <w:r>
        <w:rPr>
          <w:rFonts w:hint="eastAsia" w:ascii="宋体" w:hAnsi="宋体" w:eastAsia="宋体" w:cs="宋体"/>
          <w:szCs w:val="21"/>
        </w:rPr>
        <w:t>（6）设备内所有弯头采用成品迷你弯头。</w:t>
      </w:r>
    </w:p>
    <w:p>
      <w:pPr>
        <w:spacing w:line="360" w:lineRule="auto"/>
        <w:ind w:firstLine="442" w:firstLineChars="200"/>
        <w:rPr>
          <w:rFonts w:ascii="宋体" w:hAnsi="宋体" w:eastAsia="宋体" w:cs="宋体"/>
          <w:szCs w:val="21"/>
        </w:rPr>
      </w:pPr>
      <w:bookmarkStart w:id="189" w:name="_Toc466994447"/>
      <w:r>
        <w:rPr>
          <w:rFonts w:hint="eastAsia" w:ascii="宋体" w:hAnsi="宋体" w:eastAsia="宋体" w:cs="宋体"/>
          <w:szCs w:val="21"/>
        </w:rPr>
        <w:t>6、气体管道系统技术要求</w:t>
      </w:r>
      <w:bookmarkEnd w:id="189"/>
    </w:p>
    <w:p>
      <w:pPr>
        <w:spacing w:line="360" w:lineRule="auto"/>
        <w:ind w:firstLine="442" w:firstLineChars="200"/>
        <w:rPr>
          <w:rFonts w:ascii="宋体" w:hAnsi="宋体" w:eastAsia="宋体" w:cs="宋体"/>
          <w:szCs w:val="21"/>
        </w:rPr>
      </w:pPr>
      <w:r>
        <w:rPr>
          <w:rFonts w:hint="eastAsia" w:ascii="宋体" w:hAnsi="宋体" w:eastAsia="宋体" w:cs="宋体"/>
          <w:szCs w:val="21"/>
        </w:rPr>
        <w:t>6.1 GN2系统：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自氮气汇流排-&gt;新增各区域减压阀-&gt;工艺设备附近预留阀，该项目仅包含主系统工程；GN2管路系统配置要求：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GN2系统主管道尺寸为1/2”；</w:t>
      </w:r>
    </w:p>
    <w:p>
      <w:pPr>
        <w:spacing w:line="360" w:lineRule="auto"/>
        <w:ind w:firstLine="442" w:firstLineChars="200"/>
        <w:rPr>
          <w:rFonts w:ascii="宋体" w:hAnsi="宋体" w:eastAsia="宋体" w:cs="宋体"/>
          <w:szCs w:val="21"/>
        </w:rPr>
      </w:pPr>
      <w:r>
        <w:rPr>
          <w:rFonts w:hint="eastAsia" w:ascii="宋体" w:hAnsi="宋体" w:eastAsia="宋体" w:cs="宋体"/>
          <w:szCs w:val="21"/>
        </w:rPr>
        <w:t>GN2系统管路采用SS316L BA 材质；</w:t>
      </w:r>
    </w:p>
    <w:p>
      <w:pPr>
        <w:spacing w:line="360" w:lineRule="auto"/>
        <w:ind w:firstLine="442" w:firstLineChars="200"/>
        <w:rPr>
          <w:rFonts w:ascii="宋体" w:hAnsi="宋体" w:eastAsia="宋体" w:cs="宋体"/>
          <w:szCs w:val="21"/>
        </w:rPr>
      </w:pPr>
      <w:r>
        <w:rPr>
          <w:rFonts w:hint="eastAsia" w:ascii="宋体" w:hAnsi="宋体" w:eastAsia="宋体" w:cs="宋体"/>
          <w:szCs w:val="21"/>
        </w:rPr>
        <w:t>GN2系统管道连接采用自动焊接或卡套方式；</w:t>
      </w:r>
    </w:p>
    <w:p>
      <w:pPr>
        <w:spacing w:line="360" w:lineRule="auto"/>
        <w:ind w:firstLine="442" w:firstLineChars="200"/>
        <w:rPr>
          <w:rFonts w:ascii="宋体" w:hAnsi="宋体" w:eastAsia="宋体" w:cs="宋体"/>
          <w:szCs w:val="21"/>
        </w:rPr>
      </w:pPr>
      <w:r>
        <w:rPr>
          <w:rFonts w:hint="eastAsia" w:ascii="宋体" w:hAnsi="宋体" w:eastAsia="宋体" w:cs="宋体"/>
          <w:szCs w:val="21"/>
        </w:rPr>
        <w:t>6.2 PN2系统：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自GN2预留阀-&gt;POU纯化器-&gt;新增各区域减压阀-&gt;工艺设备附近预留阀，该项目仅包含主系统工程；PN2管路系统配置要求：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PN2系统主管道尺寸为3/8”；</w:t>
      </w:r>
    </w:p>
    <w:p>
      <w:pPr>
        <w:spacing w:line="360" w:lineRule="auto"/>
        <w:ind w:firstLine="442" w:firstLineChars="200"/>
        <w:rPr>
          <w:rFonts w:ascii="宋体" w:hAnsi="宋体" w:eastAsia="宋体" w:cs="宋体"/>
          <w:szCs w:val="21"/>
        </w:rPr>
      </w:pPr>
      <w:r>
        <w:rPr>
          <w:rFonts w:hint="eastAsia" w:ascii="宋体" w:hAnsi="宋体" w:eastAsia="宋体" w:cs="宋体"/>
          <w:szCs w:val="21"/>
        </w:rPr>
        <w:t>PN2系统管路采用SS316L EP 材质；阀门均需选用SS316L EP处理阀门；</w:t>
      </w:r>
    </w:p>
    <w:p>
      <w:pPr>
        <w:spacing w:line="360" w:lineRule="auto"/>
        <w:ind w:firstLine="442" w:firstLineChars="200"/>
        <w:rPr>
          <w:rFonts w:ascii="宋体" w:hAnsi="宋体" w:eastAsia="宋体" w:cs="宋体"/>
          <w:szCs w:val="21"/>
        </w:rPr>
      </w:pPr>
      <w:r>
        <w:rPr>
          <w:rFonts w:hint="eastAsia" w:ascii="宋体" w:hAnsi="宋体" w:eastAsia="宋体" w:cs="宋体"/>
          <w:szCs w:val="21"/>
        </w:rPr>
        <w:t>PN2系统管道连接采用自动焊接或VCR方式；</w:t>
      </w:r>
    </w:p>
    <w:p>
      <w:pPr>
        <w:spacing w:line="360" w:lineRule="auto"/>
        <w:ind w:firstLine="442" w:firstLineChars="200"/>
        <w:rPr>
          <w:rFonts w:ascii="宋体" w:hAnsi="宋体" w:eastAsia="宋体" w:cs="宋体"/>
          <w:szCs w:val="21"/>
        </w:rPr>
      </w:pPr>
      <w:r>
        <w:rPr>
          <w:rFonts w:hint="eastAsia" w:ascii="宋体" w:hAnsi="宋体" w:eastAsia="宋体" w:cs="宋体"/>
          <w:szCs w:val="21"/>
        </w:rPr>
        <w:t>6.3 Ar、O2系统：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自供气面板-&gt;新增各区域减压阀-&gt;工艺设备附近预留阀，该项目仅包含主系统工程；Ar、O2管路系统配置要求：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Ar、O2系统主管道尺寸为1/4”；</w:t>
      </w:r>
    </w:p>
    <w:p>
      <w:pPr>
        <w:spacing w:line="360" w:lineRule="auto"/>
        <w:ind w:firstLine="442" w:firstLineChars="200"/>
        <w:rPr>
          <w:rFonts w:ascii="宋体" w:hAnsi="宋体" w:eastAsia="宋体" w:cs="宋体"/>
          <w:szCs w:val="21"/>
        </w:rPr>
      </w:pPr>
      <w:r>
        <w:rPr>
          <w:rFonts w:hint="eastAsia" w:ascii="宋体" w:hAnsi="宋体" w:eastAsia="宋体" w:cs="宋体"/>
          <w:szCs w:val="21"/>
        </w:rPr>
        <w:t>Ar、O2系统管路采用SS316L EP 材质；阀门均需选用SS316L EP处理阀门；</w:t>
      </w:r>
    </w:p>
    <w:p>
      <w:pPr>
        <w:spacing w:line="360" w:lineRule="auto"/>
        <w:ind w:firstLine="442" w:firstLineChars="200"/>
        <w:rPr>
          <w:rFonts w:ascii="宋体" w:hAnsi="宋体" w:eastAsia="宋体" w:cs="宋体"/>
          <w:szCs w:val="21"/>
        </w:rPr>
      </w:pPr>
      <w:r>
        <w:rPr>
          <w:rFonts w:hint="eastAsia" w:ascii="宋体" w:hAnsi="宋体" w:eastAsia="宋体" w:cs="宋体"/>
          <w:szCs w:val="21"/>
        </w:rPr>
        <w:t>Ar、O2系统管道连接采用自动焊接或VCR方式；</w:t>
      </w:r>
    </w:p>
    <w:p>
      <w:pPr>
        <w:spacing w:line="360" w:lineRule="auto"/>
        <w:ind w:firstLine="442" w:firstLineChars="200"/>
        <w:rPr>
          <w:rFonts w:ascii="宋体" w:hAnsi="宋体" w:eastAsia="宋体" w:cs="宋体"/>
          <w:szCs w:val="21"/>
        </w:rPr>
      </w:pPr>
      <w:r>
        <w:rPr>
          <w:rFonts w:hint="eastAsia" w:ascii="宋体" w:hAnsi="宋体" w:eastAsia="宋体" w:cs="宋体"/>
          <w:szCs w:val="21"/>
        </w:rPr>
        <w:t>6.4 He、CF4、SF6、N2O系统：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自供气面板- &gt;工艺设备附近预留阀，该项目仅包含主系统工程；He、CF4、SF6、N2O管路系统配置要求：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He、CF4、SF6、N2O系统主管道尺寸为1/4”；</w:t>
      </w:r>
    </w:p>
    <w:p>
      <w:pPr>
        <w:spacing w:line="360" w:lineRule="auto"/>
        <w:ind w:firstLine="442" w:firstLineChars="200"/>
        <w:rPr>
          <w:rFonts w:ascii="宋体" w:hAnsi="宋体" w:eastAsia="宋体" w:cs="宋体"/>
          <w:szCs w:val="21"/>
        </w:rPr>
      </w:pPr>
      <w:r>
        <w:rPr>
          <w:rFonts w:hint="eastAsia" w:ascii="宋体" w:hAnsi="宋体" w:eastAsia="宋体" w:cs="宋体"/>
          <w:szCs w:val="21"/>
        </w:rPr>
        <w:t>He、CF4、SF6、N2O系统管路采用SS316L EP 材质；阀门均需选用SS316L EP处理阀门；</w:t>
      </w:r>
    </w:p>
    <w:p>
      <w:pPr>
        <w:spacing w:line="360" w:lineRule="auto"/>
        <w:ind w:firstLine="442" w:firstLineChars="200"/>
        <w:rPr>
          <w:rFonts w:ascii="宋体" w:hAnsi="宋体" w:eastAsia="宋体" w:cs="宋体"/>
          <w:szCs w:val="21"/>
        </w:rPr>
      </w:pPr>
      <w:r>
        <w:rPr>
          <w:rFonts w:hint="eastAsia" w:ascii="宋体" w:hAnsi="宋体" w:eastAsia="宋体" w:cs="宋体"/>
          <w:szCs w:val="21"/>
        </w:rPr>
        <w:t>He、CF4、SF6、N2O系统管道连接采用自动焊接或VCR方式；</w:t>
      </w:r>
    </w:p>
    <w:p>
      <w:pPr>
        <w:spacing w:line="360" w:lineRule="auto"/>
        <w:ind w:firstLine="442" w:firstLineChars="200"/>
        <w:rPr>
          <w:rFonts w:ascii="宋体" w:hAnsi="宋体" w:eastAsia="宋体" w:cs="宋体"/>
          <w:szCs w:val="21"/>
        </w:rPr>
      </w:pPr>
      <w:r>
        <w:rPr>
          <w:rFonts w:hint="eastAsia" w:ascii="宋体" w:hAnsi="宋体" w:eastAsia="宋体" w:cs="宋体"/>
          <w:szCs w:val="21"/>
        </w:rPr>
        <w:t>6.5 C4F8、1#气体、2#气体、3#气体系统：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自供气面板- &gt;工艺设备属于二次配工作内容，不属于本包工作范围；</w:t>
      </w:r>
    </w:p>
    <w:p>
      <w:pPr>
        <w:spacing w:line="360" w:lineRule="auto"/>
        <w:ind w:firstLine="442" w:firstLineChars="200"/>
        <w:rPr>
          <w:rFonts w:ascii="宋体" w:hAnsi="宋体" w:eastAsia="宋体" w:cs="宋体"/>
          <w:szCs w:val="21"/>
        </w:rPr>
      </w:pPr>
      <w:r>
        <w:rPr>
          <w:rFonts w:hint="eastAsia" w:ascii="宋体" w:hAnsi="宋体" w:eastAsia="宋体" w:cs="宋体"/>
          <w:szCs w:val="21"/>
        </w:rPr>
        <w:t>6.6 PECVD尾气管道系统：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自PECVD- &gt;燃烧桶间管路，燃烧桶用</w:t>
      </w:r>
      <w:r>
        <w:rPr>
          <w:rFonts w:hint="eastAsia" w:ascii="宋体" w:hAnsi="宋体" w:eastAsia="宋体" w:cs="宋体"/>
          <w:szCs w:val="21"/>
        </w:rPr>
        <w:tab/>
      </w:r>
      <w:r>
        <w:rPr>
          <w:rFonts w:hint="eastAsia" w:ascii="宋体" w:hAnsi="宋体" w:eastAsia="宋体" w:cs="宋体"/>
          <w:szCs w:val="21"/>
        </w:rPr>
        <w:t>GN2 自GN2预留阀- &gt;调压阀- &gt;燃烧桶用点；燃烧桶用CDA 自客户就近CDA预留阀- &gt;调压阀- &gt;燃烧桶用点，其他后续管路不属于本包范围：</w:t>
      </w:r>
    </w:p>
    <w:p>
      <w:pPr>
        <w:spacing w:line="360" w:lineRule="auto"/>
        <w:ind w:firstLine="442" w:firstLineChars="200"/>
        <w:rPr>
          <w:rFonts w:ascii="宋体" w:hAnsi="宋体" w:eastAsia="宋体" w:cs="宋体"/>
          <w:szCs w:val="21"/>
        </w:rPr>
      </w:pPr>
      <w:r>
        <w:rPr>
          <w:rFonts w:hint="eastAsia" w:ascii="宋体" w:hAnsi="宋体" w:eastAsia="宋体" w:cs="宋体"/>
          <w:szCs w:val="21"/>
        </w:rPr>
        <w:t>尾气系统主管道尺寸为1-1/2”；</w:t>
      </w:r>
    </w:p>
    <w:p>
      <w:pPr>
        <w:spacing w:line="360" w:lineRule="auto"/>
        <w:ind w:firstLine="442" w:firstLineChars="200"/>
        <w:rPr>
          <w:rFonts w:ascii="宋体" w:hAnsi="宋体" w:eastAsia="宋体" w:cs="宋体"/>
          <w:szCs w:val="21"/>
        </w:rPr>
      </w:pPr>
      <w:r>
        <w:rPr>
          <w:rFonts w:hint="eastAsia" w:ascii="宋体" w:hAnsi="宋体" w:eastAsia="宋体" w:cs="宋体"/>
          <w:szCs w:val="21"/>
        </w:rPr>
        <w:t>尾气系统管路采用SS304 AP 材质；</w:t>
      </w:r>
    </w:p>
    <w:p>
      <w:pPr>
        <w:spacing w:line="360" w:lineRule="auto"/>
        <w:ind w:firstLine="442" w:firstLineChars="200"/>
        <w:rPr>
          <w:rFonts w:ascii="宋体" w:hAnsi="宋体" w:eastAsia="宋体" w:cs="宋体"/>
          <w:szCs w:val="21"/>
        </w:rPr>
      </w:pPr>
      <w:bookmarkStart w:id="190" w:name="OLE_LINK54"/>
      <w:r>
        <w:rPr>
          <w:rFonts w:hint="eastAsia" w:ascii="宋体" w:hAnsi="宋体" w:eastAsia="宋体" w:cs="宋体"/>
          <w:szCs w:val="21"/>
        </w:rPr>
        <w:t xml:space="preserve">6.7 气柜和供气面板辅助H/LPN2、GN2、Vent、气体系统： </w:t>
      </w:r>
    </w:p>
    <w:p>
      <w:pPr>
        <w:spacing w:line="360" w:lineRule="auto"/>
        <w:ind w:firstLine="442" w:firstLineChars="200"/>
        <w:rPr>
          <w:rFonts w:ascii="宋体" w:hAnsi="宋体" w:eastAsia="宋体" w:cs="宋体"/>
          <w:szCs w:val="21"/>
        </w:rPr>
      </w:pPr>
      <w:r>
        <w:rPr>
          <w:rFonts w:hint="eastAsia" w:ascii="宋体" w:hAnsi="宋体" w:eastAsia="宋体" w:cs="宋体"/>
          <w:szCs w:val="21"/>
        </w:rPr>
        <w:t>H/LPN2 自GP- &gt;1号气体+3号气体气柜用点；</w:t>
      </w:r>
    </w:p>
    <w:p>
      <w:pPr>
        <w:spacing w:line="360" w:lineRule="auto"/>
        <w:ind w:firstLine="442" w:firstLineChars="200"/>
        <w:rPr>
          <w:rFonts w:ascii="宋体" w:hAnsi="宋体" w:eastAsia="宋体" w:cs="宋体"/>
          <w:szCs w:val="21"/>
        </w:rPr>
      </w:pPr>
      <w:r>
        <w:rPr>
          <w:rFonts w:hint="eastAsia" w:ascii="宋体" w:hAnsi="宋体" w:eastAsia="宋体" w:cs="宋体"/>
          <w:szCs w:val="21"/>
        </w:rPr>
        <w:t>GN2 自GN2预留阀- &gt;调压阀- &gt;两台气柜用点和燃烧桶用点；</w:t>
      </w:r>
    </w:p>
    <w:p>
      <w:pPr>
        <w:spacing w:line="360" w:lineRule="auto"/>
        <w:ind w:firstLine="442" w:firstLineChars="200"/>
        <w:rPr>
          <w:rFonts w:ascii="宋体" w:hAnsi="宋体" w:eastAsia="宋体" w:cs="宋体"/>
          <w:szCs w:val="21"/>
        </w:rPr>
      </w:pPr>
      <w:r>
        <w:rPr>
          <w:rFonts w:hint="eastAsia" w:ascii="宋体" w:hAnsi="宋体" w:eastAsia="宋体" w:cs="宋体"/>
          <w:szCs w:val="21"/>
        </w:rPr>
        <w:t>气柜Vent自气柜- &gt;PECVD工艺尾气管道;惰性气体面板Vent自GP- &gt;室外或排风管路；</w:t>
      </w:r>
    </w:p>
    <w:bookmarkEnd w:id="190"/>
    <w:p>
      <w:pPr>
        <w:spacing w:line="360" w:lineRule="auto"/>
        <w:ind w:firstLine="442" w:firstLineChars="200"/>
        <w:rPr>
          <w:rFonts w:ascii="宋体" w:hAnsi="宋体" w:eastAsia="宋体" w:cs="宋体"/>
          <w:szCs w:val="21"/>
        </w:rPr>
      </w:pPr>
      <w:r>
        <w:rPr>
          <w:rFonts w:hint="eastAsia" w:ascii="宋体" w:hAnsi="宋体" w:eastAsia="宋体" w:cs="宋体"/>
          <w:szCs w:val="21"/>
        </w:rPr>
        <w:t>7、尾气系统技术规格及要求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7.1尾气处理技术要求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本项目PECVD设备考虑一台燃烧桶用来处理设备排除的1#工艺气体；</w:t>
      </w:r>
    </w:p>
    <w:p>
      <w:pPr>
        <w:spacing w:line="360" w:lineRule="auto"/>
        <w:ind w:firstLine="442" w:firstLineChars="200"/>
        <w:rPr>
          <w:rFonts w:ascii="宋体" w:hAnsi="宋体" w:eastAsia="宋体" w:cs="宋体"/>
          <w:szCs w:val="21"/>
        </w:rPr>
      </w:pPr>
      <w:r>
        <w:rPr>
          <w:rFonts w:hint="eastAsia" w:ascii="宋体" w:hAnsi="宋体" w:eastAsia="宋体" w:cs="宋体"/>
          <w:szCs w:val="21"/>
        </w:rPr>
        <w:t>PECVD用3#工艺气体需燃烧桶后端的尾气处理；</w:t>
      </w:r>
    </w:p>
    <w:p>
      <w:pPr>
        <w:spacing w:line="360" w:lineRule="auto"/>
        <w:ind w:firstLine="442" w:firstLineChars="200"/>
        <w:rPr>
          <w:rFonts w:ascii="宋体" w:hAnsi="宋体" w:eastAsia="宋体" w:cs="宋体"/>
          <w:szCs w:val="21"/>
        </w:rPr>
      </w:pPr>
      <w:r>
        <w:rPr>
          <w:rFonts w:hint="eastAsia" w:ascii="宋体" w:hAnsi="宋体" w:eastAsia="宋体" w:cs="宋体"/>
          <w:szCs w:val="21"/>
        </w:rPr>
        <w:t>工作范围：自PECVD泵出口至新增燃烧桶入口，包含燃烧桶及尾气管道材料的供应、安装、测试；</w:t>
      </w:r>
    </w:p>
    <w:p>
      <w:pPr>
        <w:spacing w:line="360" w:lineRule="auto"/>
        <w:ind w:firstLine="442" w:firstLineChars="200"/>
        <w:rPr>
          <w:rFonts w:ascii="宋体" w:hAnsi="宋体" w:eastAsia="宋体" w:cs="宋体"/>
          <w:szCs w:val="21"/>
        </w:rPr>
      </w:pPr>
      <w:r>
        <w:rPr>
          <w:rFonts w:hint="eastAsia" w:ascii="宋体" w:hAnsi="宋体" w:eastAsia="宋体" w:cs="宋体"/>
          <w:szCs w:val="21"/>
        </w:rPr>
        <w:t>7.2尾气处理器设备要求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燃烧桶规格要求：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如图所示外形尺寸，设备材质：SS304</w:t>
      </w:r>
    </w:p>
    <w:p>
      <w:pPr>
        <w:spacing w:line="360" w:lineRule="auto"/>
        <w:ind w:firstLine="442" w:firstLineChars="200"/>
        <w:rPr>
          <w:rFonts w:ascii="宋体" w:hAnsi="宋体" w:eastAsia="宋体" w:cs="宋体"/>
          <w:szCs w:val="21"/>
        </w:rPr>
      </w:pPr>
      <w:r>
        <w:rPr>
          <w:rFonts w:hint="eastAsia" w:ascii="宋体" w:hAnsi="宋体" w:eastAsia="宋体" w:cs="宋体"/>
          <w:szCs w:val="21"/>
        </w:rPr>
        <w:t>设备外壁处理方式：机械抛光</w:t>
      </w:r>
    </w:p>
    <w:p>
      <w:pPr>
        <w:spacing w:line="360" w:lineRule="auto"/>
        <w:ind w:firstLine="442" w:firstLineChars="200"/>
        <w:rPr>
          <w:rFonts w:ascii="宋体" w:hAnsi="宋体" w:eastAsia="宋体" w:cs="宋体"/>
          <w:szCs w:val="21"/>
        </w:rPr>
      </w:pPr>
      <w:r>
        <w:rPr>
          <w:rFonts w:hint="eastAsia" w:ascii="宋体" w:hAnsi="宋体" w:eastAsia="宋体" w:cs="宋体"/>
          <w:szCs w:val="21"/>
        </w:rPr>
        <w:t>设备内壁处理方式：机械抛光、禁油处理</w:t>
      </w:r>
    </w:p>
    <w:p>
      <w:pPr>
        <w:spacing w:line="360" w:lineRule="auto"/>
        <w:ind w:firstLine="442" w:firstLineChars="200"/>
        <w:rPr>
          <w:rFonts w:ascii="宋体" w:hAnsi="宋体" w:eastAsia="宋体" w:cs="宋体"/>
          <w:szCs w:val="21"/>
        </w:rPr>
      </w:pPr>
      <w:r>
        <w:rPr>
          <w:rFonts w:hint="eastAsia" w:ascii="宋体" w:hAnsi="宋体" w:eastAsia="宋体" w:cs="宋体"/>
          <w:szCs w:val="21"/>
        </w:rPr>
        <w:t>使用抽风量：5CMM(EXH)，1#气体处理量1Slpm；</w:t>
      </w:r>
    </w:p>
    <w:p>
      <w:pPr>
        <w:spacing w:line="360" w:lineRule="auto"/>
        <w:ind w:firstLine="442" w:firstLineChars="200"/>
        <w:rPr>
          <w:rFonts w:ascii="宋体" w:hAnsi="宋体" w:eastAsia="宋体" w:cs="宋体"/>
          <w:szCs w:val="21"/>
        </w:rPr>
      </w:pPr>
      <w:bookmarkStart w:id="191" w:name="_Toc342570849"/>
      <w:r>
        <w:rPr>
          <w:rFonts w:hint="eastAsia" w:ascii="宋体" w:hAnsi="宋体" w:eastAsia="宋体" w:cs="宋体"/>
          <w:szCs w:val="21"/>
        </w:rPr>
        <w:t>8、特种气体设备(GC/GP/Manifold/燃烧桶)辅助系统</w:t>
      </w:r>
      <w:bookmarkEnd w:id="191"/>
      <w:r>
        <w:rPr>
          <w:rFonts w:hint="eastAsia" w:ascii="宋体" w:hAnsi="宋体" w:eastAsia="宋体" w:cs="宋体"/>
          <w:szCs w:val="21"/>
        </w:rPr>
        <w:t>技术规格及要求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气体设备配套氮气系统、气动气源、吹扫氮气由承包商负责，包含在本次工做范围；</w:t>
      </w:r>
    </w:p>
    <w:p>
      <w:pPr>
        <w:spacing w:line="360" w:lineRule="auto"/>
        <w:ind w:firstLine="442" w:firstLineChars="200"/>
        <w:rPr>
          <w:rFonts w:ascii="宋体" w:hAnsi="宋体" w:eastAsia="宋体" w:cs="宋体"/>
          <w:szCs w:val="21"/>
        </w:rPr>
      </w:pPr>
      <w:r>
        <w:rPr>
          <w:rFonts w:hint="eastAsia" w:ascii="宋体" w:hAnsi="宋体" w:eastAsia="宋体" w:cs="宋体"/>
          <w:szCs w:val="21"/>
        </w:rPr>
        <w:t>本次新增气体供应设备所需所需的配电、排风、消防、空调、洁净室装修、防雷接地、土建等辅助设施的需求非本次工作范围，由机电包商负责；(由承包人协调负责完成）</w:t>
      </w:r>
    </w:p>
    <w:p>
      <w:pPr>
        <w:spacing w:line="360" w:lineRule="auto"/>
        <w:ind w:firstLine="442" w:firstLineChars="200"/>
        <w:rPr>
          <w:rFonts w:ascii="宋体" w:hAnsi="宋体" w:eastAsia="宋体" w:cs="宋体"/>
          <w:szCs w:val="21"/>
        </w:rPr>
      </w:pPr>
      <w:r>
        <w:rPr>
          <w:rFonts w:hint="eastAsia" w:ascii="宋体" w:hAnsi="宋体" w:eastAsia="宋体" w:cs="宋体"/>
          <w:szCs w:val="21"/>
        </w:rPr>
        <w:t>PECVD用燃烧桶配套GN2、CDA由承包人负责完成，其它抽风等由投标人负责协调其他专业承包单位完成；</w:t>
      </w:r>
    </w:p>
    <w:p>
      <w:pPr>
        <w:spacing w:line="360" w:lineRule="auto"/>
        <w:ind w:firstLine="442" w:firstLineChars="200"/>
        <w:rPr>
          <w:rFonts w:ascii="宋体" w:hAnsi="宋体" w:eastAsia="宋体" w:cs="宋体"/>
          <w:szCs w:val="21"/>
        </w:rPr>
      </w:pPr>
      <w:r>
        <w:rPr>
          <w:rFonts w:hint="eastAsia" w:ascii="宋体" w:hAnsi="宋体" w:eastAsia="宋体" w:cs="宋体"/>
          <w:szCs w:val="21"/>
        </w:rPr>
        <w:t xml:space="preserve">本次气体GC、GP、监控系统所有辅助的配电工作（所指配电工作包含UPS电源）非本次工作范围，由机电包商负责； </w:t>
      </w:r>
    </w:p>
    <w:bookmarkEnd w:id="188"/>
    <w:p>
      <w:pPr>
        <w:spacing w:line="360" w:lineRule="auto"/>
        <w:ind w:firstLine="442" w:firstLineChars="200"/>
        <w:rPr>
          <w:rFonts w:ascii="宋体" w:hAnsi="宋体" w:eastAsia="宋体" w:cs="宋体"/>
          <w:szCs w:val="21"/>
        </w:rPr>
      </w:pPr>
      <w:r>
        <w:rPr>
          <w:rFonts w:hint="eastAsia" w:ascii="宋体" w:hAnsi="宋体" w:eastAsia="宋体" w:cs="宋体"/>
          <w:szCs w:val="21"/>
        </w:rPr>
        <w:t>9、气体监控及侦测报警系统技术规格及要求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本项目包含综合气体泄漏侦测系统（GDS）,旨在加强对可燃或毒性气体安全使用的管理，保证作业环境中安全，人员及设备安全。</w:t>
      </w:r>
    </w:p>
    <w:p>
      <w:pPr>
        <w:spacing w:line="360" w:lineRule="auto"/>
        <w:ind w:firstLine="442" w:firstLineChars="200"/>
        <w:rPr>
          <w:rFonts w:ascii="宋体" w:hAnsi="宋体" w:eastAsia="宋体" w:cs="宋体"/>
          <w:szCs w:val="21"/>
        </w:rPr>
      </w:pPr>
      <w:r>
        <w:rPr>
          <w:rFonts w:hint="eastAsia" w:ascii="宋体" w:hAnsi="宋体" w:eastAsia="宋体" w:cs="宋体"/>
          <w:szCs w:val="21"/>
        </w:rPr>
        <w:t>9.1气体侦测系统（Gas Detection System,GDS）系统功能要求：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（1）气体泄漏侦测系统：气体侦测部分包含对所有特种气体侦测点的监测。侦测气体种类为所有易燃易爆、有毒、腐蚀性、助燃性气体。侦测范围包括特气GC、机台抽风、各区域环境侦测(根据不同 气体不同侦测器的工作范围设定具体数量)、LAU和EMO等。</w:t>
      </w:r>
    </w:p>
    <w:p>
      <w:pPr>
        <w:spacing w:line="360" w:lineRule="auto"/>
        <w:ind w:firstLine="442" w:firstLineChars="200"/>
        <w:rPr>
          <w:rFonts w:ascii="宋体" w:hAnsi="宋体" w:eastAsia="宋体" w:cs="宋体"/>
          <w:szCs w:val="21"/>
        </w:rPr>
      </w:pPr>
      <w:r>
        <w:rPr>
          <w:rFonts w:hint="eastAsia" w:ascii="宋体" w:hAnsi="宋体" w:eastAsia="宋体" w:cs="宋体"/>
          <w:szCs w:val="21"/>
        </w:rPr>
        <w:t>（2）发生泄漏时，提供各检测点的声光报警发出报警信息，同时将信号传输至集中监控系统。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（3）中控室安装远程紧急关断按钮。</w:t>
      </w:r>
    </w:p>
    <w:p>
      <w:pPr>
        <w:spacing w:line="360" w:lineRule="auto"/>
        <w:ind w:firstLine="442" w:firstLineChars="200"/>
        <w:rPr>
          <w:rFonts w:ascii="宋体" w:hAnsi="宋体" w:eastAsia="宋体" w:cs="宋体"/>
          <w:szCs w:val="21"/>
        </w:rPr>
      </w:pPr>
      <w:r>
        <w:rPr>
          <w:rFonts w:hint="eastAsia" w:ascii="宋体" w:hAnsi="宋体" w:eastAsia="宋体" w:cs="宋体"/>
          <w:szCs w:val="21"/>
        </w:rPr>
        <w:t>（4）侦测系统的设备满足以下要求：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①</w:t>
      </w:r>
      <w:r>
        <w:rPr>
          <w:rFonts w:hint="eastAsia" w:ascii="宋体" w:hAnsi="宋体" w:eastAsia="宋体" w:cs="宋体"/>
          <w:szCs w:val="21"/>
        </w:rPr>
        <w:fldChar w:fldCharType="end"/>
      </w:r>
      <w:r>
        <w:rPr>
          <w:rFonts w:hint="eastAsia" w:ascii="宋体" w:hAnsi="宋体" w:eastAsia="宋体" w:cs="宋体"/>
          <w:szCs w:val="21"/>
        </w:rPr>
        <w:t>提供两阶段式警报设定，使用电化学式侦测器。气体侦测器厂牌须为国际知名品牌，满足品牌需求表要求。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②</w:t>
      </w:r>
      <w:r>
        <w:rPr>
          <w:rFonts w:hint="eastAsia" w:ascii="宋体" w:hAnsi="宋体" w:eastAsia="宋体" w:cs="宋体"/>
          <w:szCs w:val="21"/>
        </w:rPr>
        <w:fldChar w:fldCharType="end"/>
      </w:r>
      <w:r>
        <w:rPr>
          <w:rFonts w:hint="eastAsia" w:ascii="宋体" w:hAnsi="宋体" w:eastAsia="宋体" w:cs="宋体"/>
          <w:szCs w:val="21"/>
        </w:rPr>
        <w:t>侦测系统的主要设备包括：侦测器组件、现场显示器/传讯器、抽取气管路；侦测信号连接至特气集中控制系统。</w:t>
      </w:r>
    </w:p>
    <w:p>
      <w:pPr>
        <w:spacing w:line="360" w:lineRule="auto"/>
        <w:ind w:firstLine="442" w:firstLineChars="200"/>
        <w:rPr>
          <w:rFonts w:ascii="宋体" w:hAnsi="宋体" w:eastAsia="宋体" w:cs="宋体"/>
          <w:szCs w:val="21"/>
        </w:rPr>
      </w:pPr>
      <w:r>
        <w:rPr>
          <w:rFonts w:hint="eastAsia" w:ascii="宋体" w:hAnsi="宋体" w:eastAsia="宋体" w:cs="宋体"/>
          <w:szCs w:val="21"/>
        </w:rPr>
        <w:t>（5）采用以微处理器为基础的可编程序控制器（PLC）进行数据采集和控制。</w:t>
      </w:r>
    </w:p>
    <w:p>
      <w:pPr>
        <w:spacing w:line="360" w:lineRule="auto"/>
        <w:ind w:firstLine="442" w:firstLineChars="200"/>
        <w:rPr>
          <w:rFonts w:ascii="宋体" w:hAnsi="宋体" w:eastAsia="宋体" w:cs="宋体"/>
          <w:szCs w:val="21"/>
        </w:rPr>
      </w:pPr>
      <w:r>
        <w:rPr>
          <w:rFonts w:hint="eastAsia" w:ascii="宋体" w:hAnsi="宋体" w:eastAsia="宋体" w:cs="宋体"/>
          <w:szCs w:val="21"/>
        </w:rPr>
        <w:t>（6）警报系统包括现场警笛、闪光灯、确认及复位开关。当现场有任何气体泄漏警报时，即可在图控面板上显示其相关的位置，并触发相关的现场警笛及闪光灯。</w:t>
      </w:r>
    </w:p>
    <w:p>
      <w:pPr>
        <w:spacing w:line="360" w:lineRule="auto"/>
        <w:ind w:firstLine="442" w:firstLineChars="200"/>
        <w:rPr>
          <w:rFonts w:ascii="宋体" w:hAnsi="宋体" w:eastAsia="宋体" w:cs="宋体"/>
          <w:szCs w:val="21"/>
        </w:rPr>
      </w:pPr>
      <w:r>
        <w:rPr>
          <w:rFonts w:hint="eastAsia" w:ascii="宋体" w:hAnsi="宋体" w:eastAsia="宋体" w:cs="宋体"/>
          <w:szCs w:val="21"/>
        </w:rPr>
        <w:t>（8）警报分为两种等级：气体泄露值超过设定值一级报警值，系统发出警告，LAU黄灯闪烁并蜂鸣，不停设备；气泄露值超过设定值二级报警值，系统发出警告，LAU红灯闪烁并蜂呜，启动疏散广播，切断气源，并发出相应的停机指令。警报声响指示以分区（环境与机台）动作为原则，避免全区鸣响，造成全体人员恐慌；</w:t>
      </w:r>
    </w:p>
    <w:p>
      <w:pPr>
        <w:spacing w:line="360" w:lineRule="auto"/>
        <w:ind w:firstLine="442" w:firstLineChars="200"/>
        <w:rPr>
          <w:rFonts w:ascii="宋体" w:hAnsi="宋体" w:eastAsia="宋体" w:cs="宋体"/>
          <w:szCs w:val="21"/>
        </w:rPr>
      </w:pPr>
      <w:r>
        <w:rPr>
          <w:rFonts w:hint="eastAsia" w:ascii="宋体" w:hAnsi="宋体" w:eastAsia="宋体" w:cs="宋体"/>
          <w:szCs w:val="21"/>
        </w:rPr>
        <w:t>（9）具备分级用户管理权限；</w:t>
      </w:r>
    </w:p>
    <w:p>
      <w:pPr>
        <w:spacing w:line="360" w:lineRule="auto"/>
        <w:ind w:firstLine="442" w:firstLineChars="200"/>
        <w:rPr>
          <w:rFonts w:ascii="宋体" w:hAnsi="宋体" w:eastAsia="宋体" w:cs="宋体"/>
          <w:szCs w:val="21"/>
        </w:rPr>
      </w:pPr>
      <w:r>
        <w:rPr>
          <w:rFonts w:hint="eastAsia" w:ascii="宋体" w:hAnsi="宋体" w:eastAsia="宋体" w:cs="宋体"/>
          <w:szCs w:val="21"/>
        </w:rPr>
        <w:t>（10）所有所需硬件配置都由承包商供应（包含上位监控触摸屏等）。</w:t>
      </w:r>
    </w:p>
    <w:p>
      <w:pPr>
        <w:spacing w:line="360" w:lineRule="auto"/>
        <w:ind w:firstLine="442" w:firstLineChars="200"/>
        <w:rPr>
          <w:rFonts w:ascii="宋体" w:hAnsi="宋体" w:eastAsia="宋体" w:cs="宋体"/>
          <w:szCs w:val="21"/>
        </w:rPr>
      </w:pPr>
      <w:r>
        <w:rPr>
          <w:rFonts w:hint="eastAsia" w:ascii="宋体" w:hAnsi="宋体" w:eastAsia="宋体" w:cs="宋体"/>
          <w:szCs w:val="21"/>
        </w:rPr>
        <w:t>9.2侦测器数量配置要求：（侦测器6套、塔灯2套、EMO 1套）</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6"/>
        <w:gridCol w:w="1522"/>
        <w:gridCol w:w="1524"/>
        <w:gridCol w:w="1522"/>
        <w:gridCol w:w="1524"/>
        <w:gridCol w:w="1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135" w:type="pct"/>
            <w:vMerge w:val="restart"/>
            <w:tcBorders>
              <w:tl2br w:val="nil"/>
              <w:tr2bl w:val="nil"/>
            </w:tcBorders>
            <w:shd w:val="clear" w:color="auto" w:fill="auto"/>
            <w:vAlign w:val="center"/>
          </w:tcPr>
          <w:p>
            <w:pPr>
              <w:spacing w:line="360" w:lineRule="auto"/>
              <w:jc w:val="center"/>
              <w:rPr>
                <w:rFonts w:ascii="宋体" w:hAnsi="宋体" w:eastAsia="宋体" w:cs="宋体"/>
                <w:szCs w:val="21"/>
              </w:rPr>
            </w:pPr>
            <w:r>
              <w:rPr>
                <w:rFonts w:hint="eastAsia" w:ascii="宋体" w:hAnsi="宋体" w:eastAsia="宋体" w:cs="宋体"/>
                <w:szCs w:val="21"/>
              </w:rPr>
              <w:t>气体种类</w:t>
            </w:r>
          </w:p>
        </w:tc>
        <w:tc>
          <w:tcPr>
            <w:tcW w:w="1545" w:type="pct"/>
            <w:gridSpan w:val="2"/>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设备灰区</w:t>
            </w:r>
          </w:p>
        </w:tc>
        <w:tc>
          <w:tcPr>
            <w:tcW w:w="1545" w:type="pct"/>
            <w:gridSpan w:val="2"/>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工艺区</w:t>
            </w:r>
          </w:p>
        </w:tc>
        <w:tc>
          <w:tcPr>
            <w:tcW w:w="772" w:type="pct"/>
            <w:vMerge w:val="restar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135" w:type="pct"/>
            <w:vMerge w:val="continue"/>
            <w:tcBorders>
              <w:tl2br w:val="nil"/>
              <w:tr2bl w:val="nil"/>
            </w:tcBorders>
            <w:shd w:val="clear" w:color="auto" w:fill="auto"/>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vAlign w:val="center"/>
          </w:tcPr>
          <w:p>
            <w:pPr>
              <w:spacing w:line="360" w:lineRule="auto"/>
              <w:jc w:val="center"/>
              <w:rPr>
                <w:rFonts w:ascii="宋体" w:hAnsi="宋体" w:eastAsia="宋体" w:cs="宋体"/>
                <w:szCs w:val="21"/>
              </w:rPr>
            </w:pPr>
            <w:r>
              <w:rPr>
                <w:rFonts w:hint="eastAsia" w:ascii="宋体" w:hAnsi="宋体" w:eastAsia="宋体" w:cs="宋体"/>
                <w:szCs w:val="21"/>
              </w:rPr>
              <w:t>气柜抽风</w:t>
            </w:r>
          </w:p>
        </w:tc>
        <w:tc>
          <w:tcPr>
            <w:tcW w:w="772" w:type="pct"/>
            <w:tcBorders>
              <w:tl2br w:val="nil"/>
              <w:tr2bl w:val="nil"/>
            </w:tcBorders>
            <w:shd w:val="clear" w:color="auto" w:fill="auto"/>
            <w:vAlign w:val="center"/>
          </w:tcPr>
          <w:p>
            <w:pPr>
              <w:spacing w:line="360" w:lineRule="auto"/>
              <w:jc w:val="center"/>
              <w:rPr>
                <w:rFonts w:ascii="宋体" w:hAnsi="宋体" w:eastAsia="宋体" w:cs="宋体"/>
                <w:szCs w:val="21"/>
              </w:rPr>
            </w:pPr>
            <w:r>
              <w:rPr>
                <w:rFonts w:hint="eastAsia" w:ascii="宋体" w:hAnsi="宋体" w:eastAsia="宋体" w:cs="宋体"/>
                <w:szCs w:val="21"/>
              </w:rPr>
              <w:t>环境</w:t>
            </w:r>
          </w:p>
        </w:tc>
        <w:tc>
          <w:tcPr>
            <w:tcW w:w="772" w:type="pct"/>
            <w:tcBorders>
              <w:tl2br w:val="nil"/>
              <w:tr2bl w:val="nil"/>
            </w:tcBorders>
            <w:shd w:val="clear" w:color="auto" w:fill="auto"/>
            <w:vAlign w:val="center"/>
          </w:tcPr>
          <w:p>
            <w:pPr>
              <w:spacing w:line="360" w:lineRule="auto"/>
              <w:jc w:val="center"/>
              <w:rPr>
                <w:rFonts w:ascii="宋体" w:hAnsi="宋体" w:eastAsia="宋体" w:cs="宋体"/>
                <w:szCs w:val="21"/>
              </w:rPr>
            </w:pPr>
            <w:r>
              <w:rPr>
                <w:rFonts w:hint="eastAsia" w:ascii="宋体" w:hAnsi="宋体" w:eastAsia="宋体" w:cs="宋体"/>
                <w:szCs w:val="21"/>
              </w:rPr>
              <w:t>工艺抽风</w:t>
            </w:r>
          </w:p>
        </w:tc>
        <w:tc>
          <w:tcPr>
            <w:tcW w:w="772" w:type="pct"/>
            <w:tcBorders>
              <w:tl2br w:val="nil"/>
              <w:tr2bl w:val="nil"/>
            </w:tcBorders>
            <w:shd w:val="clear" w:color="auto" w:fill="auto"/>
            <w:vAlign w:val="center"/>
          </w:tcPr>
          <w:p>
            <w:pPr>
              <w:spacing w:line="360" w:lineRule="auto"/>
              <w:jc w:val="center"/>
              <w:rPr>
                <w:rFonts w:ascii="宋体" w:hAnsi="宋体" w:eastAsia="宋体" w:cs="宋体"/>
                <w:szCs w:val="21"/>
              </w:rPr>
            </w:pPr>
            <w:r>
              <w:rPr>
                <w:rFonts w:hint="eastAsia" w:ascii="宋体" w:hAnsi="宋体" w:eastAsia="宋体" w:cs="宋体"/>
                <w:szCs w:val="21"/>
              </w:rPr>
              <w:t>环境</w:t>
            </w:r>
          </w:p>
        </w:tc>
        <w:tc>
          <w:tcPr>
            <w:tcW w:w="772" w:type="pct"/>
            <w:vMerge w:val="continue"/>
            <w:tcBorders>
              <w:tl2br w:val="nil"/>
              <w:tr2bl w:val="nil"/>
            </w:tcBorders>
            <w:shd w:val="clear" w:color="auto" w:fill="auto"/>
            <w:vAlign w:val="center"/>
          </w:tcPr>
          <w:p>
            <w:pPr>
              <w:spacing w:line="360" w:lineRule="auto"/>
              <w:jc w:val="center"/>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135"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1号气体</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135"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2号气体</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135"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3号气体</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135"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Total 总计</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135" w:type="pct"/>
            <w:tcBorders>
              <w:tl2br w:val="nil"/>
              <w:tr2bl w:val="nil"/>
            </w:tcBorders>
            <w:shd w:val="clear" w:color="auto" w:fill="auto"/>
            <w:vAlign w:val="center"/>
          </w:tcPr>
          <w:p>
            <w:pPr>
              <w:spacing w:line="360" w:lineRule="auto"/>
              <w:jc w:val="center"/>
              <w:rPr>
                <w:rFonts w:ascii="宋体" w:hAnsi="宋体" w:eastAsia="宋体" w:cs="宋体"/>
                <w:szCs w:val="21"/>
              </w:rPr>
            </w:pPr>
            <w:r>
              <w:rPr>
                <w:rFonts w:hint="eastAsia" w:ascii="宋体" w:hAnsi="宋体" w:eastAsia="宋体" w:cs="宋体"/>
                <w:szCs w:val="21"/>
              </w:rPr>
              <w:t>LAU</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135" w:type="pct"/>
            <w:tcBorders>
              <w:tl2br w:val="nil"/>
              <w:tr2bl w:val="nil"/>
            </w:tcBorders>
            <w:shd w:val="clear" w:color="auto" w:fill="auto"/>
            <w:vAlign w:val="center"/>
          </w:tcPr>
          <w:p>
            <w:pPr>
              <w:spacing w:line="360" w:lineRule="auto"/>
              <w:jc w:val="center"/>
              <w:rPr>
                <w:rFonts w:ascii="宋体" w:hAnsi="宋体" w:eastAsia="宋体" w:cs="宋体"/>
                <w:szCs w:val="21"/>
              </w:rPr>
            </w:pPr>
            <w:r>
              <w:rPr>
                <w:rFonts w:hint="eastAsia" w:ascii="宋体" w:hAnsi="宋体" w:eastAsia="宋体" w:cs="宋体"/>
                <w:szCs w:val="21"/>
              </w:rPr>
              <w:t>急停按钮 EMO</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p>
        </w:tc>
        <w:tc>
          <w:tcPr>
            <w:tcW w:w="772" w:type="pct"/>
            <w:tcBorders>
              <w:tl2br w:val="nil"/>
              <w:tr2bl w:val="nil"/>
            </w:tcBorders>
            <w:shd w:val="clear" w:color="auto" w:fill="auto"/>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r>
    </w:tbl>
    <w:p>
      <w:pPr>
        <w:spacing w:line="360" w:lineRule="auto"/>
        <w:ind w:firstLine="442" w:firstLineChars="200"/>
        <w:rPr>
          <w:rFonts w:ascii="宋体" w:hAnsi="宋体" w:eastAsia="宋体" w:cs="宋体"/>
          <w:b/>
          <w:bCs/>
          <w:szCs w:val="21"/>
        </w:rPr>
      </w:pPr>
      <w:r>
        <w:rPr>
          <w:rFonts w:hint="eastAsia" w:ascii="宋体" w:hAnsi="宋体" w:eastAsia="宋体" w:cs="宋体"/>
          <w:b/>
          <w:bCs/>
          <w:szCs w:val="21"/>
        </w:rPr>
        <w:t>注：以上为侦测器数量配置的最低要求，各投标厂商配置数量不能低于以上配置要求。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10、设备清单投标人设备清单必须满足发标人设备清单的最低要求。如该清单设备不能满足发标人技术要求，投标人需在报价文件中自行增列。</w:t>
      </w:r>
    </w:p>
    <w:tbl>
      <w:tblPr>
        <w:tblStyle w:val="18"/>
        <w:tblW w:w="4998" w:type="pct"/>
        <w:jc w:val="center"/>
        <w:tblLayout w:type="autofit"/>
        <w:tblCellMar>
          <w:top w:w="0" w:type="dxa"/>
          <w:left w:w="108" w:type="dxa"/>
          <w:bottom w:w="0" w:type="dxa"/>
          <w:right w:w="108" w:type="dxa"/>
        </w:tblCellMar>
      </w:tblPr>
      <w:tblGrid>
        <w:gridCol w:w="847"/>
        <w:gridCol w:w="3207"/>
        <w:gridCol w:w="3582"/>
        <w:gridCol w:w="1104"/>
        <w:gridCol w:w="1110"/>
      </w:tblGrid>
      <w:tr>
        <w:tblPrEx>
          <w:tblCellMar>
            <w:top w:w="0" w:type="dxa"/>
            <w:left w:w="108" w:type="dxa"/>
            <w:bottom w:w="0" w:type="dxa"/>
            <w:right w:w="108" w:type="dxa"/>
          </w:tblCellMar>
        </w:tblPrEx>
        <w:trPr>
          <w:trHeight w:val="674" w:hRule="atLeast"/>
          <w:jc w:val="center"/>
        </w:trPr>
        <w:tc>
          <w:tcPr>
            <w:tcW w:w="43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项目</w:t>
            </w:r>
          </w:p>
        </w:tc>
        <w:tc>
          <w:tcPr>
            <w:tcW w:w="1627" w:type="pct"/>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设备</w:t>
            </w:r>
          </w:p>
        </w:tc>
        <w:tc>
          <w:tcPr>
            <w:tcW w:w="1817" w:type="pct"/>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规格</w:t>
            </w:r>
          </w:p>
        </w:tc>
        <w:tc>
          <w:tcPr>
            <w:tcW w:w="560" w:type="pct"/>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数量</w:t>
            </w:r>
          </w:p>
        </w:tc>
        <w:tc>
          <w:tcPr>
            <w:tcW w:w="563" w:type="pct"/>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单位</w:t>
            </w:r>
          </w:p>
        </w:tc>
      </w:tr>
      <w:tr>
        <w:tblPrEx>
          <w:tblCellMar>
            <w:top w:w="0" w:type="dxa"/>
            <w:left w:w="108" w:type="dxa"/>
            <w:bottom w:w="0" w:type="dxa"/>
            <w:right w:w="108" w:type="dxa"/>
          </w:tblCellMar>
        </w:tblPrEx>
        <w:trPr>
          <w:trHeight w:val="674" w:hRule="atLeast"/>
          <w:jc w:val="center"/>
        </w:trPr>
        <w:tc>
          <w:tcPr>
            <w:tcW w:w="430" w:type="pct"/>
            <w:tcBorders>
              <w:top w:val="nil"/>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162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1号气体+3号气体 GC</w:t>
            </w:r>
          </w:p>
        </w:tc>
        <w:tc>
          <w:tcPr>
            <w:tcW w:w="181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Semi Auto Type</w:t>
            </w:r>
            <w:r>
              <w:rPr>
                <w:rFonts w:hint="eastAsia" w:ascii="宋体" w:hAnsi="宋体" w:eastAsia="宋体" w:cs="宋体"/>
                <w:szCs w:val="21"/>
              </w:rPr>
              <w:br w:type="textWrapping"/>
            </w:r>
            <w:r>
              <w:rPr>
                <w:rFonts w:hint="eastAsia" w:ascii="宋体" w:hAnsi="宋体" w:eastAsia="宋体" w:cs="宋体"/>
                <w:szCs w:val="21"/>
              </w:rPr>
              <w:t>1+1 Cylinder</w:t>
            </w:r>
          </w:p>
        </w:tc>
        <w:tc>
          <w:tcPr>
            <w:tcW w:w="560"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563"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Set</w:t>
            </w:r>
          </w:p>
        </w:tc>
      </w:tr>
      <w:tr>
        <w:tblPrEx>
          <w:tblCellMar>
            <w:top w:w="0" w:type="dxa"/>
            <w:left w:w="108" w:type="dxa"/>
            <w:bottom w:w="0" w:type="dxa"/>
            <w:right w:w="108" w:type="dxa"/>
          </w:tblCellMar>
        </w:tblPrEx>
        <w:trPr>
          <w:trHeight w:val="674" w:hRule="atLeast"/>
          <w:jc w:val="center"/>
        </w:trPr>
        <w:tc>
          <w:tcPr>
            <w:tcW w:w="430" w:type="pct"/>
            <w:tcBorders>
              <w:top w:val="nil"/>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rPr>
            </w:pPr>
            <w:r>
              <w:rPr>
                <w:rFonts w:hint="eastAsia" w:ascii="宋体" w:hAnsi="宋体" w:eastAsia="宋体" w:cs="宋体"/>
                <w:szCs w:val="21"/>
              </w:rPr>
              <w:t>2</w:t>
            </w:r>
          </w:p>
        </w:tc>
        <w:tc>
          <w:tcPr>
            <w:tcW w:w="162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2号气体+PN2 GC</w:t>
            </w:r>
          </w:p>
        </w:tc>
        <w:tc>
          <w:tcPr>
            <w:tcW w:w="181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Semi Auto Type</w:t>
            </w:r>
            <w:r>
              <w:rPr>
                <w:rFonts w:hint="eastAsia" w:ascii="宋体" w:hAnsi="宋体" w:eastAsia="宋体" w:cs="宋体"/>
                <w:szCs w:val="21"/>
              </w:rPr>
              <w:br w:type="textWrapping"/>
            </w:r>
            <w:r>
              <w:rPr>
                <w:rFonts w:hint="eastAsia" w:ascii="宋体" w:hAnsi="宋体" w:eastAsia="宋体" w:cs="宋体"/>
                <w:szCs w:val="21"/>
              </w:rPr>
              <w:t>1+1 Cylinder</w:t>
            </w:r>
          </w:p>
        </w:tc>
        <w:tc>
          <w:tcPr>
            <w:tcW w:w="560"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563"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Set</w:t>
            </w:r>
          </w:p>
        </w:tc>
      </w:tr>
      <w:tr>
        <w:tblPrEx>
          <w:tblCellMar>
            <w:top w:w="0" w:type="dxa"/>
            <w:left w:w="108" w:type="dxa"/>
            <w:bottom w:w="0" w:type="dxa"/>
            <w:right w:w="108" w:type="dxa"/>
          </w:tblCellMar>
        </w:tblPrEx>
        <w:trPr>
          <w:trHeight w:val="674" w:hRule="atLeast"/>
          <w:jc w:val="center"/>
        </w:trPr>
        <w:tc>
          <w:tcPr>
            <w:tcW w:w="430" w:type="pct"/>
            <w:tcBorders>
              <w:top w:val="nil"/>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rPr>
            </w:pPr>
            <w:r>
              <w:rPr>
                <w:rFonts w:hint="eastAsia" w:ascii="宋体" w:hAnsi="宋体" w:eastAsia="宋体" w:cs="宋体"/>
                <w:szCs w:val="21"/>
              </w:rPr>
              <w:t>3</w:t>
            </w:r>
          </w:p>
        </w:tc>
        <w:tc>
          <w:tcPr>
            <w:tcW w:w="162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Ar GP</w:t>
            </w:r>
          </w:p>
        </w:tc>
        <w:tc>
          <w:tcPr>
            <w:tcW w:w="181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Manual Type（压力自动切换）</w:t>
            </w:r>
            <w:r>
              <w:rPr>
                <w:rFonts w:hint="eastAsia" w:ascii="宋体" w:hAnsi="宋体" w:eastAsia="宋体" w:cs="宋体"/>
                <w:szCs w:val="21"/>
              </w:rPr>
              <w:br w:type="textWrapping"/>
            </w:r>
            <w:r>
              <w:rPr>
                <w:rFonts w:hint="eastAsia" w:ascii="宋体" w:hAnsi="宋体" w:eastAsia="宋体" w:cs="宋体"/>
                <w:szCs w:val="21"/>
              </w:rPr>
              <w:t>1+1 Cylinder</w:t>
            </w:r>
          </w:p>
        </w:tc>
        <w:tc>
          <w:tcPr>
            <w:tcW w:w="560"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563"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Set</w:t>
            </w:r>
          </w:p>
        </w:tc>
      </w:tr>
      <w:tr>
        <w:tblPrEx>
          <w:tblCellMar>
            <w:top w:w="0" w:type="dxa"/>
            <w:left w:w="108" w:type="dxa"/>
            <w:bottom w:w="0" w:type="dxa"/>
            <w:right w:w="108" w:type="dxa"/>
          </w:tblCellMar>
        </w:tblPrEx>
        <w:trPr>
          <w:trHeight w:val="674" w:hRule="atLeast"/>
          <w:jc w:val="center"/>
        </w:trPr>
        <w:tc>
          <w:tcPr>
            <w:tcW w:w="430" w:type="pct"/>
            <w:tcBorders>
              <w:top w:val="nil"/>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rPr>
            </w:pPr>
            <w:r>
              <w:rPr>
                <w:rFonts w:hint="eastAsia" w:ascii="宋体" w:hAnsi="宋体" w:eastAsia="宋体" w:cs="宋体"/>
                <w:szCs w:val="21"/>
              </w:rPr>
              <w:t>4</w:t>
            </w:r>
          </w:p>
        </w:tc>
        <w:tc>
          <w:tcPr>
            <w:tcW w:w="162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O2 GP</w:t>
            </w:r>
          </w:p>
        </w:tc>
        <w:tc>
          <w:tcPr>
            <w:tcW w:w="181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Manual Type（压力自动切换）</w:t>
            </w:r>
            <w:r>
              <w:rPr>
                <w:rFonts w:hint="eastAsia" w:ascii="宋体" w:hAnsi="宋体" w:eastAsia="宋体" w:cs="宋体"/>
                <w:szCs w:val="21"/>
              </w:rPr>
              <w:br w:type="textWrapping"/>
            </w:r>
            <w:r>
              <w:rPr>
                <w:rFonts w:hint="eastAsia" w:ascii="宋体" w:hAnsi="宋体" w:eastAsia="宋体" w:cs="宋体"/>
                <w:szCs w:val="21"/>
              </w:rPr>
              <w:t>1+1 Cylinder</w:t>
            </w:r>
          </w:p>
        </w:tc>
        <w:tc>
          <w:tcPr>
            <w:tcW w:w="560"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563"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Set</w:t>
            </w:r>
          </w:p>
        </w:tc>
      </w:tr>
      <w:tr>
        <w:tblPrEx>
          <w:tblCellMar>
            <w:top w:w="0" w:type="dxa"/>
            <w:left w:w="108" w:type="dxa"/>
            <w:bottom w:w="0" w:type="dxa"/>
            <w:right w:w="108" w:type="dxa"/>
          </w:tblCellMar>
        </w:tblPrEx>
        <w:trPr>
          <w:trHeight w:val="674" w:hRule="atLeast"/>
          <w:jc w:val="center"/>
        </w:trPr>
        <w:tc>
          <w:tcPr>
            <w:tcW w:w="430" w:type="pct"/>
            <w:tcBorders>
              <w:top w:val="nil"/>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rPr>
            </w:pPr>
            <w:r>
              <w:rPr>
                <w:rFonts w:hint="eastAsia" w:ascii="宋体" w:hAnsi="宋体" w:eastAsia="宋体" w:cs="宋体"/>
                <w:szCs w:val="21"/>
              </w:rPr>
              <w:t>5</w:t>
            </w:r>
          </w:p>
        </w:tc>
        <w:tc>
          <w:tcPr>
            <w:tcW w:w="162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He GP</w:t>
            </w:r>
          </w:p>
        </w:tc>
        <w:tc>
          <w:tcPr>
            <w:tcW w:w="181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Manual Type</w:t>
            </w:r>
            <w:r>
              <w:rPr>
                <w:rFonts w:hint="eastAsia" w:ascii="宋体" w:hAnsi="宋体" w:eastAsia="宋体" w:cs="宋体"/>
                <w:szCs w:val="21"/>
              </w:rPr>
              <w:br w:type="textWrapping"/>
            </w:r>
            <w:r>
              <w:rPr>
                <w:rFonts w:hint="eastAsia" w:ascii="宋体" w:hAnsi="宋体" w:eastAsia="宋体" w:cs="宋体"/>
                <w:szCs w:val="21"/>
              </w:rPr>
              <w:t>1 Cylinder</w:t>
            </w:r>
          </w:p>
        </w:tc>
        <w:tc>
          <w:tcPr>
            <w:tcW w:w="560"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563"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Set</w:t>
            </w:r>
          </w:p>
        </w:tc>
      </w:tr>
      <w:tr>
        <w:tblPrEx>
          <w:tblCellMar>
            <w:top w:w="0" w:type="dxa"/>
            <w:left w:w="108" w:type="dxa"/>
            <w:bottom w:w="0" w:type="dxa"/>
            <w:right w:w="108" w:type="dxa"/>
          </w:tblCellMar>
        </w:tblPrEx>
        <w:trPr>
          <w:trHeight w:val="674" w:hRule="atLeast"/>
          <w:jc w:val="center"/>
        </w:trPr>
        <w:tc>
          <w:tcPr>
            <w:tcW w:w="430" w:type="pct"/>
            <w:tcBorders>
              <w:top w:val="nil"/>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rPr>
            </w:pPr>
            <w:r>
              <w:rPr>
                <w:rFonts w:hint="eastAsia" w:ascii="宋体" w:hAnsi="宋体" w:eastAsia="宋体" w:cs="宋体"/>
                <w:szCs w:val="21"/>
              </w:rPr>
              <w:t>6</w:t>
            </w:r>
          </w:p>
        </w:tc>
        <w:tc>
          <w:tcPr>
            <w:tcW w:w="162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CF4 GP</w:t>
            </w:r>
          </w:p>
        </w:tc>
        <w:tc>
          <w:tcPr>
            <w:tcW w:w="181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Manual Type</w:t>
            </w:r>
            <w:r>
              <w:rPr>
                <w:rFonts w:hint="eastAsia" w:ascii="宋体" w:hAnsi="宋体" w:eastAsia="宋体" w:cs="宋体"/>
                <w:szCs w:val="21"/>
              </w:rPr>
              <w:br w:type="textWrapping"/>
            </w:r>
            <w:r>
              <w:rPr>
                <w:rFonts w:hint="eastAsia" w:ascii="宋体" w:hAnsi="宋体" w:eastAsia="宋体" w:cs="宋体"/>
                <w:szCs w:val="21"/>
              </w:rPr>
              <w:t>1 Cylinder</w:t>
            </w:r>
          </w:p>
        </w:tc>
        <w:tc>
          <w:tcPr>
            <w:tcW w:w="560"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563"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Set</w:t>
            </w:r>
          </w:p>
        </w:tc>
      </w:tr>
      <w:tr>
        <w:tblPrEx>
          <w:tblCellMar>
            <w:top w:w="0" w:type="dxa"/>
            <w:left w:w="108" w:type="dxa"/>
            <w:bottom w:w="0" w:type="dxa"/>
            <w:right w:w="108" w:type="dxa"/>
          </w:tblCellMar>
        </w:tblPrEx>
        <w:trPr>
          <w:trHeight w:val="674" w:hRule="atLeast"/>
          <w:jc w:val="center"/>
        </w:trPr>
        <w:tc>
          <w:tcPr>
            <w:tcW w:w="430" w:type="pct"/>
            <w:tcBorders>
              <w:top w:val="nil"/>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rPr>
            </w:pPr>
            <w:r>
              <w:rPr>
                <w:rFonts w:hint="eastAsia" w:ascii="宋体" w:hAnsi="宋体" w:eastAsia="宋体" w:cs="宋体"/>
                <w:szCs w:val="21"/>
              </w:rPr>
              <w:t>7</w:t>
            </w:r>
          </w:p>
        </w:tc>
        <w:tc>
          <w:tcPr>
            <w:tcW w:w="162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SF6 GP</w:t>
            </w:r>
          </w:p>
        </w:tc>
        <w:tc>
          <w:tcPr>
            <w:tcW w:w="181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Manual Type</w:t>
            </w:r>
            <w:r>
              <w:rPr>
                <w:rFonts w:hint="eastAsia" w:ascii="宋体" w:hAnsi="宋体" w:eastAsia="宋体" w:cs="宋体"/>
                <w:szCs w:val="21"/>
              </w:rPr>
              <w:br w:type="textWrapping"/>
            </w:r>
            <w:r>
              <w:rPr>
                <w:rFonts w:hint="eastAsia" w:ascii="宋体" w:hAnsi="宋体" w:eastAsia="宋体" w:cs="宋体"/>
                <w:szCs w:val="21"/>
              </w:rPr>
              <w:t>1 Cylinder</w:t>
            </w:r>
          </w:p>
        </w:tc>
        <w:tc>
          <w:tcPr>
            <w:tcW w:w="560"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563"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Set</w:t>
            </w:r>
          </w:p>
        </w:tc>
      </w:tr>
      <w:tr>
        <w:tblPrEx>
          <w:tblCellMar>
            <w:top w:w="0" w:type="dxa"/>
            <w:left w:w="108" w:type="dxa"/>
            <w:bottom w:w="0" w:type="dxa"/>
            <w:right w:w="108" w:type="dxa"/>
          </w:tblCellMar>
        </w:tblPrEx>
        <w:trPr>
          <w:trHeight w:val="674" w:hRule="atLeast"/>
          <w:jc w:val="center"/>
        </w:trPr>
        <w:tc>
          <w:tcPr>
            <w:tcW w:w="430" w:type="pct"/>
            <w:tcBorders>
              <w:top w:val="nil"/>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rPr>
            </w:pPr>
            <w:r>
              <w:rPr>
                <w:rFonts w:hint="eastAsia" w:ascii="宋体" w:hAnsi="宋体" w:eastAsia="宋体" w:cs="宋体"/>
                <w:szCs w:val="21"/>
              </w:rPr>
              <w:t>8</w:t>
            </w:r>
          </w:p>
        </w:tc>
        <w:tc>
          <w:tcPr>
            <w:tcW w:w="162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C4F8 GP</w:t>
            </w:r>
          </w:p>
        </w:tc>
        <w:tc>
          <w:tcPr>
            <w:tcW w:w="181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Manual Type</w:t>
            </w:r>
            <w:r>
              <w:rPr>
                <w:rFonts w:hint="eastAsia" w:ascii="宋体" w:hAnsi="宋体" w:eastAsia="宋体" w:cs="宋体"/>
                <w:szCs w:val="21"/>
              </w:rPr>
              <w:br w:type="textWrapping"/>
            </w:r>
            <w:r>
              <w:rPr>
                <w:rFonts w:hint="eastAsia" w:ascii="宋体" w:hAnsi="宋体" w:eastAsia="宋体" w:cs="宋体"/>
                <w:szCs w:val="21"/>
              </w:rPr>
              <w:t>1 Cylinder</w:t>
            </w:r>
          </w:p>
        </w:tc>
        <w:tc>
          <w:tcPr>
            <w:tcW w:w="560"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563"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Set</w:t>
            </w:r>
          </w:p>
        </w:tc>
      </w:tr>
      <w:tr>
        <w:tblPrEx>
          <w:tblCellMar>
            <w:top w:w="0" w:type="dxa"/>
            <w:left w:w="108" w:type="dxa"/>
            <w:bottom w:w="0" w:type="dxa"/>
            <w:right w:w="108" w:type="dxa"/>
          </w:tblCellMar>
        </w:tblPrEx>
        <w:trPr>
          <w:trHeight w:val="674" w:hRule="atLeast"/>
          <w:jc w:val="center"/>
        </w:trPr>
        <w:tc>
          <w:tcPr>
            <w:tcW w:w="430" w:type="pct"/>
            <w:tcBorders>
              <w:top w:val="nil"/>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rPr>
            </w:pPr>
            <w:r>
              <w:rPr>
                <w:rFonts w:hint="eastAsia" w:ascii="宋体" w:hAnsi="宋体" w:eastAsia="宋体" w:cs="宋体"/>
                <w:szCs w:val="21"/>
              </w:rPr>
              <w:t>9</w:t>
            </w:r>
          </w:p>
        </w:tc>
        <w:tc>
          <w:tcPr>
            <w:tcW w:w="162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N2O GP</w:t>
            </w:r>
          </w:p>
        </w:tc>
        <w:tc>
          <w:tcPr>
            <w:tcW w:w="181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Manual Type</w:t>
            </w:r>
            <w:r>
              <w:rPr>
                <w:rFonts w:hint="eastAsia" w:ascii="宋体" w:hAnsi="宋体" w:eastAsia="宋体" w:cs="宋体"/>
                <w:szCs w:val="21"/>
              </w:rPr>
              <w:br w:type="textWrapping"/>
            </w:r>
            <w:r>
              <w:rPr>
                <w:rFonts w:hint="eastAsia" w:ascii="宋体" w:hAnsi="宋体" w:eastAsia="宋体" w:cs="宋体"/>
                <w:szCs w:val="21"/>
              </w:rPr>
              <w:t>1 Cylinder</w:t>
            </w:r>
          </w:p>
        </w:tc>
        <w:tc>
          <w:tcPr>
            <w:tcW w:w="560"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563"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Set</w:t>
            </w:r>
          </w:p>
        </w:tc>
      </w:tr>
      <w:tr>
        <w:tblPrEx>
          <w:tblCellMar>
            <w:top w:w="0" w:type="dxa"/>
            <w:left w:w="108" w:type="dxa"/>
            <w:bottom w:w="0" w:type="dxa"/>
            <w:right w:w="108" w:type="dxa"/>
          </w:tblCellMar>
        </w:tblPrEx>
        <w:trPr>
          <w:trHeight w:val="674" w:hRule="atLeast"/>
          <w:jc w:val="center"/>
        </w:trPr>
        <w:tc>
          <w:tcPr>
            <w:tcW w:w="430" w:type="pct"/>
            <w:tcBorders>
              <w:top w:val="nil"/>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10</w:t>
            </w:r>
          </w:p>
        </w:tc>
        <w:tc>
          <w:tcPr>
            <w:tcW w:w="162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H/LPN2 GP</w:t>
            </w:r>
          </w:p>
        </w:tc>
        <w:tc>
          <w:tcPr>
            <w:tcW w:w="181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Manual Type</w:t>
            </w:r>
            <w:r>
              <w:rPr>
                <w:rFonts w:hint="eastAsia" w:ascii="宋体" w:hAnsi="宋体" w:eastAsia="宋体" w:cs="宋体"/>
                <w:szCs w:val="21"/>
              </w:rPr>
              <w:br w:type="textWrapping"/>
            </w:r>
            <w:r>
              <w:rPr>
                <w:rFonts w:hint="eastAsia" w:ascii="宋体" w:hAnsi="宋体" w:eastAsia="宋体" w:cs="宋体"/>
                <w:szCs w:val="21"/>
              </w:rPr>
              <w:t>1Cylinder</w:t>
            </w:r>
          </w:p>
        </w:tc>
        <w:tc>
          <w:tcPr>
            <w:tcW w:w="560"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563"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Set</w:t>
            </w:r>
          </w:p>
        </w:tc>
      </w:tr>
      <w:tr>
        <w:tblPrEx>
          <w:tblCellMar>
            <w:top w:w="0" w:type="dxa"/>
            <w:left w:w="108" w:type="dxa"/>
            <w:bottom w:w="0" w:type="dxa"/>
            <w:right w:w="108" w:type="dxa"/>
          </w:tblCellMar>
        </w:tblPrEx>
        <w:trPr>
          <w:trHeight w:val="674" w:hRule="atLeast"/>
          <w:jc w:val="center"/>
        </w:trPr>
        <w:tc>
          <w:tcPr>
            <w:tcW w:w="430" w:type="pct"/>
            <w:tcBorders>
              <w:top w:val="nil"/>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11</w:t>
            </w:r>
          </w:p>
        </w:tc>
        <w:tc>
          <w:tcPr>
            <w:tcW w:w="162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GN2 GP</w:t>
            </w:r>
          </w:p>
        </w:tc>
        <w:tc>
          <w:tcPr>
            <w:tcW w:w="181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Manual Type（压力自动切换）</w:t>
            </w:r>
            <w:r>
              <w:rPr>
                <w:rFonts w:hint="eastAsia" w:ascii="宋体" w:hAnsi="宋体" w:eastAsia="宋体" w:cs="宋体"/>
                <w:szCs w:val="21"/>
              </w:rPr>
              <w:br w:type="textWrapping"/>
            </w:r>
            <w:r>
              <w:rPr>
                <w:rFonts w:hint="eastAsia" w:ascii="宋体" w:hAnsi="宋体" w:eastAsia="宋体" w:cs="宋体"/>
                <w:szCs w:val="21"/>
              </w:rPr>
              <w:t>3+3杜瓦</w:t>
            </w:r>
          </w:p>
        </w:tc>
        <w:tc>
          <w:tcPr>
            <w:tcW w:w="560"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563"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Set</w:t>
            </w:r>
          </w:p>
        </w:tc>
      </w:tr>
      <w:tr>
        <w:tblPrEx>
          <w:tblCellMar>
            <w:top w:w="0" w:type="dxa"/>
            <w:left w:w="108" w:type="dxa"/>
            <w:bottom w:w="0" w:type="dxa"/>
            <w:right w:w="108" w:type="dxa"/>
          </w:tblCellMar>
        </w:tblPrEx>
        <w:trPr>
          <w:trHeight w:val="674" w:hRule="atLeast"/>
          <w:jc w:val="center"/>
        </w:trPr>
        <w:tc>
          <w:tcPr>
            <w:tcW w:w="430" w:type="pct"/>
            <w:tcBorders>
              <w:top w:val="nil"/>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rPr>
            </w:pPr>
            <w:r>
              <w:rPr>
                <w:rFonts w:hint="eastAsia" w:ascii="宋体" w:hAnsi="宋体" w:eastAsia="宋体" w:cs="宋体"/>
                <w:szCs w:val="21"/>
              </w:rPr>
              <w:t>12</w:t>
            </w:r>
          </w:p>
        </w:tc>
        <w:tc>
          <w:tcPr>
            <w:tcW w:w="162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PECVD用燃烧桶</w:t>
            </w:r>
          </w:p>
        </w:tc>
        <w:tc>
          <w:tcPr>
            <w:tcW w:w="181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使用抽风量5CMM(EXH);</w:t>
            </w:r>
            <w:r>
              <w:rPr>
                <w:rFonts w:hint="eastAsia" w:ascii="宋体" w:hAnsi="宋体" w:eastAsia="宋体" w:cs="宋体"/>
                <w:szCs w:val="21"/>
              </w:rPr>
              <w:br w:type="textWrapping"/>
            </w:r>
            <w:r>
              <w:rPr>
                <w:rFonts w:hint="eastAsia" w:ascii="宋体" w:hAnsi="宋体" w:eastAsia="宋体" w:cs="宋体"/>
                <w:szCs w:val="21"/>
              </w:rPr>
              <w:t>1号气体处理量1slpm</w:t>
            </w:r>
          </w:p>
        </w:tc>
        <w:tc>
          <w:tcPr>
            <w:tcW w:w="560"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563"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Set</w:t>
            </w:r>
          </w:p>
        </w:tc>
      </w:tr>
    </w:tbl>
    <w:p>
      <w:pPr>
        <w:pStyle w:val="4"/>
      </w:pPr>
      <w:r>
        <w:rPr>
          <w:rFonts w:hint="eastAsia"/>
        </w:rPr>
        <w:t>七、系统测试要求：</w:t>
      </w:r>
    </w:p>
    <w:p>
      <w:pPr>
        <w:spacing w:line="360" w:lineRule="auto"/>
        <w:ind w:firstLine="442" w:firstLineChars="200"/>
        <w:rPr>
          <w:rFonts w:ascii="宋体" w:hAnsi="宋体" w:eastAsia="宋体" w:cs="宋体"/>
          <w:szCs w:val="21"/>
        </w:rPr>
      </w:pPr>
      <w:r>
        <w:rPr>
          <w:rFonts w:hint="eastAsia" w:ascii="宋体" w:hAnsi="宋体" w:eastAsia="宋体" w:cs="宋体"/>
          <w:szCs w:val="21"/>
        </w:rPr>
        <w:t>测试检验标准如下表所列：</w:t>
      </w:r>
    </w:p>
    <w:p>
      <w:pPr>
        <w:spacing w:line="360" w:lineRule="auto"/>
        <w:ind w:firstLine="442" w:firstLineChars="200"/>
        <w:rPr>
          <w:rFonts w:ascii="宋体" w:hAnsi="宋体" w:eastAsia="宋体" w:cs="宋体"/>
          <w:szCs w:val="21"/>
        </w:rPr>
      </w:pPr>
      <w:r>
        <w:rPr>
          <w:rFonts w:hint="eastAsia" w:ascii="宋体" w:hAnsi="宋体" w:eastAsia="宋体" w:cs="宋体"/>
          <w:szCs w:val="21"/>
        </w:rPr>
        <w:t>1、特气输送设备的具体指标如下表所列：</w:t>
      </w:r>
    </w:p>
    <w:tbl>
      <w:tblPr>
        <w:tblStyle w:val="18"/>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5721"/>
        <w:gridCol w:w="413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9" w:hRule="atLeast"/>
        </w:trPr>
        <w:tc>
          <w:tcPr>
            <w:tcW w:w="2903" w:type="pct"/>
            <w:vAlign w:val="center"/>
          </w:tcPr>
          <w:p>
            <w:pPr>
              <w:spacing w:line="360" w:lineRule="auto"/>
              <w:jc w:val="center"/>
              <w:rPr>
                <w:rFonts w:ascii="宋体" w:hAnsi="宋体" w:eastAsia="宋体" w:cs="宋体"/>
                <w:szCs w:val="21"/>
              </w:rPr>
            </w:pPr>
            <w:r>
              <w:rPr>
                <w:rFonts w:hint="eastAsia" w:ascii="宋体" w:hAnsi="宋体" w:eastAsia="宋体" w:cs="宋体"/>
                <w:szCs w:val="21"/>
              </w:rPr>
              <w:t>项目</w:t>
            </w:r>
          </w:p>
        </w:tc>
        <w:tc>
          <w:tcPr>
            <w:tcW w:w="2096" w:type="pct"/>
            <w:vAlign w:val="center"/>
          </w:tcPr>
          <w:p>
            <w:pPr>
              <w:spacing w:line="360" w:lineRule="auto"/>
              <w:jc w:val="center"/>
              <w:rPr>
                <w:rFonts w:ascii="宋体" w:hAnsi="宋体" w:eastAsia="宋体" w:cs="宋体"/>
                <w:szCs w:val="21"/>
              </w:rPr>
            </w:pPr>
            <w:r>
              <w:rPr>
                <w:rFonts w:hint="eastAsia" w:ascii="宋体" w:hAnsi="宋体" w:eastAsia="宋体" w:cs="宋体"/>
                <w:szCs w:val="21"/>
              </w:rPr>
              <w:t>指标参数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5" w:hRule="atLeast"/>
        </w:trPr>
        <w:tc>
          <w:tcPr>
            <w:tcW w:w="2903" w:type="pct"/>
            <w:vAlign w:val="center"/>
          </w:tcPr>
          <w:p>
            <w:pPr>
              <w:spacing w:line="360" w:lineRule="auto"/>
              <w:jc w:val="center"/>
              <w:rPr>
                <w:rFonts w:ascii="宋体" w:hAnsi="宋体" w:eastAsia="宋体" w:cs="宋体"/>
                <w:szCs w:val="21"/>
              </w:rPr>
            </w:pPr>
            <w:r>
              <w:rPr>
                <w:rFonts w:hint="eastAsia" w:ascii="宋体" w:hAnsi="宋体" w:eastAsia="宋体" w:cs="宋体"/>
                <w:szCs w:val="21"/>
              </w:rPr>
              <w:t>压强测试 （24小时内无压降）</w:t>
            </w:r>
          </w:p>
        </w:tc>
        <w:tc>
          <w:tcPr>
            <w:tcW w:w="2096" w:type="pct"/>
            <w:vAlign w:val="center"/>
          </w:tcPr>
          <w:p>
            <w:pPr>
              <w:spacing w:line="360" w:lineRule="auto"/>
              <w:jc w:val="center"/>
              <w:rPr>
                <w:rFonts w:ascii="宋体" w:hAnsi="宋体" w:eastAsia="宋体" w:cs="宋体"/>
                <w:szCs w:val="21"/>
              </w:rPr>
            </w:pPr>
            <w:r>
              <w:rPr>
                <w:rFonts w:hint="eastAsia" w:ascii="宋体" w:hAnsi="宋体" w:eastAsia="宋体" w:cs="宋体"/>
                <w:szCs w:val="21"/>
              </w:rPr>
              <w:t>低压气体 100 psig</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4" w:hRule="atLeast"/>
        </w:trPr>
        <w:tc>
          <w:tcPr>
            <w:tcW w:w="2903" w:type="pct"/>
            <w:vAlign w:val="center"/>
          </w:tcPr>
          <w:p>
            <w:pPr>
              <w:spacing w:line="360" w:lineRule="auto"/>
              <w:jc w:val="center"/>
              <w:rPr>
                <w:rFonts w:ascii="宋体" w:hAnsi="宋体" w:eastAsia="宋体" w:cs="宋体"/>
                <w:szCs w:val="21"/>
              </w:rPr>
            </w:pPr>
            <w:r>
              <w:rPr>
                <w:rFonts w:hint="eastAsia" w:ascii="宋体" w:hAnsi="宋体" w:eastAsia="宋体" w:cs="宋体"/>
                <w:szCs w:val="21"/>
              </w:rPr>
              <w:t>氦检漏率 (cc.atm/sec)</w:t>
            </w:r>
          </w:p>
        </w:tc>
        <w:tc>
          <w:tcPr>
            <w:tcW w:w="2096" w:type="pct"/>
            <w:vAlign w:val="center"/>
          </w:tcPr>
          <w:p>
            <w:pPr>
              <w:spacing w:line="360" w:lineRule="auto"/>
              <w:jc w:val="center"/>
              <w:rPr>
                <w:rFonts w:ascii="宋体" w:hAnsi="宋体" w:eastAsia="宋体" w:cs="宋体"/>
                <w:szCs w:val="21"/>
              </w:rPr>
            </w:pPr>
            <w:r>
              <w:rPr>
                <w:rFonts w:hint="eastAsia" w:ascii="宋体" w:hAnsi="宋体" w:eastAsia="宋体" w:cs="宋体"/>
                <w:szCs w:val="21"/>
              </w:rPr>
              <w:t>&lt;1×10-9</w:t>
            </w:r>
          </w:p>
        </w:tc>
      </w:tr>
    </w:tbl>
    <w:p>
      <w:pPr>
        <w:spacing w:line="360" w:lineRule="auto"/>
        <w:ind w:firstLine="442" w:firstLineChars="200"/>
        <w:rPr>
          <w:rFonts w:ascii="宋体" w:hAnsi="宋体" w:eastAsia="宋体" w:cs="宋体"/>
          <w:szCs w:val="21"/>
        </w:rPr>
      </w:pPr>
      <w:r>
        <w:rPr>
          <w:rFonts w:hint="eastAsia" w:ascii="宋体" w:hAnsi="宋体" w:eastAsia="宋体" w:cs="宋体"/>
          <w:szCs w:val="21"/>
        </w:rPr>
        <w:t>2、气体输送系统管道测试指标如下表所列：</w:t>
      </w:r>
    </w:p>
    <w:p>
      <w:pPr>
        <w:spacing w:line="360" w:lineRule="auto"/>
        <w:ind w:firstLine="442" w:firstLineChars="200"/>
        <w:rPr>
          <w:rFonts w:ascii="宋体" w:hAnsi="宋体" w:eastAsia="宋体" w:cs="宋体"/>
          <w:szCs w:val="21"/>
        </w:rPr>
      </w:pPr>
      <w:r>
        <w:rPr>
          <w:rFonts w:hint="eastAsia" w:ascii="宋体" w:hAnsi="宋体" w:eastAsia="宋体" w:cs="宋体"/>
          <w:szCs w:val="21"/>
        </w:rPr>
        <w:t>高纯惰性气体及特种高危气体进行保压、氦检测试；</w:t>
      </w:r>
    </w:p>
    <w:p>
      <w:pPr>
        <w:spacing w:line="360" w:lineRule="auto"/>
        <w:ind w:firstLine="442" w:firstLineChars="200"/>
        <w:rPr>
          <w:rFonts w:ascii="宋体" w:hAnsi="宋体" w:eastAsia="宋体" w:cs="宋体"/>
          <w:szCs w:val="21"/>
        </w:rPr>
      </w:pPr>
      <w:r>
        <w:rPr>
          <w:rFonts w:hint="eastAsia" w:ascii="宋体" w:hAnsi="宋体" w:eastAsia="宋体" w:cs="宋体"/>
          <w:szCs w:val="21"/>
        </w:rPr>
        <w:t>具体测试指标如下：</w:t>
      </w:r>
    </w:p>
    <w:tbl>
      <w:tblPr>
        <w:tblStyle w:val="18"/>
        <w:tblW w:w="4999" w:type="pct"/>
        <w:tblInd w:w="0" w:type="dxa"/>
        <w:tblLayout w:type="autofit"/>
        <w:tblCellMar>
          <w:top w:w="0" w:type="dxa"/>
          <w:left w:w="108" w:type="dxa"/>
          <w:bottom w:w="0" w:type="dxa"/>
          <w:right w:w="108" w:type="dxa"/>
        </w:tblCellMar>
      </w:tblPr>
      <w:tblGrid>
        <w:gridCol w:w="3657"/>
        <w:gridCol w:w="2064"/>
        <w:gridCol w:w="1906"/>
        <w:gridCol w:w="2225"/>
      </w:tblGrid>
      <w:tr>
        <w:tblPrEx>
          <w:tblCellMar>
            <w:top w:w="0" w:type="dxa"/>
            <w:left w:w="108" w:type="dxa"/>
            <w:bottom w:w="0" w:type="dxa"/>
            <w:right w:w="108" w:type="dxa"/>
          </w:tblCellMar>
        </w:tblPrEx>
        <w:trPr>
          <w:trHeight w:val="595" w:hRule="atLeast"/>
          <w:tblHeader/>
        </w:trPr>
        <w:tc>
          <w:tcPr>
            <w:tcW w:w="185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描述</w:t>
            </w:r>
          </w:p>
        </w:tc>
        <w:tc>
          <w:tcPr>
            <w:tcW w:w="1047" w:type="pct"/>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惰性气体</w:t>
            </w:r>
          </w:p>
        </w:tc>
        <w:tc>
          <w:tcPr>
            <w:tcW w:w="967" w:type="pct"/>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特种高危气体</w:t>
            </w:r>
          </w:p>
        </w:tc>
        <w:tc>
          <w:tcPr>
            <w:tcW w:w="1129" w:type="pct"/>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尾气管道</w:t>
            </w:r>
          </w:p>
        </w:tc>
      </w:tr>
      <w:tr>
        <w:tblPrEx>
          <w:tblCellMar>
            <w:top w:w="0" w:type="dxa"/>
            <w:left w:w="108" w:type="dxa"/>
            <w:bottom w:w="0" w:type="dxa"/>
            <w:right w:w="108" w:type="dxa"/>
          </w:tblCellMar>
        </w:tblPrEx>
        <w:trPr>
          <w:trHeight w:val="433" w:hRule="atLeast"/>
        </w:trPr>
        <w:tc>
          <w:tcPr>
            <w:tcW w:w="1855" w:type="pct"/>
            <w:tcBorders>
              <w:top w:val="nil"/>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系统输送压力</w:t>
            </w:r>
          </w:p>
        </w:tc>
        <w:tc>
          <w:tcPr>
            <w:tcW w:w="1047" w:type="pct"/>
            <w:tcBorders>
              <w:top w:val="nil"/>
              <w:left w:val="nil"/>
              <w:bottom w:val="single" w:color="auto" w:sz="4" w:space="0"/>
              <w:right w:val="single" w:color="auto" w:sz="4" w:space="0"/>
            </w:tcBorders>
            <w:vAlign w:val="bottom"/>
          </w:tcPr>
          <w:p>
            <w:pPr>
              <w:spacing w:line="360" w:lineRule="auto"/>
              <w:jc w:val="center"/>
              <w:rPr>
                <w:rFonts w:ascii="宋体" w:hAnsi="宋体" w:eastAsia="宋体" w:cs="宋体"/>
                <w:szCs w:val="21"/>
              </w:rPr>
            </w:pPr>
            <w:r>
              <w:rPr>
                <w:rFonts w:hint="eastAsia" w:ascii="宋体" w:hAnsi="宋体" w:eastAsia="宋体" w:cs="宋体"/>
                <w:szCs w:val="21"/>
              </w:rPr>
              <w:t>7</w:t>
            </w:r>
          </w:p>
        </w:tc>
        <w:tc>
          <w:tcPr>
            <w:tcW w:w="967" w:type="pct"/>
            <w:tcBorders>
              <w:top w:val="nil"/>
              <w:left w:val="nil"/>
              <w:bottom w:val="single" w:color="auto" w:sz="4" w:space="0"/>
              <w:right w:val="single" w:color="auto" w:sz="4" w:space="0"/>
            </w:tcBorders>
            <w:vAlign w:val="bottom"/>
          </w:tcPr>
          <w:p>
            <w:pPr>
              <w:spacing w:line="360" w:lineRule="auto"/>
              <w:jc w:val="center"/>
              <w:rPr>
                <w:rFonts w:ascii="宋体" w:hAnsi="宋体" w:eastAsia="宋体" w:cs="宋体"/>
                <w:szCs w:val="21"/>
              </w:rPr>
            </w:pPr>
            <w:r>
              <w:rPr>
                <w:rFonts w:hint="eastAsia" w:ascii="宋体" w:hAnsi="宋体" w:eastAsia="宋体" w:cs="宋体"/>
                <w:szCs w:val="21"/>
              </w:rPr>
              <w:t>7</w:t>
            </w:r>
          </w:p>
        </w:tc>
        <w:tc>
          <w:tcPr>
            <w:tcW w:w="1129" w:type="pct"/>
            <w:tcBorders>
              <w:top w:val="nil"/>
              <w:left w:val="nil"/>
              <w:bottom w:val="single" w:color="auto" w:sz="4" w:space="0"/>
              <w:right w:val="single" w:color="auto" w:sz="4" w:space="0"/>
            </w:tcBorders>
            <w:vAlign w:val="bottom"/>
          </w:tcPr>
          <w:p>
            <w:pPr>
              <w:spacing w:line="360" w:lineRule="auto"/>
              <w:jc w:val="center"/>
              <w:rPr>
                <w:rFonts w:ascii="宋体" w:hAnsi="宋体" w:eastAsia="宋体" w:cs="宋体"/>
                <w:szCs w:val="21"/>
              </w:rPr>
            </w:pPr>
            <w:r>
              <w:rPr>
                <w:rFonts w:hint="eastAsia" w:ascii="宋体" w:hAnsi="宋体" w:eastAsia="宋体" w:cs="宋体"/>
                <w:szCs w:val="21"/>
              </w:rPr>
              <w:t>&lt;1</w:t>
            </w:r>
          </w:p>
        </w:tc>
      </w:tr>
      <w:tr>
        <w:tblPrEx>
          <w:tblCellMar>
            <w:top w:w="0" w:type="dxa"/>
            <w:left w:w="108" w:type="dxa"/>
            <w:bottom w:w="0" w:type="dxa"/>
            <w:right w:w="108" w:type="dxa"/>
          </w:tblCellMar>
        </w:tblPrEx>
        <w:trPr>
          <w:trHeight w:val="563" w:hRule="atLeast"/>
        </w:trPr>
        <w:tc>
          <w:tcPr>
            <w:tcW w:w="1855" w:type="pct"/>
            <w:tcBorders>
              <w:top w:val="nil"/>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30 min  压强测试(bar)</w:t>
            </w:r>
          </w:p>
        </w:tc>
        <w:tc>
          <w:tcPr>
            <w:tcW w:w="104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10</w:t>
            </w:r>
          </w:p>
        </w:tc>
        <w:tc>
          <w:tcPr>
            <w:tcW w:w="96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7</w:t>
            </w:r>
          </w:p>
        </w:tc>
        <w:tc>
          <w:tcPr>
            <w:tcW w:w="1129"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p>
        </w:tc>
      </w:tr>
      <w:tr>
        <w:tblPrEx>
          <w:tblCellMar>
            <w:top w:w="0" w:type="dxa"/>
            <w:left w:w="108" w:type="dxa"/>
            <w:bottom w:w="0" w:type="dxa"/>
            <w:right w:w="108" w:type="dxa"/>
          </w:tblCellMar>
        </w:tblPrEx>
        <w:trPr>
          <w:trHeight w:val="503" w:hRule="atLeast"/>
        </w:trPr>
        <w:tc>
          <w:tcPr>
            <w:tcW w:w="1855" w:type="pct"/>
            <w:tcBorders>
              <w:top w:val="nil"/>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24hr 气密性测试(bar)</w:t>
            </w:r>
          </w:p>
        </w:tc>
        <w:tc>
          <w:tcPr>
            <w:tcW w:w="104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8</w:t>
            </w:r>
          </w:p>
        </w:tc>
        <w:tc>
          <w:tcPr>
            <w:tcW w:w="967"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8</w:t>
            </w:r>
          </w:p>
        </w:tc>
        <w:tc>
          <w:tcPr>
            <w:tcW w:w="1129" w:type="pct"/>
            <w:tcBorders>
              <w:top w:val="nil"/>
              <w:left w:val="nil"/>
              <w:bottom w:val="single" w:color="auto" w:sz="4" w:space="0"/>
              <w:right w:val="single" w:color="auto" w:sz="4"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2</w:t>
            </w:r>
          </w:p>
        </w:tc>
      </w:tr>
    </w:tbl>
    <w:p>
      <w:bookmarkStart w:id="192" w:name="_Toc27796"/>
    </w:p>
    <w:p>
      <w:pPr>
        <w:pStyle w:val="4"/>
      </w:pPr>
      <w:r>
        <w:rPr>
          <w:rFonts w:hint="eastAsia"/>
        </w:rPr>
        <w:t>八、空压工程</w:t>
      </w:r>
      <w:bookmarkEnd w:id="192"/>
    </w:p>
    <w:p>
      <w:pPr>
        <w:spacing w:line="360" w:lineRule="auto"/>
        <w:ind w:firstLine="442" w:firstLineChars="200"/>
        <w:rPr>
          <w:rFonts w:ascii="宋体" w:hAnsi="宋体" w:eastAsia="宋体" w:cs="宋体"/>
          <w:szCs w:val="21"/>
        </w:rPr>
      </w:pPr>
      <w:bookmarkStart w:id="193" w:name="_Toc17006"/>
      <w:r>
        <w:rPr>
          <w:rFonts w:hint="eastAsia" w:ascii="宋体" w:hAnsi="宋体" w:eastAsia="宋体" w:cs="宋体"/>
          <w:szCs w:val="21"/>
        </w:rPr>
        <w:t>1、系统描述</w:t>
      </w:r>
      <w:bookmarkEnd w:id="193"/>
    </w:p>
    <w:p>
      <w:pPr>
        <w:spacing w:line="360" w:lineRule="auto"/>
        <w:ind w:firstLine="442" w:firstLineChars="200"/>
        <w:rPr>
          <w:rFonts w:ascii="宋体" w:hAnsi="宋体" w:eastAsia="宋体" w:cs="宋体"/>
          <w:szCs w:val="21"/>
        </w:rPr>
      </w:pPr>
      <w:r>
        <w:rPr>
          <w:rFonts w:hint="eastAsia" w:ascii="宋体" w:hAnsi="宋体" w:eastAsia="宋体" w:cs="宋体"/>
          <w:szCs w:val="21"/>
        </w:rPr>
        <w:t>压缩空气系统采用空压机组供气，通过管道分别供至实验室各用气点，系统选用两台风冷无油涡旋式空压机（一用一备），及配套辅机（压缩空气缓冲罐、两级过滤器、风冷冷冻式干燥机和无热吸附式干燥机、精密过滤器）。</w:t>
      </w:r>
    </w:p>
    <w:p>
      <w:pPr>
        <w:spacing w:line="360" w:lineRule="auto"/>
        <w:ind w:firstLine="442" w:firstLineChars="200"/>
        <w:rPr>
          <w:rFonts w:ascii="宋体" w:hAnsi="宋体" w:eastAsia="宋体" w:cs="宋体"/>
          <w:szCs w:val="21"/>
        </w:rPr>
      </w:pPr>
      <w:bookmarkStart w:id="194" w:name="_Toc12287"/>
      <w:r>
        <w:rPr>
          <w:rFonts w:hint="eastAsia" w:ascii="宋体" w:hAnsi="宋体" w:eastAsia="宋体" w:cs="宋体"/>
          <w:szCs w:val="21"/>
        </w:rPr>
        <w:t>2、主要设备：</w:t>
      </w:r>
      <w:bookmarkEnd w:id="194"/>
    </w:p>
    <w:p>
      <w:pPr>
        <w:spacing w:line="360" w:lineRule="auto"/>
        <w:ind w:firstLine="442" w:firstLineChars="200"/>
        <w:rPr>
          <w:rFonts w:ascii="宋体" w:hAnsi="宋体" w:eastAsia="宋体" w:cs="宋体"/>
          <w:szCs w:val="21"/>
        </w:rPr>
      </w:pPr>
      <w:r>
        <w:rPr>
          <w:rFonts w:hint="eastAsia" w:ascii="宋体" w:hAnsi="宋体" w:eastAsia="宋体" w:cs="宋体"/>
          <w:szCs w:val="21"/>
        </w:rPr>
        <w:t>2.1风冷无油涡旋式空压机：</w:t>
      </w:r>
    </w:p>
    <w:p>
      <w:pPr>
        <w:spacing w:line="360" w:lineRule="auto"/>
        <w:ind w:firstLine="442" w:firstLineChars="200"/>
        <w:rPr>
          <w:rFonts w:ascii="宋体" w:hAnsi="宋体" w:eastAsia="宋体" w:cs="宋体"/>
          <w:szCs w:val="21"/>
        </w:rPr>
      </w:pPr>
      <w:r>
        <w:rPr>
          <w:rFonts w:hint="eastAsia" w:ascii="宋体" w:hAnsi="宋体" w:eastAsia="宋体" w:cs="宋体"/>
          <w:szCs w:val="21"/>
        </w:rPr>
        <w:t>排气量：2.52 m3/min</w:t>
      </w:r>
    </w:p>
    <w:p>
      <w:pPr>
        <w:spacing w:line="360" w:lineRule="auto"/>
        <w:ind w:firstLine="442" w:firstLineChars="200"/>
        <w:rPr>
          <w:rFonts w:ascii="宋体" w:hAnsi="宋体" w:eastAsia="宋体" w:cs="宋体"/>
          <w:szCs w:val="21"/>
        </w:rPr>
      </w:pPr>
      <w:r>
        <w:rPr>
          <w:rFonts w:hint="eastAsia" w:ascii="宋体" w:hAnsi="宋体" w:eastAsia="宋体" w:cs="宋体"/>
          <w:szCs w:val="21"/>
        </w:rPr>
        <w:t>排气压力：0.65MPa-0.8MPa</w:t>
      </w:r>
    </w:p>
    <w:p>
      <w:pPr>
        <w:spacing w:line="360" w:lineRule="auto"/>
        <w:ind w:firstLine="442" w:firstLineChars="200"/>
        <w:rPr>
          <w:rFonts w:ascii="宋体" w:hAnsi="宋体" w:eastAsia="宋体" w:cs="宋体"/>
          <w:szCs w:val="21"/>
        </w:rPr>
      </w:pPr>
      <w:r>
        <w:rPr>
          <w:rFonts w:hint="eastAsia" w:ascii="宋体" w:hAnsi="宋体" w:eastAsia="宋体" w:cs="宋体"/>
          <w:szCs w:val="21"/>
        </w:rPr>
        <w:t>冷却方式：风冷</w:t>
      </w:r>
    </w:p>
    <w:p>
      <w:pPr>
        <w:spacing w:line="360" w:lineRule="auto"/>
        <w:ind w:firstLine="442" w:firstLineChars="200"/>
        <w:rPr>
          <w:rFonts w:ascii="宋体" w:hAnsi="宋体" w:eastAsia="宋体" w:cs="宋体"/>
          <w:szCs w:val="21"/>
        </w:rPr>
      </w:pPr>
      <w:r>
        <w:rPr>
          <w:rFonts w:hint="eastAsia" w:ascii="宋体" w:hAnsi="宋体" w:eastAsia="宋体" w:cs="宋体"/>
          <w:szCs w:val="21"/>
        </w:rPr>
        <w:t>启动方式：全电压直接启动</w:t>
      </w:r>
    </w:p>
    <w:p>
      <w:pPr>
        <w:spacing w:line="360" w:lineRule="auto"/>
        <w:ind w:firstLine="442" w:firstLineChars="200"/>
        <w:rPr>
          <w:rFonts w:ascii="宋体" w:hAnsi="宋体" w:eastAsia="宋体" w:cs="宋体"/>
          <w:szCs w:val="21"/>
        </w:rPr>
      </w:pPr>
      <w:r>
        <w:rPr>
          <w:rFonts w:hint="eastAsia" w:ascii="宋体" w:hAnsi="宋体" w:eastAsia="宋体" w:cs="宋体"/>
          <w:szCs w:val="21"/>
        </w:rPr>
        <w:t>控制方式：多机复合控制/压力开关控制（可切换）</w:t>
      </w:r>
    </w:p>
    <w:p>
      <w:pPr>
        <w:spacing w:line="360" w:lineRule="auto"/>
        <w:ind w:firstLine="442" w:firstLineChars="200"/>
        <w:rPr>
          <w:rFonts w:ascii="宋体" w:hAnsi="宋体" w:eastAsia="宋体" w:cs="宋体"/>
          <w:szCs w:val="21"/>
        </w:rPr>
      </w:pPr>
      <w:r>
        <w:rPr>
          <w:rFonts w:hint="eastAsia" w:ascii="宋体" w:hAnsi="宋体" w:eastAsia="宋体" w:cs="宋体"/>
          <w:szCs w:val="21"/>
        </w:rPr>
        <w:t>2.2风冷冷冻式干燥机：</w:t>
      </w:r>
    </w:p>
    <w:p>
      <w:pPr>
        <w:spacing w:line="360" w:lineRule="auto"/>
        <w:ind w:firstLine="442" w:firstLineChars="200"/>
        <w:rPr>
          <w:rFonts w:ascii="宋体" w:hAnsi="宋体" w:eastAsia="宋体" w:cs="宋体"/>
          <w:szCs w:val="21"/>
        </w:rPr>
      </w:pPr>
      <w:r>
        <w:rPr>
          <w:rFonts w:hint="eastAsia" w:ascii="宋体" w:hAnsi="宋体" w:eastAsia="宋体" w:cs="宋体"/>
          <w:szCs w:val="21"/>
        </w:rPr>
        <w:t>额定处理量：4 m3/min；</w:t>
      </w:r>
    </w:p>
    <w:p>
      <w:pPr>
        <w:spacing w:line="360" w:lineRule="auto"/>
        <w:ind w:firstLine="442" w:firstLineChars="200"/>
        <w:rPr>
          <w:rFonts w:ascii="宋体" w:hAnsi="宋体" w:eastAsia="宋体" w:cs="宋体"/>
          <w:szCs w:val="21"/>
        </w:rPr>
      </w:pPr>
      <w:r>
        <w:rPr>
          <w:rFonts w:hint="eastAsia" w:ascii="宋体" w:hAnsi="宋体" w:eastAsia="宋体" w:cs="宋体"/>
          <w:szCs w:val="21"/>
        </w:rPr>
        <w:t>工作压力：1.0MPa；</w:t>
      </w:r>
    </w:p>
    <w:p>
      <w:pPr>
        <w:spacing w:line="360" w:lineRule="auto"/>
        <w:ind w:firstLine="442" w:firstLineChars="200"/>
        <w:rPr>
          <w:rFonts w:ascii="宋体" w:hAnsi="宋体" w:eastAsia="宋体" w:cs="宋体"/>
          <w:szCs w:val="21"/>
        </w:rPr>
      </w:pPr>
      <w:r>
        <w:rPr>
          <w:rFonts w:hint="eastAsia" w:ascii="宋体" w:hAnsi="宋体" w:eastAsia="宋体" w:cs="宋体"/>
          <w:szCs w:val="21"/>
        </w:rPr>
        <w:t>压力露点：3℃-10℃；</w:t>
      </w:r>
    </w:p>
    <w:p>
      <w:pPr>
        <w:spacing w:line="360" w:lineRule="auto"/>
        <w:ind w:firstLine="442" w:firstLineChars="200"/>
        <w:rPr>
          <w:rFonts w:ascii="宋体" w:hAnsi="宋体" w:eastAsia="宋体" w:cs="宋体"/>
          <w:szCs w:val="21"/>
        </w:rPr>
      </w:pPr>
      <w:r>
        <w:rPr>
          <w:rFonts w:hint="eastAsia" w:ascii="宋体" w:hAnsi="宋体" w:eastAsia="宋体" w:cs="宋体"/>
          <w:szCs w:val="21"/>
        </w:rPr>
        <w:t>2.3无热吸附式干燥机：</w:t>
      </w:r>
    </w:p>
    <w:p>
      <w:pPr>
        <w:spacing w:line="360" w:lineRule="auto"/>
        <w:ind w:firstLine="442" w:firstLineChars="200"/>
        <w:rPr>
          <w:rFonts w:ascii="宋体" w:hAnsi="宋体" w:eastAsia="宋体" w:cs="宋体"/>
          <w:szCs w:val="21"/>
        </w:rPr>
      </w:pPr>
      <w:r>
        <w:rPr>
          <w:rFonts w:hint="eastAsia" w:ascii="宋体" w:hAnsi="宋体" w:eastAsia="宋体" w:cs="宋体"/>
          <w:szCs w:val="21"/>
        </w:rPr>
        <w:t>额定处理量：3.6 m3/min</w:t>
      </w:r>
    </w:p>
    <w:p>
      <w:pPr>
        <w:spacing w:line="360" w:lineRule="auto"/>
        <w:ind w:firstLine="442" w:firstLineChars="200"/>
        <w:rPr>
          <w:rFonts w:ascii="宋体" w:hAnsi="宋体" w:eastAsia="宋体" w:cs="宋体"/>
          <w:szCs w:val="21"/>
        </w:rPr>
      </w:pPr>
      <w:r>
        <w:rPr>
          <w:rFonts w:hint="eastAsia" w:ascii="宋体" w:hAnsi="宋体" w:eastAsia="宋体" w:cs="宋体"/>
          <w:szCs w:val="21"/>
        </w:rPr>
        <w:t>工作压力：1.0MPa</w:t>
      </w:r>
    </w:p>
    <w:p>
      <w:pPr>
        <w:spacing w:line="360" w:lineRule="auto"/>
        <w:ind w:firstLine="442" w:firstLineChars="200"/>
        <w:rPr>
          <w:rFonts w:ascii="宋体" w:hAnsi="宋体" w:eastAsia="宋体" w:cs="宋体"/>
          <w:szCs w:val="21"/>
        </w:rPr>
      </w:pPr>
      <w:r>
        <w:rPr>
          <w:rFonts w:hint="eastAsia" w:ascii="宋体" w:hAnsi="宋体" w:eastAsia="宋体" w:cs="宋体"/>
          <w:szCs w:val="21"/>
        </w:rPr>
        <w:t>压力露点：-40℃</w:t>
      </w:r>
    </w:p>
    <w:p>
      <w:pPr>
        <w:spacing w:line="360" w:lineRule="auto"/>
        <w:ind w:firstLine="442" w:firstLineChars="200"/>
        <w:rPr>
          <w:rFonts w:ascii="宋体" w:hAnsi="宋体" w:eastAsia="宋体" w:cs="宋体"/>
          <w:szCs w:val="21"/>
        </w:rPr>
      </w:pPr>
      <w:r>
        <w:rPr>
          <w:rFonts w:hint="eastAsia" w:ascii="宋体" w:hAnsi="宋体" w:eastAsia="宋体" w:cs="宋体"/>
          <w:szCs w:val="21"/>
        </w:rPr>
        <w:t>2.4压缩空气缓冲罐：</w:t>
      </w:r>
    </w:p>
    <w:p>
      <w:pPr>
        <w:spacing w:line="360" w:lineRule="auto"/>
        <w:ind w:firstLine="442" w:firstLineChars="200"/>
        <w:rPr>
          <w:rFonts w:ascii="宋体" w:hAnsi="宋体" w:eastAsia="宋体" w:cs="宋体"/>
          <w:szCs w:val="21"/>
        </w:rPr>
      </w:pPr>
      <w:r>
        <w:rPr>
          <w:rFonts w:hint="eastAsia" w:ascii="宋体" w:hAnsi="宋体" w:eastAsia="宋体" w:cs="宋体"/>
          <w:szCs w:val="21"/>
        </w:rPr>
        <w:t>容积：1 m3；</w:t>
      </w:r>
    </w:p>
    <w:p>
      <w:pPr>
        <w:spacing w:line="360" w:lineRule="auto"/>
        <w:ind w:firstLine="442" w:firstLineChars="200"/>
        <w:rPr>
          <w:rFonts w:ascii="宋体" w:hAnsi="宋体" w:eastAsia="宋体" w:cs="宋体"/>
          <w:szCs w:val="21"/>
        </w:rPr>
      </w:pPr>
      <w:r>
        <w:rPr>
          <w:rFonts w:hint="eastAsia" w:ascii="宋体" w:hAnsi="宋体" w:eastAsia="宋体" w:cs="宋体"/>
          <w:szCs w:val="21"/>
        </w:rPr>
        <w:t>工作压力：1.0MPa；</w:t>
      </w:r>
    </w:p>
    <w:p>
      <w:pPr>
        <w:spacing w:line="360" w:lineRule="auto"/>
        <w:ind w:firstLine="442" w:firstLineChars="200"/>
        <w:rPr>
          <w:rFonts w:ascii="宋体" w:hAnsi="宋体" w:eastAsia="宋体" w:cs="宋体"/>
          <w:szCs w:val="21"/>
        </w:rPr>
      </w:pPr>
      <w:r>
        <w:rPr>
          <w:rFonts w:hint="eastAsia" w:ascii="宋体" w:hAnsi="宋体" w:eastAsia="宋体" w:cs="宋体"/>
          <w:szCs w:val="21"/>
        </w:rPr>
        <w:t>不锈钢材质</w:t>
      </w:r>
    </w:p>
    <w:p>
      <w:pPr>
        <w:spacing w:line="360" w:lineRule="auto"/>
        <w:ind w:firstLine="442" w:firstLineChars="200"/>
        <w:rPr>
          <w:rFonts w:ascii="宋体" w:hAnsi="宋体" w:eastAsia="宋体" w:cs="宋体"/>
          <w:szCs w:val="21"/>
        </w:rPr>
      </w:pPr>
      <w:r>
        <w:rPr>
          <w:rFonts w:hint="eastAsia" w:ascii="宋体" w:hAnsi="宋体" w:eastAsia="宋体" w:cs="宋体"/>
          <w:szCs w:val="21"/>
        </w:rPr>
        <w:t>2.5初效过滤器：</w:t>
      </w:r>
    </w:p>
    <w:p>
      <w:pPr>
        <w:spacing w:line="360" w:lineRule="auto"/>
        <w:ind w:firstLine="442" w:firstLineChars="200"/>
        <w:rPr>
          <w:rFonts w:ascii="宋体" w:hAnsi="宋体" w:eastAsia="宋体" w:cs="宋体"/>
          <w:szCs w:val="21"/>
        </w:rPr>
      </w:pPr>
      <w:r>
        <w:rPr>
          <w:rFonts w:hint="eastAsia" w:ascii="宋体" w:hAnsi="宋体" w:eastAsia="宋体" w:cs="宋体"/>
          <w:szCs w:val="21"/>
        </w:rPr>
        <w:t>额定处理量：3.5m3/min</w:t>
      </w:r>
    </w:p>
    <w:p>
      <w:pPr>
        <w:spacing w:line="360" w:lineRule="auto"/>
        <w:ind w:firstLine="442" w:firstLineChars="200"/>
        <w:rPr>
          <w:rFonts w:ascii="宋体" w:hAnsi="宋体" w:eastAsia="宋体" w:cs="宋体"/>
          <w:szCs w:val="21"/>
        </w:rPr>
      </w:pPr>
      <w:r>
        <w:rPr>
          <w:rFonts w:hint="eastAsia" w:ascii="宋体" w:hAnsi="宋体" w:eastAsia="宋体" w:cs="宋体"/>
          <w:szCs w:val="21"/>
        </w:rPr>
        <w:t>除尘精度：0.1μm</w:t>
      </w:r>
    </w:p>
    <w:p>
      <w:pPr>
        <w:spacing w:line="360" w:lineRule="auto"/>
        <w:ind w:firstLine="442" w:firstLineChars="200"/>
        <w:rPr>
          <w:rFonts w:ascii="宋体" w:hAnsi="宋体" w:eastAsia="宋体" w:cs="宋体"/>
          <w:szCs w:val="21"/>
        </w:rPr>
      </w:pPr>
      <w:r>
        <w:rPr>
          <w:rFonts w:hint="eastAsia" w:ascii="宋体" w:hAnsi="宋体" w:eastAsia="宋体" w:cs="宋体"/>
          <w:szCs w:val="21"/>
        </w:rPr>
        <w:t>2.6中效过滤器</w:t>
      </w:r>
    </w:p>
    <w:p>
      <w:pPr>
        <w:spacing w:line="360" w:lineRule="auto"/>
        <w:ind w:firstLine="442" w:firstLineChars="200"/>
        <w:rPr>
          <w:rFonts w:ascii="宋体" w:hAnsi="宋体" w:eastAsia="宋体" w:cs="宋体"/>
          <w:szCs w:val="21"/>
        </w:rPr>
      </w:pPr>
      <w:r>
        <w:rPr>
          <w:rFonts w:hint="eastAsia" w:ascii="宋体" w:hAnsi="宋体" w:eastAsia="宋体" w:cs="宋体"/>
          <w:szCs w:val="21"/>
        </w:rPr>
        <w:t>额定处理量：3.5m3/min</w:t>
      </w:r>
    </w:p>
    <w:p>
      <w:pPr>
        <w:spacing w:line="360" w:lineRule="auto"/>
        <w:ind w:firstLine="442" w:firstLineChars="200"/>
        <w:rPr>
          <w:rFonts w:ascii="宋体" w:hAnsi="宋体" w:eastAsia="宋体" w:cs="宋体"/>
          <w:szCs w:val="21"/>
        </w:rPr>
      </w:pPr>
      <w:r>
        <w:rPr>
          <w:rFonts w:hint="eastAsia" w:ascii="宋体" w:hAnsi="宋体" w:eastAsia="宋体" w:cs="宋体"/>
          <w:szCs w:val="21"/>
        </w:rPr>
        <w:t>除尘精度：0.01μm</w:t>
      </w:r>
    </w:p>
    <w:p>
      <w:pPr>
        <w:spacing w:line="360" w:lineRule="auto"/>
        <w:ind w:firstLine="442" w:firstLineChars="200"/>
        <w:rPr>
          <w:rFonts w:ascii="宋体" w:hAnsi="宋体" w:eastAsia="宋体" w:cs="宋体"/>
          <w:szCs w:val="21"/>
        </w:rPr>
      </w:pPr>
      <w:r>
        <w:rPr>
          <w:rFonts w:hint="eastAsia" w:ascii="宋体" w:hAnsi="宋体" w:eastAsia="宋体" w:cs="宋体"/>
          <w:szCs w:val="21"/>
        </w:rPr>
        <w:t>2.7高效过滤器</w:t>
      </w:r>
    </w:p>
    <w:p>
      <w:pPr>
        <w:spacing w:line="360" w:lineRule="auto"/>
        <w:ind w:firstLine="442" w:firstLineChars="200"/>
        <w:rPr>
          <w:rFonts w:ascii="宋体" w:hAnsi="宋体" w:eastAsia="宋体" w:cs="宋体"/>
          <w:szCs w:val="21"/>
        </w:rPr>
      </w:pPr>
      <w:r>
        <w:rPr>
          <w:rFonts w:hint="eastAsia" w:ascii="宋体" w:hAnsi="宋体" w:eastAsia="宋体" w:cs="宋体"/>
          <w:szCs w:val="21"/>
        </w:rPr>
        <w:t>额定处理量：3.5m3/min</w:t>
      </w:r>
    </w:p>
    <w:p>
      <w:pPr>
        <w:spacing w:line="360" w:lineRule="auto"/>
        <w:ind w:firstLine="442" w:firstLineChars="200"/>
        <w:rPr>
          <w:rFonts w:ascii="宋体" w:hAnsi="宋体" w:eastAsia="宋体" w:cs="宋体"/>
          <w:szCs w:val="21"/>
        </w:rPr>
      </w:pPr>
      <w:r>
        <w:rPr>
          <w:rFonts w:hint="eastAsia" w:ascii="宋体" w:hAnsi="宋体" w:eastAsia="宋体" w:cs="宋体"/>
          <w:szCs w:val="21"/>
        </w:rPr>
        <w:t>除尘精度：0.01μm</w:t>
      </w:r>
    </w:p>
    <w:p>
      <w:pPr>
        <w:spacing w:line="360" w:lineRule="auto"/>
        <w:ind w:firstLine="442" w:firstLineChars="200"/>
        <w:rPr>
          <w:rFonts w:ascii="宋体" w:hAnsi="宋体" w:eastAsia="宋体" w:cs="宋体"/>
          <w:szCs w:val="21"/>
        </w:rPr>
      </w:pPr>
      <w:bookmarkStart w:id="195" w:name="_Toc16668"/>
      <w:r>
        <w:rPr>
          <w:rFonts w:hint="eastAsia" w:ascii="宋体" w:hAnsi="宋体" w:eastAsia="宋体" w:cs="宋体"/>
          <w:szCs w:val="21"/>
        </w:rPr>
        <w:t>3、管道元件：</w:t>
      </w:r>
      <w:bookmarkEnd w:id="195"/>
    </w:p>
    <w:p>
      <w:pPr>
        <w:spacing w:line="360" w:lineRule="auto"/>
        <w:ind w:firstLine="442" w:firstLineChars="200"/>
        <w:rPr>
          <w:rFonts w:ascii="宋体" w:hAnsi="宋体" w:eastAsia="宋体" w:cs="宋体"/>
          <w:szCs w:val="21"/>
        </w:rPr>
      </w:pPr>
      <w:r>
        <w:rPr>
          <w:rFonts w:hint="eastAsia" w:ascii="宋体" w:hAnsi="宋体" w:eastAsia="宋体" w:cs="宋体"/>
          <w:szCs w:val="21"/>
        </w:rPr>
        <w:t>3.1压缩空气管道系统采用材质：SS304/AP级不锈钢管</w:t>
      </w:r>
    </w:p>
    <w:p>
      <w:pPr>
        <w:spacing w:line="360" w:lineRule="auto"/>
        <w:ind w:firstLine="442" w:firstLineChars="200"/>
        <w:rPr>
          <w:rFonts w:ascii="宋体" w:hAnsi="宋体" w:eastAsia="宋体" w:cs="宋体"/>
          <w:szCs w:val="21"/>
        </w:rPr>
      </w:pPr>
      <w:r>
        <w:rPr>
          <w:rFonts w:hint="eastAsia" w:ascii="宋体" w:hAnsi="宋体" w:eastAsia="宋体" w:cs="宋体"/>
          <w:szCs w:val="21"/>
        </w:rPr>
        <w:t>3.2球阀：耐压1000psi，材质SS316L</w:t>
      </w:r>
    </w:p>
    <w:p>
      <w:pPr>
        <w:spacing w:line="360" w:lineRule="auto"/>
        <w:ind w:firstLine="442" w:firstLineChars="200"/>
        <w:rPr>
          <w:rFonts w:ascii="宋体" w:hAnsi="宋体" w:eastAsia="宋体" w:cs="宋体"/>
          <w:szCs w:val="21"/>
        </w:rPr>
      </w:pPr>
      <w:r>
        <w:rPr>
          <w:rFonts w:hint="eastAsia" w:ascii="宋体" w:hAnsi="宋体" w:eastAsia="宋体" w:cs="宋体"/>
          <w:szCs w:val="21"/>
        </w:rPr>
        <w:t>3.3二级减压阀：满足进气最大压力40bar，出气压力0bar-10bar可调。阀体材质SS316L，膜片材质Hastelloy® C276</w:t>
      </w:r>
    </w:p>
    <w:p>
      <w:pPr>
        <w:spacing w:line="360" w:lineRule="auto"/>
        <w:ind w:firstLine="442" w:firstLineChars="200"/>
        <w:rPr>
          <w:rFonts w:ascii="宋体" w:hAnsi="宋体" w:eastAsia="宋体" w:cs="宋体"/>
          <w:szCs w:val="21"/>
        </w:rPr>
        <w:sectPr>
          <w:pgSz w:w="11906" w:h="16838"/>
          <w:pgMar w:top="1134" w:right="1134" w:bottom="1134" w:left="1134" w:header="851" w:footer="992" w:gutter="0"/>
          <w:pgNumType w:fmt="decimal"/>
          <w:cols w:space="720" w:num="1"/>
          <w:docGrid w:type="linesAndChars" w:linePitch="313" w:charSpace="2273"/>
        </w:sectPr>
      </w:pPr>
    </w:p>
    <w:bookmarkEnd w:id="175"/>
    <w:bookmarkEnd w:id="176"/>
    <w:bookmarkEnd w:id="177"/>
    <w:bookmarkEnd w:id="178"/>
    <w:p>
      <w:pPr>
        <w:pStyle w:val="4"/>
      </w:pPr>
      <w:r>
        <w:rPr>
          <w:rFonts w:hint="eastAsia"/>
        </w:rPr>
        <w:t>九、材料质量要求</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1、材料选择</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本工程使用的原材料必须符合本项目设计及规范等要求，并为正规厂家合格产品。实际施工过程中，甲方将严格检查验收进场原材料的合格证及质保书，如发现实样与质保书不符，应立即取样进行复查，对不合格的材料严禁用于本工程。</w:t>
      </w:r>
    </w:p>
    <w:p>
      <w:pPr>
        <w:widowControl/>
        <w:spacing w:line="360" w:lineRule="auto"/>
        <w:ind w:firstLine="420" w:firstLineChars="200"/>
        <w:rPr>
          <w:rFonts w:ascii="宋体" w:hAnsi="宋体" w:eastAsia="宋体" w:cs="宋体"/>
          <w:b/>
          <w:bCs/>
          <w:szCs w:val="21"/>
          <w:u w:val="single"/>
        </w:rPr>
      </w:pPr>
      <w:r>
        <w:rPr>
          <w:rFonts w:hint="eastAsia" w:ascii="宋体" w:hAnsi="宋体" w:eastAsia="宋体" w:cs="宋体"/>
          <w:szCs w:val="21"/>
          <w:u w:val="single"/>
        </w:rPr>
        <w:t>本工程涉及的主要材料及零星材料，各供应商须根据招标人要求及规范进行选材并报价，所有材料要求采用在行业内有一定知名度的品牌(招标文件已定品牌的按招标文件)，材料生产厂家必须通过 ISO 质量认证，并符合环保要求，严禁选择不合设计要求的低档材料进行投标报价及组织施工实施。</w:t>
      </w:r>
    </w:p>
    <w:p>
      <w:pPr>
        <w:widowControl/>
        <w:spacing w:line="360" w:lineRule="auto"/>
        <w:ind w:firstLine="422" w:firstLineChars="200"/>
        <w:rPr>
          <w:rFonts w:ascii="宋体" w:hAnsi="宋体" w:eastAsia="宋体" w:cs="宋体"/>
          <w:sz w:val="20"/>
          <w:szCs w:val="20"/>
        </w:rPr>
      </w:pPr>
      <w:r>
        <w:rPr>
          <w:rFonts w:hint="eastAsia" w:ascii="宋体" w:hAnsi="宋体" w:eastAsia="宋体" w:cs="宋体"/>
          <w:b/>
          <w:bCs/>
          <w:szCs w:val="21"/>
          <w:u w:val="single"/>
        </w:rPr>
        <w:t>清单中计量单位为“项”的子目请投标单位自行踏勘现场综合报价，作为专业承包商</w:t>
      </w:r>
      <w:bookmarkStart w:id="196" w:name="page23"/>
      <w:bookmarkEnd w:id="196"/>
      <w:r>
        <w:rPr>
          <w:rFonts w:hint="eastAsia" w:ascii="宋体" w:hAnsi="宋体" w:eastAsia="宋体" w:cs="宋体"/>
          <w:b/>
          <w:bCs/>
          <w:szCs w:val="21"/>
          <w:u w:val="single"/>
        </w:rPr>
        <w:t>投标时有义务和责任认真踏勘施工现场，认真核对工程量清单中施工内容和工程量，对项目需求进行深化、细化、完善和调整，中标后任何因现场勘查不足、工程量清单等不足或深化方案而造成的额外工程量变更均不得调整中标金额。</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2、材料的质量保证</w:t>
      </w:r>
    </w:p>
    <w:p>
      <w:pPr>
        <w:widowControl/>
        <w:spacing w:line="360" w:lineRule="auto"/>
        <w:ind w:left="199" w:leftChars="95" w:firstLine="210" w:firstLineChars="100"/>
        <w:rPr>
          <w:rFonts w:ascii="宋体" w:hAnsi="宋体" w:eastAsia="宋体" w:cs="宋体"/>
          <w:sz w:val="20"/>
          <w:szCs w:val="20"/>
        </w:rPr>
      </w:pPr>
      <w:r>
        <w:rPr>
          <w:rFonts w:hint="eastAsia" w:ascii="宋体" w:hAnsi="宋体" w:eastAsia="宋体" w:cs="宋体"/>
          <w:szCs w:val="21"/>
        </w:rPr>
        <w:t>（1）在免费保修期内，中标人对有缺陷的部位必须无偿地给予修理与更换，并承担一切由此引起的对招标人或第三者的直接损失，除非该缺陷是由于人为破坏或合同规定的不可抗因素造成的损坏。</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（2）中标人必须对所承包工程的质量负全部责任，其责任不因其他材料生产商提供的保证书而减轻或更改。</w:t>
      </w:r>
    </w:p>
    <w:p>
      <w:pPr>
        <w:widowControl/>
        <w:spacing w:line="360" w:lineRule="auto"/>
        <w:ind w:firstLine="422" w:firstLineChars="200"/>
        <w:rPr>
          <w:rFonts w:ascii="宋体" w:hAnsi="宋体" w:eastAsia="宋体" w:cs="宋体"/>
          <w:b/>
          <w:bCs/>
          <w:szCs w:val="21"/>
          <w:u w:val="single"/>
        </w:rPr>
      </w:pPr>
      <w:r>
        <w:rPr>
          <w:rFonts w:ascii="宋体" w:hAnsi="宋体" w:eastAsia="宋体" w:cs="宋体"/>
          <w:b/>
          <w:bCs/>
          <w:szCs w:val="21"/>
          <w:u w:val="single"/>
        </w:rPr>
        <w:t>3.投标人应按“主要材料设备推荐品牌</w:t>
      </w:r>
      <w:r>
        <w:rPr>
          <w:rFonts w:hint="eastAsia" w:ascii="宋体" w:hAnsi="宋体" w:eastAsia="宋体" w:cs="宋体"/>
          <w:b/>
          <w:bCs/>
          <w:szCs w:val="21"/>
          <w:u w:val="single"/>
        </w:rPr>
        <w:t>表”要求投标报价，并在工程量清单报价“主要材料价格表”的里明确品牌、规格、型号、单位、单价等。如投标人没有按招标文件要求进行选择，或没有明确注明，或所选材料设备的材质、规格、档次与招标文件要求的存在明显差别，或虽按招标文件推荐的材料品牌选择但该材料因某种原因停产或其他原因而不能供应的，或虽注明品牌未注明型号、规格的，则实际施工过程中招标人有权在招标文件推荐的材料品牌范围内自行确定品牌和规格，且投标价格不予调整。</w:t>
      </w:r>
    </w:p>
    <w:p>
      <w:pPr>
        <w:widowControl/>
        <w:spacing w:line="360" w:lineRule="auto"/>
        <w:ind w:left="199" w:leftChars="95" w:firstLine="210" w:firstLineChars="100"/>
        <w:rPr>
          <w:rFonts w:ascii="宋体" w:hAnsi="宋体" w:eastAsia="宋体" w:cs="宋体"/>
          <w:szCs w:val="21"/>
        </w:rPr>
      </w:pPr>
      <w:r>
        <w:rPr>
          <w:rFonts w:hint="eastAsia" w:ascii="宋体" w:hAnsi="宋体" w:eastAsia="宋体" w:cs="宋体"/>
          <w:szCs w:val="21"/>
        </w:rPr>
        <w:t>4</w:t>
      </w:r>
      <w:r>
        <w:rPr>
          <w:rFonts w:ascii="宋体" w:hAnsi="宋体" w:eastAsia="宋体" w:cs="宋体"/>
          <w:szCs w:val="21"/>
        </w:rPr>
        <w:t>.本项目所用材料</w:t>
      </w:r>
      <w:r>
        <w:rPr>
          <w:rFonts w:hint="eastAsia" w:ascii="宋体" w:hAnsi="宋体" w:eastAsia="宋体" w:cs="宋体"/>
          <w:szCs w:val="21"/>
        </w:rPr>
        <w:t>、设备承包人必须按国家有关标准和施工图纸要求采购，采购前应先提交其样品（质量等级、规格、颜色等）经设计、发包人代表等确认许可后方可采购。</w:t>
      </w:r>
    </w:p>
    <w:p>
      <w:pPr>
        <w:pStyle w:val="4"/>
      </w:pPr>
      <w:r>
        <w:rPr>
          <w:rFonts w:hint="eastAsia"/>
        </w:rPr>
        <w:t>十、工程管理的要求</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1、本工程发包范围内的工程项目，除前附表中提到的分包范围之后的其它工程量均未经招标人同意一律不得分包。一经发现立即取消承包资格，作违约处理，并承担由此引起的一切经济损失。</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2、中标人应严格按已确认施工技术方案组织施工，并无条件地接受招标人代表对施工质量的监督和管理。</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3、中标人在工程施工全过程中要认真做好产品保护、施工场地设施保护以及现场周边和校园内部临界区域安全防护措施。因失窃或失火造成的损失均由承包方负责，凡由此而损及招标人利益时，招标人将向中标施工单位索赔。</w:t>
      </w:r>
    </w:p>
    <w:p>
      <w:pPr>
        <w:pStyle w:val="4"/>
      </w:pPr>
      <w:r>
        <w:rPr>
          <w:rFonts w:hint="eastAsia"/>
        </w:rPr>
        <w:t>十一、保修的要求</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1.承包方施工完毕，并在工程竣工验收合格办理移交手续之日，在签订的工程质量保修书期限内，为发包方提供免费服务。</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2.质保期要求</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（1）地基与基础工程和主体结构工程为设计文件规定的该工程合理使用年限；</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（2）屋面防水工程、有防水要求的卫生间、房间和外墙的防渗漏为 5  年；</w:t>
      </w:r>
    </w:p>
    <w:p>
      <w:pPr>
        <w:widowControl/>
        <w:spacing w:line="360" w:lineRule="auto"/>
        <w:ind w:firstLine="422" w:firstLineChars="200"/>
        <w:rPr>
          <w:rFonts w:ascii="宋体" w:hAnsi="宋体" w:eastAsia="宋体" w:cs="宋体"/>
          <w:b/>
          <w:szCs w:val="21"/>
        </w:rPr>
      </w:pPr>
      <w:r>
        <w:rPr>
          <w:rFonts w:hint="eastAsia" w:ascii="宋体" w:hAnsi="宋体" w:eastAsia="宋体" w:cs="宋体"/>
          <w:b/>
          <w:szCs w:val="21"/>
        </w:rPr>
        <w:t>（3）装修工程为 2 年；</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（4）电气管线、给排水管道、设备安装工程为2年；</w:t>
      </w:r>
    </w:p>
    <w:p>
      <w:pPr>
        <w:widowControl/>
        <w:spacing w:line="360" w:lineRule="auto"/>
        <w:ind w:firstLine="420" w:firstLineChars="200"/>
        <w:rPr>
          <w:rFonts w:hint="eastAsia" w:ascii="宋体" w:hAnsi="宋体" w:eastAsia="宋体" w:cs="宋体"/>
          <w:szCs w:val="21"/>
          <w:lang w:eastAsia="zh-CN"/>
        </w:rPr>
      </w:pPr>
      <w:r>
        <w:rPr>
          <w:rFonts w:hint="eastAsia" w:ascii="宋体" w:hAnsi="宋体" w:eastAsia="宋体" w:cs="宋体"/>
          <w:szCs w:val="21"/>
        </w:rPr>
        <w:t>（5）供热及供冷为2个采暖期及供冷期</w:t>
      </w:r>
      <w:r>
        <w:rPr>
          <w:rFonts w:hint="eastAsia" w:ascii="宋体" w:hAnsi="宋体" w:eastAsia="宋体" w:cs="宋体"/>
          <w:szCs w:val="21"/>
          <w:lang w:eastAsia="zh-CN"/>
        </w:rPr>
        <w:t>；</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6</w:t>
      </w:r>
      <w:r>
        <w:rPr>
          <w:rFonts w:hint="eastAsia" w:ascii="宋体" w:hAnsi="宋体" w:eastAsia="宋体" w:cs="宋体"/>
          <w:szCs w:val="21"/>
          <w:lang w:eastAsia="zh-CN"/>
        </w:rPr>
        <w:t>）</w:t>
      </w:r>
      <w:r>
        <w:rPr>
          <w:rFonts w:hint="eastAsia" w:ascii="宋体" w:hAnsi="宋体" w:eastAsia="宋体" w:cs="宋体"/>
          <w:szCs w:val="21"/>
          <w:lang w:val="en-US" w:eastAsia="zh-CN"/>
        </w:rPr>
        <w:t>其余设备质保期为3年。</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质保金为结算价的1.5%，本工程质保期满后并经发包方确认保修义务落实无误后无息退还结算价1%的质保金，剩余质保金待防水质保期满后并经发包方确认保修义务落实无误后无息退还。</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3.中标后承包方应与发包人签订工程质量保修书，承包人在质量保修期内，按照有关法律、法规、规章的管理规定和双方约定，承担本项目质量保修责任。</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4.承包方要对其所提供的施工、材料、设备及其内在工程质量负全部责任。</w:t>
      </w:r>
    </w:p>
    <w:p>
      <w:pPr>
        <w:pStyle w:val="4"/>
      </w:pPr>
      <w:r>
        <w:rPr>
          <w:rFonts w:hint="eastAsia"/>
        </w:rPr>
        <w:t>十二、其他要求</w:t>
      </w:r>
    </w:p>
    <w:p>
      <w:pPr>
        <w:widowControl/>
        <w:spacing w:line="360" w:lineRule="auto"/>
        <w:ind w:right="366" w:firstLine="420" w:firstLineChars="200"/>
        <w:rPr>
          <w:rFonts w:ascii="宋体" w:hAnsi="宋体" w:eastAsia="宋体" w:cs="宋体"/>
          <w:szCs w:val="21"/>
        </w:rPr>
      </w:pPr>
      <w:r>
        <w:rPr>
          <w:rFonts w:hint="eastAsia" w:ascii="宋体" w:hAnsi="宋体" w:eastAsia="宋体" w:cs="宋体"/>
          <w:szCs w:val="21"/>
        </w:rPr>
        <w:t>1、中标人施工前，要制定详细的施工方案和工程进度网络图，并标明各工序的逻辑关系和各工序的持续时间、资源配置计划。工程进度网络图要经监理、发包人认可后方可开工。开工前承包人应对施工图纸认真核查，在图纸会审三天前向监理方提出需要解释和澄清的问题清单，积极配合发包人组织的施工图纸会审及交底工作，及时指出图纸中有任何不符合施工常规或惯例之处。在施工过程中，由于承包人审图不仔细，施工图纸尺寸、标注等有明显错误而未发现，由此引起的返工费用与工期延后由施工单位承担。</w:t>
      </w:r>
    </w:p>
    <w:p>
      <w:pPr>
        <w:widowControl/>
        <w:spacing w:line="360" w:lineRule="auto"/>
        <w:ind w:right="366" w:firstLine="420" w:firstLineChars="200"/>
        <w:rPr>
          <w:rFonts w:ascii="宋体" w:hAnsi="宋体" w:eastAsia="宋体" w:cs="宋体"/>
          <w:szCs w:val="21"/>
        </w:rPr>
      </w:pPr>
      <w:r>
        <w:rPr>
          <w:rFonts w:hint="eastAsia" w:ascii="宋体" w:hAnsi="宋体" w:eastAsia="宋体" w:cs="宋体"/>
          <w:szCs w:val="21"/>
        </w:rPr>
        <w:t>2、因非承包人原因导致的工期延误，依据该工程进度网络图索赔工期，如因工程进度网络图编制错误或不详细或漏项或不具备可操作性或资源配置计划与实际不符，则索赔不成立。</w:t>
      </w:r>
    </w:p>
    <w:p>
      <w:pPr>
        <w:widowControl/>
        <w:spacing w:line="360" w:lineRule="auto"/>
        <w:ind w:right="366" w:firstLine="420" w:firstLineChars="200"/>
        <w:rPr>
          <w:rFonts w:ascii="宋体" w:hAnsi="宋体" w:eastAsia="宋体" w:cs="宋体"/>
          <w:szCs w:val="21"/>
        </w:rPr>
      </w:pPr>
      <w:r>
        <w:rPr>
          <w:rFonts w:hint="eastAsia" w:ascii="宋体" w:hAnsi="宋体" w:eastAsia="宋体" w:cs="宋体"/>
          <w:szCs w:val="21"/>
        </w:rPr>
        <w:t xml:space="preserve">3、承包人对工期延误发生后14日内提出顺延签证，逾期提出，发包人有权不予认可；未提出顺延签证的，视为工期不需顺延。 </w:t>
      </w:r>
    </w:p>
    <w:p>
      <w:pPr>
        <w:widowControl/>
        <w:spacing w:line="360" w:lineRule="auto"/>
        <w:ind w:right="366" w:firstLine="420" w:firstLineChars="200"/>
        <w:rPr>
          <w:rFonts w:ascii="宋体" w:hAnsi="宋体" w:eastAsia="宋体" w:cs="宋体"/>
          <w:sz w:val="20"/>
          <w:szCs w:val="20"/>
        </w:rPr>
      </w:pPr>
      <w:r>
        <w:rPr>
          <w:rFonts w:hint="eastAsia" w:ascii="宋体" w:hAnsi="宋体" w:eastAsia="宋体" w:cs="宋体"/>
          <w:szCs w:val="21"/>
        </w:rPr>
        <w:t xml:space="preserve">4、在工程实施过程中，如发现由于承包人资金投入原因引起材料供应、周转材料投 入、劳动力投入等不能满足施工需要，造成施工进度迟缓，第一次发包人以书面联系函予以通知警告，如不能改善，第二次发包人有权单方面无条件解除合同。由此造成所有损失由承包人承担。 </w:t>
      </w:r>
    </w:p>
    <w:p>
      <w:pPr>
        <w:widowControl/>
        <w:spacing w:line="360" w:lineRule="auto"/>
        <w:ind w:right="346" w:firstLine="420" w:firstLineChars="200"/>
        <w:rPr>
          <w:rFonts w:ascii="宋体" w:hAnsi="宋体" w:eastAsia="宋体" w:cs="宋体"/>
          <w:sz w:val="20"/>
          <w:szCs w:val="20"/>
        </w:rPr>
      </w:pPr>
      <w:r>
        <w:rPr>
          <w:rFonts w:hint="eastAsia" w:ascii="宋体" w:hAnsi="宋体" w:eastAsia="宋体" w:cs="宋体"/>
          <w:szCs w:val="21"/>
        </w:rPr>
        <w:t>5、施工过程做好隐蔽工程的验收，每个分项工程、检验批经建设单位验收合格后方可隐蔽。未经隐蔽工程验收就擅自隐蔽，建设单位有权进行剥露检查，发生费用由施工方负责。</w:t>
      </w:r>
    </w:p>
    <w:p>
      <w:pPr>
        <w:widowControl/>
        <w:spacing w:line="360" w:lineRule="auto"/>
        <w:ind w:right="346" w:firstLine="420" w:firstLineChars="200"/>
        <w:rPr>
          <w:rFonts w:ascii="宋体" w:hAnsi="宋体" w:eastAsia="宋体" w:cs="宋体"/>
          <w:sz w:val="20"/>
          <w:szCs w:val="20"/>
        </w:rPr>
      </w:pPr>
      <w:r>
        <w:rPr>
          <w:rFonts w:hint="eastAsia" w:ascii="宋体" w:hAnsi="宋体" w:eastAsia="宋体" w:cs="宋体"/>
          <w:szCs w:val="21"/>
        </w:rPr>
        <w:t>6、工程中使用材料必须是环保无污染材料，并进行防火处理。进场必须提供合格证和检测报告，按照验收规范要求进行材料复试的，由建设单位抽样进行复试，确保材料符合设计要求，达到防火、环保要求。电气使用管、盒、线等应符合设计防火 A 级要求，确保材料达到阻燃要求。</w:t>
      </w:r>
    </w:p>
    <w:p>
      <w:pPr>
        <w:widowControl/>
        <w:spacing w:line="360" w:lineRule="auto"/>
        <w:ind w:right="346" w:firstLine="420" w:firstLineChars="200"/>
        <w:rPr>
          <w:rFonts w:ascii="宋体" w:hAnsi="宋体" w:eastAsia="宋体" w:cs="宋体"/>
          <w:sz w:val="20"/>
          <w:szCs w:val="20"/>
        </w:rPr>
      </w:pPr>
      <w:r>
        <w:rPr>
          <w:rFonts w:hint="eastAsia" w:ascii="宋体" w:hAnsi="宋体" w:eastAsia="宋体" w:cs="宋体"/>
          <w:szCs w:val="21"/>
        </w:rPr>
        <w:t>7、工程中使用装饰材料在施工前，必须向建设单位提供样品、做样板，经建设单位确认后方可施工。否则返工发生费用施工方自行承担。</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8、工程使用材料、设备要建立档案，分部分项工程建立工程验收档案。工程完工后，向建设单位移交工程档案，档案资料不齐全、不符合要求，工程不予结算。</w:t>
      </w:r>
    </w:p>
    <w:p>
      <w:pPr>
        <w:widowControl/>
        <w:spacing w:line="360" w:lineRule="auto"/>
        <w:ind w:firstLine="400"/>
        <w:rPr>
          <w:rFonts w:ascii="宋体" w:hAnsi="宋体" w:eastAsia="宋体" w:cs="宋体"/>
          <w:szCs w:val="21"/>
        </w:rPr>
      </w:pPr>
      <w:bookmarkStart w:id="197" w:name="page25"/>
      <w:bookmarkEnd w:id="197"/>
      <w:r>
        <w:rPr>
          <w:rFonts w:hint="eastAsia" w:ascii="宋体" w:hAnsi="宋体" w:eastAsia="宋体" w:cs="宋体"/>
          <w:szCs w:val="21"/>
        </w:rPr>
        <w:t xml:space="preserve">9、承包人应充分考虑节假日、高温限电等因素对工程总工期目标的影响，要求承包 人必须提供相关保证正常施工方案及承诺，提前做好民工轮休安排，要有针对性实质措施，由此带来的工期延误，总工期不予顺延。 </w:t>
      </w:r>
    </w:p>
    <w:p>
      <w:pPr>
        <w:widowControl/>
        <w:spacing w:line="360" w:lineRule="auto"/>
        <w:ind w:firstLine="400"/>
        <w:rPr>
          <w:rFonts w:ascii="宋体" w:hAnsi="宋体" w:eastAsia="宋体" w:cs="宋体"/>
          <w:szCs w:val="21"/>
        </w:rPr>
      </w:pPr>
      <w:r>
        <w:rPr>
          <w:rFonts w:hint="eastAsia" w:ascii="宋体" w:hAnsi="宋体" w:eastAsia="宋体" w:cs="宋体"/>
          <w:szCs w:val="21"/>
        </w:rPr>
        <w:t xml:space="preserve">10、本工程工期有在夏季施工，投标人需考虑防暑降温措施。 </w:t>
      </w:r>
    </w:p>
    <w:p>
      <w:pPr>
        <w:widowControl/>
        <w:spacing w:line="360" w:lineRule="auto"/>
        <w:ind w:firstLine="400"/>
        <w:rPr>
          <w:rFonts w:ascii="宋体" w:hAnsi="宋体" w:eastAsia="宋体" w:cs="宋体"/>
          <w:szCs w:val="21"/>
        </w:rPr>
      </w:pPr>
      <w:r>
        <w:rPr>
          <w:rFonts w:hint="eastAsia" w:ascii="宋体" w:hAnsi="宋体" w:eastAsia="宋体" w:cs="宋体"/>
          <w:szCs w:val="21"/>
        </w:rPr>
        <w:t xml:space="preserve">11、当工程实际进度未达到分部分项进度计划工程量的80%以上的，发包人有权将承包人范围内的部分工程发包给其他施工单位，承包人不得干扰其他施工单位进场施工，否则，由此造成的费用、损失由承包人承担，且发包人有权拒绝支付承包人已完工程的工程款。 </w:t>
      </w:r>
    </w:p>
    <w:p>
      <w:pPr>
        <w:widowControl/>
        <w:spacing w:line="360" w:lineRule="auto"/>
        <w:ind w:firstLine="400"/>
        <w:rPr>
          <w:rFonts w:ascii="宋体" w:hAnsi="宋体" w:eastAsia="宋体" w:cs="宋体"/>
          <w:szCs w:val="21"/>
        </w:rPr>
      </w:pPr>
      <w:r>
        <w:rPr>
          <w:rFonts w:hint="eastAsia" w:ascii="宋体" w:hAnsi="宋体" w:eastAsia="宋体" w:cs="宋体"/>
          <w:szCs w:val="21"/>
        </w:rPr>
        <w:t>12、投标人须根据《保障农民工工资支付条款》《浙江省民营企业发展促进条例》和《住房和城乡建设部等部门关于加快推进房屋建筑和市政基础设施工程实行工程担保制度的指导意见》的规定对工资性工程款占合同总价的比例、支付时间、支付方式予以明确，施工企业对所承包工程的农民工工资支付负总责。</w:t>
      </w:r>
    </w:p>
    <w:p>
      <w:pPr>
        <w:widowControl/>
        <w:spacing w:line="360" w:lineRule="auto"/>
        <w:ind w:firstLine="400"/>
        <w:rPr>
          <w:rFonts w:ascii="宋体" w:hAnsi="宋体" w:eastAsia="宋体" w:cs="宋体"/>
          <w:szCs w:val="21"/>
        </w:rPr>
      </w:pPr>
      <w:r>
        <w:rPr>
          <w:rFonts w:hint="eastAsia" w:ascii="宋体" w:hAnsi="宋体" w:eastAsia="宋体" w:cs="宋体"/>
          <w:szCs w:val="21"/>
        </w:rPr>
        <w:t>13、本项目施工材料搬运和建筑垃圾搬运均采用人工搬运，不提供机械（电梯）搬运，投标人须充分考虑人工搬运费用和垃圾清运费用。</w:t>
      </w:r>
    </w:p>
    <w:p>
      <w:pPr>
        <w:widowControl/>
        <w:spacing w:line="360" w:lineRule="auto"/>
        <w:ind w:firstLine="400"/>
        <w:rPr>
          <w:rFonts w:ascii="宋体" w:hAnsi="宋体" w:eastAsia="宋体" w:cs="宋体"/>
          <w:szCs w:val="21"/>
        </w:rPr>
      </w:pPr>
      <w:r>
        <w:rPr>
          <w:rFonts w:hint="eastAsia" w:ascii="宋体" w:hAnsi="宋体" w:eastAsia="宋体" w:cs="宋体"/>
          <w:szCs w:val="21"/>
        </w:rPr>
        <w:t>14、工程结束后施工方在自检合格基础上，报建设单位验收。建设单位组织设计、施工相关参与方进行验收，相关设备、仪器等功能检测要求进行现场试验和检测，验收合格方可投入使用。</w:t>
      </w:r>
    </w:p>
    <w:p>
      <w:pPr>
        <w:pStyle w:val="29"/>
        <w:spacing w:before="0"/>
        <w:ind w:firstLine="420"/>
        <w:rPr>
          <w:rFonts w:ascii="宋体" w:hAnsi="宋体" w:eastAsia="宋体" w:cs="宋体"/>
          <w:bCs/>
          <w:sz w:val="21"/>
          <w:szCs w:val="21"/>
        </w:rPr>
      </w:pPr>
      <w:r>
        <w:rPr>
          <w:rFonts w:hint="eastAsia" w:ascii="宋体" w:hAnsi="宋体" w:eastAsia="宋体" w:cs="宋体"/>
          <w:bCs/>
          <w:sz w:val="21"/>
          <w:szCs w:val="21"/>
        </w:rPr>
        <w:t>15、投标人应先到工地踏勘以充分了解工地位置、周边环境、需拆除部分情况、道路、储存空间、装卸限制及任何其它足以影响承包价的情况，任何因忽视或误解工地情况而导致的索赔或工期延长申请将不获批准。</w:t>
      </w:r>
    </w:p>
    <w:p>
      <w:pPr>
        <w:widowControl/>
        <w:spacing w:line="360" w:lineRule="auto"/>
        <w:ind w:firstLine="210" w:firstLineChars="100"/>
        <w:rPr>
          <w:rFonts w:ascii="宋体" w:hAnsi="宋体" w:eastAsia="宋体" w:cs="宋体"/>
          <w:szCs w:val="21"/>
        </w:rPr>
      </w:pPr>
      <w:r>
        <w:rPr>
          <w:rFonts w:hint="eastAsia" w:ascii="宋体" w:hAnsi="宋体" w:eastAsia="宋体" w:cs="宋体"/>
          <w:szCs w:val="21"/>
        </w:rPr>
        <w:t>▲16、如因疫情原因导致投标人不能继续施工，以至于无法或不能按时完成装修改造任务的，采购人有权终止合同，并选择本次招标综合评分第二名的投标人作为中标单位（以此类推）</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17、中标人应严格按照采购人的要求，结合工程量清单、图纸及现场实际情况进行施工，由于活动中心非整体装修，故须做好成品保护工作；杜绝偷工减料、以次充好等情况的发生。</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18、投标人必须做好配合采购人工作，不得有意刁难或拒绝配合，否则招标人有权没收投标人履约保证金。</w:t>
      </w:r>
    </w:p>
    <w:p>
      <w:pPr>
        <w:pStyle w:val="4"/>
      </w:pPr>
      <w:r>
        <w:rPr>
          <w:rFonts w:hint="eastAsia"/>
        </w:rPr>
        <w:t>十三、图纸及工程量清单（另附）；</w:t>
      </w:r>
    </w:p>
    <w:p>
      <w:pPr>
        <w:pStyle w:val="4"/>
      </w:pPr>
      <w:r>
        <w:rPr>
          <w:rFonts w:hint="eastAsia"/>
        </w:rPr>
        <w:t>十四、主要材料设备推荐品牌表</w:t>
      </w:r>
    </w:p>
    <w:tbl>
      <w:tblPr>
        <w:tblStyle w:val="18"/>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3"/>
        <w:gridCol w:w="4572"/>
        <w:gridCol w:w="4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pPr>
              <w:jc w:val="center"/>
              <w:rPr>
                <w:b/>
                <w:bCs/>
              </w:rPr>
            </w:pPr>
            <w:r>
              <w:rPr>
                <w:rFonts w:hint="eastAsia"/>
                <w:b/>
                <w:bCs/>
              </w:rPr>
              <w:t>序号号</w:t>
            </w:r>
          </w:p>
        </w:tc>
        <w:tc>
          <w:tcPr>
            <w:tcW w:w="2487" w:type="pct"/>
            <w:vAlign w:val="center"/>
          </w:tcPr>
          <w:p>
            <w:pPr>
              <w:jc w:val="center"/>
              <w:rPr>
                <w:b/>
                <w:bCs/>
              </w:rPr>
            </w:pPr>
            <w:r>
              <w:rPr>
                <w:rFonts w:hint="eastAsia"/>
                <w:b/>
                <w:bCs/>
              </w:rPr>
              <w:t>项目</w:t>
            </w:r>
          </w:p>
        </w:tc>
        <w:tc>
          <w:tcPr>
            <w:tcW w:w="2185" w:type="pct"/>
            <w:vAlign w:val="center"/>
          </w:tcPr>
          <w:p>
            <w:pPr>
              <w:jc w:val="center"/>
              <w:rPr>
                <w:b/>
                <w:bCs/>
              </w:rPr>
            </w:pPr>
            <w:r>
              <w:rPr>
                <w:rFonts w:hint="eastAsia"/>
                <w:b/>
                <w:bCs/>
              </w:rPr>
              <w:t>推荐品牌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exact"/>
        </w:trPr>
        <w:tc>
          <w:tcPr>
            <w:tcW w:w="328" w:type="pct"/>
            <w:vAlign w:val="center"/>
          </w:tcPr>
          <w:p>
            <w:r>
              <w:rPr>
                <w:rFonts w:hint="eastAsia"/>
              </w:rPr>
              <w:t>1</w:t>
            </w:r>
          </w:p>
        </w:tc>
        <w:tc>
          <w:tcPr>
            <w:tcW w:w="2487" w:type="pct"/>
            <w:vAlign w:val="center"/>
          </w:tcPr>
          <w:p>
            <w:r>
              <w:rPr>
                <w:rFonts w:hint="eastAsia"/>
              </w:rPr>
              <w:t>洁净保温钢板墙面</w:t>
            </w:r>
          </w:p>
        </w:tc>
        <w:tc>
          <w:tcPr>
            <w:tcW w:w="2185" w:type="pct"/>
            <w:vAlign w:val="center"/>
          </w:tcPr>
          <w:p>
            <w:r>
              <w:rPr>
                <w:rFonts w:hint="eastAsia"/>
              </w:rPr>
              <w:t>林森/兴铁/协多利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2</w:t>
            </w:r>
          </w:p>
        </w:tc>
        <w:tc>
          <w:tcPr>
            <w:tcW w:w="2487" w:type="pct"/>
            <w:vAlign w:val="center"/>
          </w:tcPr>
          <w:p>
            <w:r>
              <w:rPr>
                <w:rFonts w:hint="eastAsia"/>
              </w:rPr>
              <w:t>PVC地板</w:t>
            </w:r>
          </w:p>
        </w:tc>
        <w:tc>
          <w:tcPr>
            <w:tcW w:w="2185" w:type="pct"/>
            <w:vAlign w:val="center"/>
          </w:tcPr>
          <w:p>
            <w:r>
              <w:rPr>
                <w:rFonts w:hint="eastAsia"/>
              </w:rPr>
              <w:t>波世嘉/阿姆斯壮/诺拉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3</w:t>
            </w:r>
          </w:p>
        </w:tc>
        <w:tc>
          <w:tcPr>
            <w:tcW w:w="2487" w:type="pct"/>
            <w:vAlign w:val="center"/>
          </w:tcPr>
          <w:p>
            <w:r>
              <w:rPr>
                <w:rFonts w:hint="eastAsia"/>
              </w:rPr>
              <w:t>成品保温钢板门</w:t>
            </w:r>
          </w:p>
        </w:tc>
        <w:tc>
          <w:tcPr>
            <w:tcW w:w="2185" w:type="pct"/>
            <w:vAlign w:val="center"/>
          </w:tcPr>
          <w:p>
            <w:r>
              <w:rPr>
                <w:rFonts w:hint="eastAsia"/>
              </w:rPr>
              <w:t>林森/兴铁/协多利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4</w:t>
            </w:r>
          </w:p>
        </w:tc>
        <w:tc>
          <w:tcPr>
            <w:tcW w:w="2487" w:type="pct"/>
            <w:vAlign w:val="center"/>
          </w:tcPr>
          <w:p>
            <w:r>
              <w:rPr>
                <w:rFonts w:hint="eastAsia"/>
              </w:rPr>
              <w:t>风淋室、传递窗</w:t>
            </w:r>
          </w:p>
        </w:tc>
        <w:tc>
          <w:tcPr>
            <w:tcW w:w="2185" w:type="pct"/>
            <w:vAlign w:val="center"/>
          </w:tcPr>
          <w:p>
            <w:r>
              <w:rPr>
                <w:rFonts w:hint="eastAsia"/>
              </w:rPr>
              <w:t>KLC/苏净安泰/嘉创博远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5</w:t>
            </w:r>
          </w:p>
        </w:tc>
        <w:tc>
          <w:tcPr>
            <w:tcW w:w="2487" w:type="pct"/>
            <w:vAlign w:val="center"/>
          </w:tcPr>
          <w:p>
            <w:r>
              <w:rPr>
                <w:rFonts w:hint="eastAsia"/>
              </w:rPr>
              <w:t>铝板吊顶、铝板吊顶龙骨</w:t>
            </w:r>
          </w:p>
        </w:tc>
        <w:tc>
          <w:tcPr>
            <w:tcW w:w="2185" w:type="pct"/>
            <w:vAlign w:val="center"/>
          </w:tcPr>
          <w:p>
            <w:r>
              <w:rPr>
                <w:rFonts w:hint="eastAsia"/>
              </w:rPr>
              <w:t>建龙/欧立格/浦飞尔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6</w:t>
            </w:r>
          </w:p>
        </w:tc>
        <w:tc>
          <w:tcPr>
            <w:tcW w:w="2487" w:type="pct"/>
            <w:vAlign w:val="center"/>
          </w:tcPr>
          <w:p>
            <w:r>
              <w:rPr>
                <w:rFonts w:hint="eastAsia"/>
              </w:rPr>
              <w:t>镀锌钢板</w:t>
            </w:r>
          </w:p>
        </w:tc>
        <w:tc>
          <w:tcPr>
            <w:tcW w:w="2185" w:type="pct"/>
            <w:vAlign w:val="center"/>
          </w:tcPr>
          <w:p>
            <w:r>
              <w:rPr>
                <w:rFonts w:hint="eastAsia"/>
              </w:rPr>
              <w:t>武钢/马钢/鞍钢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7</w:t>
            </w:r>
          </w:p>
        </w:tc>
        <w:tc>
          <w:tcPr>
            <w:tcW w:w="2487" w:type="pct"/>
            <w:vAlign w:val="center"/>
          </w:tcPr>
          <w:p>
            <w:r>
              <w:rPr>
                <w:rFonts w:hint="eastAsia"/>
              </w:rPr>
              <w:t>散流器、回风百叶</w:t>
            </w:r>
          </w:p>
        </w:tc>
        <w:tc>
          <w:tcPr>
            <w:tcW w:w="2185" w:type="pct"/>
            <w:vAlign w:val="center"/>
          </w:tcPr>
          <w:p>
            <w:r>
              <w:rPr>
                <w:rFonts w:hint="eastAsia"/>
              </w:rPr>
              <w:t>阿斯顿/盈达/妥思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8</w:t>
            </w:r>
          </w:p>
        </w:tc>
        <w:tc>
          <w:tcPr>
            <w:tcW w:w="2487" w:type="pct"/>
            <w:vAlign w:val="center"/>
          </w:tcPr>
          <w:p>
            <w:r>
              <w:rPr>
                <w:rFonts w:hint="eastAsia"/>
              </w:rPr>
              <w:t>高效送风口</w:t>
            </w:r>
          </w:p>
        </w:tc>
        <w:tc>
          <w:tcPr>
            <w:tcW w:w="2185" w:type="pct"/>
            <w:vAlign w:val="center"/>
          </w:tcPr>
          <w:p>
            <w:r>
              <w:rPr>
                <w:rFonts w:hint="eastAsia"/>
              </w:rPr>
              <w:t>AAF/camfil/airtech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9</w:t>
            </w:r>
          </w:p>
        </w:tc>
        <w:tc>
          <w:tcPr>
            <w:tcW w:w="2487" w:type="pct"/>
            <w:vAlign w:val="center"/>
          </w:tcPr>
          <w:p>
            <w:r>
              <w:rPr>
                <w:rFonts w:hint="eastAsia"/>
              </w:rPr>
              <w:t>FFU</w:t>
            </w:r>
          </w:p>
        </w:tc>
        <w:tc>
          <w:tcPr>
            <w:tcW w:w="2185" w:type="pct"/>
            <w:vAlign w:val="center"/>
          </w:tcPr>
          <w:p>
            <w:r>
              <w:rPr>
                <w:rFonts w:hint="eastAsia"/>
              </w:rPr>
              <w:t>AAF/camfil/airtech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10</w:t>
            </w:r>
          </w:p>
        </w:tc>
        <w:tc>
          <w:tcPr>
            <w:tcW w:w="2487" w:type="pct"/>
            <w:vAlign w:val="center"/>
          </w:tcPr>
          <w:p>
            <w:r>
              <w:rPr>
                <w:rFonts w:hint="eastAsia"/>
              </w:rPr>
              <w:t>手动、电动调节阀；防火调节阀</w:t>
            </w:r>
          </w:p>
        </w:tc>
        <w:tc>
          <w:tcPr>
            <w:tcW w:w="2185" w:type="pct"/>
            <w:vAlign w:val="center"/>
          </w:tcPr>
          <w:p>
            <w:r>
              <w:rPr>
                <w:rFonts w:hint="eastAsia"/>
              </w:rPr>
              <w:t>阿斯顿/盈达/妥思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11</w:t>
            </w:r>
          </w:p>
        </w:tc>
        <w:tc>
          <w:tcPr>
            <w:tcW w:w="2487" w:type="pct"/>
            <w:vAlign w:val="center"/>
          </w:tcPr>
          <w:p>
            <w:r>
              <w:rPr>
                <w:rFonts w:hint="eastAsia"/>
              </w:rPr>
              <w:t>风冷模块热泵机组</w:t>
            </w:r>
          </w:p>
        </w:tc>
        <w:tc>
          <w:tcPr>
            <w:tcW w:w="2185" w:type="pct"/>
            <w:vAlign w:val="center"/>
          </w:tcPr>
          <w:p>
            <w:r>
              <w:rPr>
                <w:rFonts w:hint="eastAsia"/>
              </w:rPr>
              <w:t>麦克维尔/约克/特灵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12</w:t>
            </w:r>
          </w:p>
        </w:tc>
        <w:tc>
          <w:tcPr>
            <w:tcW w:w="2487" w:type="pct"/>
            <w:vAlign w:val="center"/>
          </w:tcPr>
          <w:p>
            <w:r>
              <w:rPr>
                <w:rFonts w:hint="eastAsia"/>
              </w:rPr>
              <w:t>恒温恒湿净化组合式空调机组</w:t>
            </w:r>
          </w:p>
        </w:tc>
        <w:tc>
          <w:tcPr>
            <w:tcW w:w="2185" w:type="pct"/>
            <w:vAlign w:val="center"/>
          </w:tcPr>
          <w:p>
            <w:r>
              <w:rPr>
                <w:rFonts w:hint="eastAsia"/>
              </w:rPr>
              <w:t>天加/约克/麦克维尔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13</w:t>
            </w:r>
          </w:p>
        </w:tc>
        <w:tc>
          <w:tcPr>
            <w:tcW w:w="2487" w:type="pct"/>
            <w:vAlign w:val="center"/>
          </w:tcPr>
          <w:p>
            <w:r>
              <w:rPr>
                <w:rFonts w:hint="eastAsia"/>
              </w:rPr>
              <w:t>玻璃钢离心风机</w:t>
            </w:r>
          </w:p>
        </w:tc>
        <w:tc>
          <w:tcPr>
            <w:tcW w:w="2185" w:type="pct"/>
            <w:vAlign w:val="center"/>
          </w:tcPr>
          <w:p>
            <w:r>
              <w:rPr>
                <w:rFonts w:hint="eastAsia"/>
              </w:rPr>
              <w:t>顶裕/沃克/科禄格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14</w:t>
            </w:r>
          </w:p>
        </w:tc>
        <w:tc>
          <w:tcPr>
            <w:tcW w:w="2487" w:type="pct"/>
            <w:vAlign w:val="center"/>
          </w:tcPr>
          <w:p>
            <w:r>
              <w:rPr>
                <w:rFonts w:hint="eastAsia"/>
              </w:rPr>
              <w:t>定风量/变风量文丘里阀</w:t>
            </w:r>
          </w:p>
        </w:tc>
        <w:tc>
          <w:tcPr>
            <w:tcW w:w="2185" w:type="pct"/>
            <w:vAlign w:val="center"/>
          </w:tcPr>
          <w:p>
            <w:r>
              <w:rPr>
                <w:rFonts w:hint="eastAsia"/>
              </w:rPr>
              <w:t>Control smart/妥思/菲尼克斯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15</w:t>
            </w:r>
          </w:p>
        </w:tc>
        <w:tc>
          <w:tcPr>
            <w:tcW w:w="2487" w:type="pct"/>
            <w:vAlign w:val="center"/>
          </w:tcPr>
          <w:p>
            <w:r>
              <w:rPr>
                <w:rFonts w:hint="eastAsia"/>
              </w:rPr>
              <w:t>流量传感器（电磁流量计）</w:t>
            </w:r>
          </w:p>
        </w:tc>
        <w:tc>
          <w:tcPr>
            <w:tcW w:w="2185" w:type="pct"/>
            <w:vAlign w:val="center"/>
          </w:tcPr>
          <w:p>
            <w:r>
              <w:rPr>
                <w:rFonts w:hint="eastAsia"/>
              </w:rPr>
              <w:t>E+H/西门子/艾默生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16</w:t>
            </w:r>
          </w:p>
        </w:tc>
        <w:tc>
          <w:tcPr>
            <w:tcW w:w="2487" w:type="pct"/>
            <w:vAlign w:val="center"/>
          </w:tcPr>
          <w:p>
            <w:r>
              <w:rPr>
                <w:rFonts w:hint="eastAsia"/>
              </w:rPr>
              <w:t>PT100温度传感器</w:t>
            </w:r>
          </w:p>
        </w:tc>
        <w:tc>
          <w:tcPr>
            <w:tcW w:w="2185" w:type="pct"/>
            <w:vAlign w:val="center"/>
          </w:tcPr>
          <w:p>
            <w:r>
              <w:rPr>
                <w:rFonts w:hint="eastAsia"/>
              </w:rPr>
              <w:t>E+H/西门子/艾默生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17</w:t>
            </w:r>
          </w:p>
        </w:tc>
        <w:tc>
          <w:tcPr>
            <w:tcW w:w="2487" w:type="pct"/>
            <w:vAlign w:val="center"/>
          </w:tcPr>
          <w:p>
            <w:r>
              <w:rPr>
                <w:rFonts w:hint="eastAsia"/>
              </w:rPr>
              <w:t>计算仪</w:t>
            </w:r>
          </w:p>
        </w:tc>
        <w:tc>
          <w:tcPr>
            <w:tcW w:w="2185" w:type="pct"/>
            <w:vAlign w:val="center"/>
          </w:tcPr>
          <w:p>
            <w:r>
              <w:rPr>
                <w:rFonts w:hint="eastAsia"/>
              </w:rPr>
              <w:t>E+H/西门子/艾默生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vAlign w:val="center"/>
          </w:tcPr>
          <w:p>
            <w:r>
              <w:rPr>
                <w:rFonts w:hint="eastAsia"/>
              </w:rPr>
              <w:t>18</w:t>
            </w:r>
          </w:p>
        </w:tc>
        <w:tc>
          <w:tcPr>
            <w:tcW w:w="2487" w:type="pct"/>
            <w:vAlign w:val="center"/>
          </w:tcPr>
          <w:p>
            <w:r>
              <w:rPr>
                <w:rFonts w:hint="eastAsia"/>
              </w:rPr>
              <w:t>风冷无油涡旋式空压机</w:t>
            </w:r>
          </w:p>
        </w:tc>
        <w:tc>
          <w:tcPr>
            <w:tcW w:w="2185" w:type="pct"/>
            <w:vAlign w:val="center"/>
          </w:tcPr>
          <w:p>
            <w:r>
              <w:rPr>
                <w:rFonts w:hint="eastAsia"/>
              </w:rPr>
              <w:t>日立、阿特拉斯、英格索兰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tcBorders>
              <w:top w:val="single" w:color="auto" w:sz="4" w:space="0"/>
              <w:left w:val="single" w:color="auto" w:sz="4" w:space="0"/>
              <w:bottom w:val="single" w:color="auto" w:sz="4" w:space="0"/>
              <w:right w:val="single" w:color="auto" w:sz="4" w:space="0"/>
            </w:tcBorders>
            <w:vAlign w:val="center"/>
          </w:tcPr>
          <w:p>
            <w:r>
              <w:rPr>
                <w:rFonts w:hint="eastAsia"/>
              </w:rPr>
              <w:t>19</w:t>
            </w:r>
          </w:p>
        </w:tc>
        <w:tc>
          <w:tcPr>
            <w:tcW w:w="2487" w:type="pct"/>
            <w:tcBorders>
              <w:top w:val="single" w:color="auto" w:sz="4" w:space="0"/>
              <w:left w:val="single" w:color="auto" w:sz="4" w:space="0"/>
              <w:bottom w:val="single" w:color="auto" w:sz="4" w:space="0"/>
              <w:right w:val="single" w:color="auto" w:sz="4" w:space="0"/>
            </w:tcBorders>
            <w:vAlign w:val="center"/>
          </w:tcPr>
          <w:p>
            <w:r>
              <w:rPr>
                <w:rFonts w:hint="eastAsia"/>
              </w:rPr>
              <w:t>风冷冷冻式干燥机</w:t>
            </w:r>
          </w:p>
        </w:tc>
        <w:tc>
          <w:tcPr>
            <w:tcW w:w="2185" w:type="pct"/>
            <w:tcBorders>
              <w:top w:val="single" w:color="auto" w:sz="4" w:space="0"/>
              <w:left w:val="single" w:color="auto" w:sz="4" w:space="0"/>
              <w:bottom w:val="single" w:color="auto" w:sz="4" w:space="0"/>
              <w:right w:val="single" w:color="auto" w:sz="4" w:space="0"/>
            </w:tcBorders>
            <w:vAlign w:val="center"/>
          </w:tcPr>
          <w:p>
            <w:r>
              <w:rPr>
                <w:rFonts w:hint="eastAsia"/>
              </w:rPr>
              <w:t>纽曼泰克、阿特拉斯、英格索兰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tcBorders>
              <w:top w:val="single" w:color="auto" w:sz="4" w:space="0"/>
              <w:left w:val="single" w:color="auto" w:sz="4" w:space="0"/>
              <w:bottom w:val="single" w:color="auto" w:sz="4" w:space="0"/>
              <w:right w:val="single" w:color="auto" w:sz="4" w:space="0"/>
            </w:tcBorders>
            <w:vAlign w:val="center"/>
          </w:tcPr>
          <w:p>
            <w:r>
              <w:rPr>
                <w:rFonts w:hint="eastAsia"/>
              </w:rPr>
              <w:t>20</w:t>
            </w:r>
          </w:p>
        </w:tc>
        <w:tc>
          <w:tcPr>
            <w:tcW w:w="2487" w:type="pct"/>
            <w:tcBorders>
              <w:top w:val="single" w:color="auto" w:sz="4" w:space="0"/>
              <w:left w:val="single" w:color="auto" w:sz="4" w:space="0"/>
              <w:bottom w:val="single" w:color="auto" w:sz="4" w:space="0"/>
              <w:right w:val="single" w:color="auto" w:sz="4" w:space="0"/>
            </w:tcBorders>
            <w:vAlign w:val="center"/>
          </w:tcPr>
          <w:p>
            <w:r>
              <w:rPr>
                <w:rFonts w:hint="eastAsia"/>
              </w:rPr>
              <w:t>无热吸附式干燥机</w:t>
            </w:r>
          </w:p>
        </w:tc>
        <w:tc>
          <w:tcPr>
            <w:tcW w:w="2185" w:type="pct"/>
            <w:tcBorders>
              <w:top w:val="single" w:color="auto" w:sz="4" w:space="0"/>
              <w:left w:val="single" w:color="auto" w:sz="4" w:space="0"/>
              <w:bottom w:val="single" w:color="auto" w:sz="4" w:space="0"/>
              <w:right w:val="single" w:color="auto" w:sz="4" w:space="0"/>
            </w:tcBorders>
            <w:vAlign w:val="center"/>
          </w:tcPr>
          <w:p>
            <w:r>
              <w:rPr>
                <w:rFonts w:hint="eastAsia"/>
              </w:rPr>
              <w:t>纽曼泰克、阿特拉斯、英格索兰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tcBorders>
              <w:top w:val="single" w:color="auto" w:sz="4" w:space="0"/>
              <w:left w:val="single" w:color="auto" w:sz="4" w:space="0"/>
              <w:bottom w:val="single" w:color="auto" w:sz="4" w:space="0"/>
              <w:right w:val="single" w:color="auto" w:sz="4" w:space="0"/>
            </w:tcBorders>
            <w:vAlign w:val="center"/>
          </w:tcPr>
          <w:p>
            <w:r>
              <w:rPr>
                <w:rFonts w:hint="eastAsia"/>
              </w:rPr>
              <w:t>21</w:t>
            </w:r>
          </w:p>
        </w:tc>
        <w:tc>
          <w:tcPr>
            <w:tcW w:w="2487" w:type="pct"/>
            <w:tcBorders>
              <w:top w:val="single" w:color="auto" w:sz="4" w:space="0"/>
              <w:left w:val="single" w:color="auto" w:sz="4" w:space="0"/>
              <w:bottom w:val="single" w:color="auto" w:sz="4" w:space="0"/>
              <w:right w:val="single" w:color="auto" w:sz="4" w:space="0"/>
            </w:tcBorders>
            <w:vAlign w:val="center"/>
          </w:tcPr>
          <w:p>
            <w:r>
              <w:rPr>
                <w:rFonts w:hint="eastAsia"/>
              </w:rPr>
              <w:t>过滤器</w:t>
            </w:r>
          </w:p>
        </w:tc>
        <w:tc>
          <w:tcPr>
            <w:tcW w:w="2185" w:type="pct"/>
            <w:tcBorders>
              <w:top w:val="single" w:color="auto" w:sz="4" w:space="0"/>
              <w:left w:val="single" w:color="auto" w:sz="4" w:space="0"/>
              <w:bottom w:val="single" w:color="auto" w:sz="4" w:space="0"/>
              <w:right w:val="single" w:color="auto" w:sz="4" w:space="0"/>
            </w:tcBorders>
            <w:vAlign w:val="center"/>
          </w:tcPr>
          <w:p>
            <w:r>
              <w:rPr>
                <w:rFonts w:hint="eastAsia"/>
              </w:rPr>
              <w:t>纽曼泰克、阿特拉斯、英格索兰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328" w:type="pct"/>
            <w:tcBorders>
              <w:top w:val="single" w:color="auto" w:sz="4" w:space="0"/>
              <w:left w:val="single" w:color="auto" w:sz="4" w:space="0"/>
              <w:bottom w:val="single" w:color="auto" w:sz="4" w:space="0"/>
              <w:right w:val="single" w:color="auto" w:sz="4" w:space="0"/>
            </w:tcBorders>
            <w:vAlign w:val="center"/>
          </w:tcPr>
          <w:p>
            <w:r>
              <w:rPr>
                <w:rFonts w:hint="eastAsia"/>
              </w:rPr>
              <w:t>22</w:t>
            </w:r>
          </w:p>
        </w:tc>
        <w:tc>
          <w:tcPr>
            <w:tcW w:w="2487" w:type="pct"/>
            <w:tcBorders>
              <w:top w:val="single" w:color="auto" w:sz="4" w:space="0"/>
              <w:left w:val="single" w:color="auto" w:sz="4" w:space="0"/>
              <w:bottom w:val="single" w:color="auto" w:sz="4" w:space="0"/>
              <w:right w:val="single" w:color="auto" w:sz="4" w:space="0"/>
            </w:tcBorders>
            <w:vAlign w:val="center"/>
          </w:tcPr>
          <w:p>
            <w:r>
              <w:rPr>
                <w:rFonts w:hint="eastAsia"/>
              </w:rPr>
              <w:t>二级减压阀</w:t>
            </w:r>
          </w:p>
        </w:tc>
        <w:tc>
          <w:tcPr>
            <w:tcW w:w="2185" w:type="pct"/>
            <w:tcBorders>
              <w:top w:val="single" w:color="auto" w:sz="4" w:space="0"/>
              <w:left w:val="single" w:color="auto" w:sz="4" w:space="0"/>
              <w:bottom w:val="single" w:color="auto" w:sz="4" w:space="0"/>
              <w:right w:val="single" w:color="auto" w:sz="4" w:space="0"/>
            </w:tcBorders>
            <w:vAlign w:val="center"/>
          </w:tcPr>
          <w:p>
            <w:r>
              <w:rPr>
                <w:rFonts w:hint="eastAsia"/>
              </w:rPr>
              <w:t>VIGOUR、Swagelok、Spectron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328" w:type="pct"/>
            <w:tcBorders>
              <w:top w:val="single" w:color="auto" w:sz="4" w:space="0"/>
              <w:left w:val="single" w:color="auto" w:sz="4" w:space="0"/>
              <w:bottom w:val="single" w:color="auto" w:sz="4" w:space="0"/>
              <w:right w:val="single" w:color="auto" w:sz="4" w:space="0"/>
            </w:tcBorders>
            <w:vAlign w:val="center"/>
          </w:tcPr>
          <w:p>
            <w:r>
              <w:rPr>
                <w:rFonts w:hint="eastAsia"/>
              </w:rPr>
              <w:t>23</w:t>
            </w:r>
          </w:p>
        </w:tc>
        <w:tc>
          <w:tcPr>
            <w:tcW w:w="2487" w:type="pct"/>
            <w:tcBorders>
              <w:top w:val="single" w:color="auto" w:sz="4" w:space="0"/>
              <w:left w:val="single" w:color="auto" w:sz="4" w:space="0"/>
              <w:bottom w:val="single" w:color="auto" w:sz="4" w:space="0"/>
              <w:right w:val="single" w:color="auto" w:sz="4" w:space="0"/>
            </w:tcBorders>
            <w:vAlign w:val="center"/>
          </w:tcPr>
          <w:p>
            <w:r>
              <w:rPr>
                <w:rFonts w:hint="eastAsia"/>
              </w:rPr>
              <w:t>膜阀</w:t>
            </w:r>
          </w:p>
        </w:tc>
        <w:tc>
          <w:tcPr>
            <w:tcW w:w="2185" w:type="pct"/>
            <w:tcBorders>
              <w:top w:val="single" w:color="auto" w:sz="4" w:space="0"/>
              <w:left w:val="single" w:color="auto" w:sz="4" w:space="0"/>
              <w:bottom w:val="single" w:color="auto" w:sz="4" w:space="0"/>
              <w:right w:val="single" w:color="auto" w:sz="4" w:space="0"/>
            </w:tcBorders>
            <w:vAlign w:val="center"/>
          </w:tcPr>
          <w:p>
            <w:r>
              <w:rPr>
                <w:rFonts w:hint="eastAsia"/>
              </w:rPr>
              <w:t>KITZ、Swagelok、Fujikin</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5" w:hRule="atLeast"/>
        </w:trPr>
        <w:tc>
          <w:tcPr>
            <w:tcW w:w="328" w:type="pct"/>
            <w:tcBorders>
              <w:top w:val="nil"/>
              <w:left w:val="single" w:color="auto" w:sz="8" w:space="0"/>
              <w:bottom w:val="single" w:color="auto" w:sz="4" w:space="0"/>
              <w:right w:val="single" w:color="auto" w:sz="4" w:space="0"/>
            </w:tcBorders>
            <w:vAlign w:val="center"/>
          </w:tcPr>
          <w:p>
            <w:r>
              <w:rPr>
                <w:rFonts w:hint="eastAsia"/>
              </w:rPr>
              <w:t>24</w:t>
            </w:r>
          </w:p>
        </w:tc>
        <w:tc>
          <w:tcPr>
            <w:tcW w:w="2487" w:type="pct"/>
            <w:tcBorders>
              <w:top w:val="nil"/>
              <w:left w:val="nil"/>
              <w:bottom w:val="single" w:color="auto" w:sz="4" w:space="0"/>
              <w:right w:val="single" w:color="auto" w:sz="4" w:space="0"/>
            </w:tcBorders>
            <w:vAlign w:val="center"/>
          </w:tcPr>
          <w:p>
            <w:r>
              <w:rPr>
                <w:rFonts w:hint="eastAsia"/>
              </w:rPr>
              <w:t>调压阀</w:t>
            </w:r>
          </w:p>
        </w:tc>
        <w:tc>
          <w:tcPr>
            <w:tcW w:w="2185" w:type="pct"/>
            <w:tcBorders>
              <w:top w:val="nil"/>
              <w:left w:val="nil"/>
              <w:bottom w:val="single" w:color="auto" w:sz="4" w:space="0"/>
              <w:right w:val="single" w:color="auto" w:sz="4" w:space="0"/>
            </w:tcBorders>
            <w:vAlign w:val="center"/>
          </w:tcPr>
          <w:p>
            <w:r>
              <w:rPr>
                <w:rFonts w:hint="eastAsia"/>
              </w:rPr>
              <w:t>Aptech、Parker、Tescom</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5" w:hRule="atLeast"/>
        </w:trPr>
        <w:tc>
          <w:tcPr>
            <w:tcW w:w="328" w:type="pct"/>
            <w:tcBorders>
              <w:top w:val="nil"/>
              <w:left w:val="single" w:color="auto" w:sz="8" w:space="0"/>
              <w:bottom w:val="single" w:color="auto" w:sz="4" w:space="0"/>
              <w:right w:val="single" w:color="auto" w:sz="4" w:space="0"/>
            </w:tcBorders>
            <w:vAlign w:val="center"/>
          </w:tcPr>
          <w:p>
            <w:r>
              <w:rPr>
                <w:rFonts w:hint="eastAsia"/>
              </w:rPr>
              <w:t>25</w:t>
            </w:r>
          </w:p>
        </w:tc>
        <w:tc>
          <w:tcPr>
            <w:tcW w:w="2487" w:type="pct"/>
            <w:tcBorders>
              <w:top w:val="nil"/>
              <w:left w:val="nil"/>
              <w:bottom w:val="single" w:color="auto" w:sz="4" w:space="0"/>
              <w:right w:val="single" w:color="auto" w:sz="4" w:space="0"/>
            </w:tcBorders>
            <w:vAlign w:val="center"/>
          </w:tcPr>
          <w:p>
            <w:r>
              <w:rPr>
                <w:rFonts w:hint="eastAsia"/>
              </w:rPr>
              <w:t>气动阀</w:t>
            </w:r>
          </w:p>
        </w:tc>
        <w:tc>
          <w:tcPr>
            <w:tcW w:w="2185" w:type="pct"/>
            <w:tcBorders>
              <w:top w:val="nil"/>
              <w:left w:val="nil"/>
              <w:bottom w:val="single" w:color="auto" w:sz="4" w:space="0"/>
              <w:right w:val="single" w:color="auto" w:sz="4" w:space="0"/>
            </w:tcBorders>
            <w:vAlign w:val="center"/>
          </w:tcPr>
          <w:p>
            <w:r>
              <w:rPr>
                <w:rFonts w:hint="eastAsia"/>
              </w:rPr>
              <w:t>KITZ、Swagelok、Fujikin</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5" w:hRule="atLeast"/>
        </w:trPr>
        <w:tc>
          <w:tcPr>
            <w:tcW w:w="328" w:type="pct"/>
            <w:tcBorders>
              <w:top w:val="nil"/>
              <w:left w:val="single" w:color="auto" w:sz="8" w:space="0"/>
              <w:bottom w:val="single" w:color="auto" w:sz="4" w:space="0"/>
              <w:right w:val="single" w:color="auto" w:sz="4" w:space="0"/>
            </w:tcBorders>
            <w:vAlign w:val="center"/>
          </w:tcPr>
          <w:p>
            <w:r>
              <w:rPr>
                <w:rFonts w:hint="eastAsia"/>
              </w:rPr>
              <w:t>26</w:t>
            </w:r>
          </w:p>
        </w:tc>
        <w:tc>
          <w:tcPr>
            <w:tcW w:w="2487" w:type="pct"/>
            <w:tcBorders>
              <w:top w:val="nil"/>
              <w:left w:val="nil"/>
              <w:bottom w:val="single" w:color="auto" w:sz="4" w:space="0"/>
              <w:right w:val="single" w:color="auto" w:sz="4" w:space="0"/>
            </w:tcBorders>
            <w:vAlign w:val="center"/>
          </w:tcPr>
          <w:p>
            <w:r>
              <w:rPr>
                <w:rFonts w:hint="eastAsia"/>
              </w:rPr>
              <w:t>单向阀</w:t>
            </w:r>
          </w:p>
        </w:tc>
        <w:tc>
          <w:tcPr>
            <w:tcW w:w="2185" w:type="pct"/>
            <w:tcBorders>
              <w:top w:val="nil"/>
              <w:left w:val="nil"/>
              <w:bottom w:val="single" w:color="auto" w:sz="4" w:space="0"/>
              <w:right w:val="single" w:color="auto" w:sz="4" w:space="0"/>
            </w:tcBorders>
            <w:vAlign w:val="center"/>
          </w:tcPr>
          <w:p>
            <w:r>
              <w:rPr>
                <w:rFonts w:hint="eastAsia"/>
              </w:rPr>
              <w:t>Swagelok、Parker、Fujikin、Aptech</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5" w:hRule="atLeast"/>
        </w:trPr>
        <w:tc>
          <w:tcPr>
            <w:tcW w:w="603" w:type="dxa"/>
            <w:tcBorders>
              <w:top w:val="nil"/>
              <w:left w:val="single" w:color="auto" w:sz="8" w:space="0"/>
              <w:bottom w:val="single" w:color="auto" w:sz="4" w:space="0"/>
              <w:right w:val="single" w:color="auto" w:sz="4" w:space="0"/>
            </w:tcBorders>
            <w:vAlign w:val="center"/>
          </w:tcPr>
          <w:p>
            <w:r>
              <w:rPr>
                <w:rFonts w:hint="eastAsia"/>
              </w:rPr>
              <w:t>27</w:t>
            </w:r>
          </w:p>
        </w:tc>
        <w:tc>
          <w:tcPr>
            <w:tcW w:w="2487" w:type="pct"/>
            <w:tcBorders>
              <w:top w:val="nil"/>
              <w:left w:val="nil"/>
              <w:bottom w:val="single" w:color="auto" w:sz="4" w:space="0"/>
              <w:right w:val="single" w:color="auto" w:sz="4" w:space="0"/>
            </w:tcBorders>
            <w:vAlign w:val="center"/>
          </w:tcPr>
          <w:p>
            <w:r>
              <w:rPr>
                <w:rFonts w:hint="eastAsia"/>
              </w:rPr>
              <w:t>真空发生器</w:t>
            </w:r>
          </w:p>
        </w:tc>
        <w:tc>
          <w:tcPr>
            <w:tcW w:w="2185" w:type="pct"/>
            <w:tcBorders>
              <w:top w:val="nil"/>
              <w:left w:val="nil"/>
              <w:bottom w:val="single" w:color="auto" w:sz="4" w:space="0"/>
              <w:right w:val="single" w:color="auto" w:sz="4" w:space="0"/>
            </w:tcBorders>
            <w:vAlign w:val="center"/>
          </w:tcPr>
          <w:p>
            <w:r>
              <w:rPr>
                <w:rFonts w:hint="eastAsia"/>
              </w:rPr>
              <w:t>TKF、Aptech、Parker</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5" w:hRule="atLeast"/>
        </w:trPr>
        <w:tc>
          <w:tcPr>
            <w:tcW w:w="603" w:type="dxa"/>
            <w:tcBorders>
              <w:top w:val="nil"/>
              <w:left w:val="single" w:color="auto" w:sz="8" w:space="0"/>
              <w:bottom w:val="single" w:color="auto" w:sz="4" w:space="0"/>
              <w:right w:val="single" w:color="auto" w:sz="4" w:space="0"/>
            </w:tcBorders>
            <w:vAlign w:val="center"/>
          </w:tcPr>
          <w:p>
            <w:r>
              <w:rPr>
                <w:rFonts w:hint="eastAsia"/>
              </w:rPr>
              <w:t>28</w:t>
            </w:r>
          </w:p>
        </w:tc>
        <w:tc>
          <w:tcPr>
            <w:tcW w:w="2487" w:type="pct"/>
            <w:tcBorders>
              <w:top w:val="nil"/>
              <w:left w:val="nil"/>
              <w:bottom w:val="single" w:color="auto" w:sz="4" w:space="0"/>
              <w:right w:val="single" w:color="auto" w:sz="4" w:space="0"/>
            </w:tcBorders>
            <w:vAlign w:val="center"/>
          </w:tcPr>
          <w:p>
            <w:r>
              <w:rPr>
                <w:rFonts w:hint="eastAsia"/>
              </w:rPr>
              <w:t>过流保护器</w:t>
            </w:r>
          </w:p>
        </w:tc>
        <w:tc>
          <w:tcPr>
            <w:tcW w:w="2185" w:type="pct"/>
            <w:tcBorders>
              <w:top w:val="nil"/>
              <w:left w:val="nil"/>
              <w:bottom w:val="single" w:color="auto" w:sz="4" w:space="0"/>
              <w:right w:val="single" w:color="auto" w:sz="4" w:space="0"/>
            </w:tcBorders>
            <w:vAlign w:val="center"/>
          </w:tcPr>
          <w:p>
            <w:r>
              <w:rPr>
                <w:rFonts w:hint="eastAsia"/>
              </w:rPr>
              <w:t>Swagelok、Aptech、Kitz</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5" w:hRule="atLeast"/>
        </w:trPr>
        <w:tc>
          <w:tcPr>
            <w:tcW w:w="603" w:type="dxa"/>
            <w:tcBorders>
              <w:top w:val="nil"/>
              <w:left w:val="single" w:color="auto" w:sz="8" w:space="0"/>
              <w:bottom w:val="single" w:color="auto" w:sz="4" w:space="0"/>
              <w:right w:val="single" w:color="auto" w:sz="4" w:space="0"/>
            </w:tcBorders>
            <w:vAlign w:val="center"/>
          </w:tcPr>
          <w:p>
            <w:r>
              <w:rPr>
                <w:rFonts w:hint="eastAsia"/>
              </w:rPr>
              <w:t>29</w:t>
            </w:r>
          </w:p>
        </w:tc>
        <w:tc>
          <w:tcPr>
            <w:tcW w:w="2487" w:type="pct"/>
            <w:tcBorders>
              <w:top w:val="nil"/>
              <w:left w:val="nil"/>
              <w:bottom w:val="single" w:color="auto" w:sz="4" w:space="0"/>
              <w:right w:val="single" w:color="auto" w:sz="4" w:space="0"/>
            </w:tcBorders>
            <w:vAlign w:val="center"/>
          </w:tcPr>
          <w:p>
            <w:r>
              <w:rPr>
                <w:rFonts w:hint="eastAsia"/>
              </w:rPr>
              <w:t>压力传感器</w:t>
            </w:r>
          </w:p>
        </w:tc>
        <w:tc>
          <w:tcPr>
            <w:tcW w:w="2185" w:type="pct"/>
            <w:tcBorders>
              <w:top w:val="nil"/>
              <w:left w:val="nil"/>
              <w:bottom w:val="single" w:color="auto" w:sz="4" w:space="0"/>
              <w:right w:val="single" w:color="auto" w:sz="4" w:space="0"/>
            </w:tcBorders>
            <w:vAlign w:val="center"/>
          </w:tcPr>
          <w:p>
            <w:r>
              <w:rPr>
                <w:rFonts w:hint="eastAsia"/>
              </w:rPr>
              <w:t>Setra、Wika、WISENKS</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5" w:hRule="atLeast"/>
        </w:trPr>
        <w:tc>
          <w:tcPr>
            <w:tcW w:w="603" w:type="dxa"/>
            <w:tcBorders>
              <w:top w:val="nil"/>
              <w:left w:val="single" w:color="auto" w:sz="8" w:space="0"/>
              <w:bottom w:val="single" w:color="auto" w:sz="4" w:space="0"/>
              <w:right w:val="single" w:color="auto" w:sz="4" w:space="0"/>
            </w:tcBorders>
            <w:vAlign w:val="center"/>
          </w:tcPr>
          <w:p>
            <w:r>
              <w:rPr>
                <w:rFonts w:hint="eastAsia"/>
              </w:rPr>
              <w:t>30</w:t>
            </w:r>
          </w:p>
        </w:tc>
        <w:tc>
          <w:tcPr>
            <w:tcW w:w="2487" w:type="pct"/>
            <w:tcBorders>
              <w:top w:val="nil"/>
              <w:left w:val="nil"/>
              <w:bottom w:val="single" w:color="auto" w:sz="4" w:space="0"/>
              <w:right w:val="single" w:color="auto" w:sz="4" w:space="0"/>
            </w:tcBorders>
            <w:vAlign w:val="center"/>
          </w:tcPr>
          <w:p>
            <w:r>
              <w:rPr>
                <w:rFonts w:hint="eastAsia"/>
              </w:rPr>
              <w:t>压力表</w:t>
            </w:r>
          </w:p>
        </w:tc>
        <w:tc>
          <w:tcPr>
            <w:tcW w:w="2185" w:type="pct"/>
            <w:tcBorders>
              <w:top w:val="nil"/>
              <w:left w:val="nil"/>
              <w:bottom w:val="single" w:color="auto" w:sz="4" w:space="0"/>
              <w:right w:val="single" w:color="auto" w:sz="4" w:space="0"/>
            </w:tcBorders>
            <w:vAlign w:val="center"/>
          </w:tcPr>
          <w:p>
            <w:r>
              <w:rPr>
                <w:rFonts w:hint="eastAsia"/>
              </w:rPr>
              <w:t>Wika、Wise、NKS</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5" w:hRule="atLeast"/>
        </w:trPr>
        <w:tc>
          <w:tcPr>
            <w:tcW w:w="603" w:type="dxa"/>
            <w:tcBorders>
              <w:top w:val="nil"/>
              <w:left w:val="single" w:color="auto" w:sz="8" w:space="0"/>
              <w:bottom w:val="single" w:color="auto" w:sz="4" w:space="0"/>
              <w:right w:val="single" w:color="auto" w:sz="4" w:space="0"/>
            </w:tcBorders>
            <w:vAlign w:val="center"/>
          </w:tcPr>
          <w:p>
            <w:r>
              <w:rPr>
                <w:rFonts w:hint="eastAsia"/>
              </w:rPr>
              <w:t>31</w:t>
            </w:r>
          </w:p>
        </w:tc>
        <w:tc>
          <w:tcPr>
            <w:tcW w:w="2487" w:type="pct"/>
            <w:tcBorders>
              <w:top w:val="nil"/>
              <w:left w:val="nil"/>
              <w:bottom w:val="single" w:color="auto" w:sz="4" w:space="0"/>
              <w:right w:val="single" w:color="auto" w:sz="4" w:space="0"/>
            </w:tcBorders>
            <w:vAlign w:val="center"/>
          </w:tcPr>
          <w:p>
            <w:r>
              <w:rPr>
                <w:rFonts w:hint="eastAsia"/>
              </w:rPr>
              <w:t>过滤器</w:t>
            </w:r>
          </w:p>
        </w:tc>
        <w:tc>
          <w:tcPr>
            <w:tcW w:w="2185" w:type="pct"/>
            <w:tcBorders>
              <w:top w:val="nil"/>
              <w:left w:val="nil"/>
              <w:bottom w:val="single" w:color="auto" w:sz="4" w:space="0"/>
              <w:right w:val="single" w:color="auto" w:sz="4" w:space="0"/>
            </w:tcBorders>
            <w:vAlign w:val="center"/>
          </w:tcPr>
          <w:p>
            <w:r>
              <w:rPr>
                <w:rFonts w:hint="eastAsia"/>
              </w:rPr>
              <w:t>Entergris、Pall、Swagelok</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01" w:hRule="atLeast"/>
        </w:trPr>
        <w:tc>
          <w:tcPr>
            <w:tcW w:w="603" w:type="dxa"/>
            <w:tcBorders>
              <w:top w:val="nil"/>
              <w:left w:val="single" w:color="auto" w:sz="8" w:space="0"/>
              <w:bottom w:val="single" w:color="auto" w:sz="4" w:space="0"/>
              <w:right w:val="single" w:color="auto" w:sz="4" w:space="0"/>
            </w:tcBorders>
            <w:vAlign w:val="center"/>
          </w:tcPr>
          <w:p>
            <w:r>
              <w:rPr>
                <w:rFonts w:hint="eastAsia"/>
              </w:rPr>
              <w:t>32</w:t>
            </w:r>
          </w:p>
        </w:tc>
        <w:tc>
          <w:tcPr>
            <w:tcW w:w="2487" w:type="pct"/>
            <w:tcBorders>
              <w:top w:val="nil"/>
              <w:left w:val="nil"/>
              <w:bottom w:val="single" w:color="auto" w:sz="4" w:space="0"/>
              <w:right w:val="single" w:color="auto" w:sz="4" w:space="0"/>
            </w:tcBorders>
            <w:vAlign w:val="center"/>
          </w:tcPr>
          <w:p>
            <w:r>
              <w:rPr>
                <w:rFonts w:hint="eastAsia"/>
              </w:rPr>
              <w:t>管道</w:t>
            </w:r>
          </w:p>
        </w:tc>
        <w:tc>
          <w:tcPr>
            <w:tcW w:w="2185" w:type="pct"/>
            <w:tcBorders>
              <w:top w:val="nil"/>
              <w:left w:val="nil"/>
              <w:bottom w:val="single" w:color="auto" w:sz="4" w:space="0"/>
              <w:right w:val="single" w:color="auto" w:sz="4" w:space="0"/>
            </w:tcBorders>
            <w:vAlign w:val="center"/>
          </w:tcPr>
          <w:p>
            <w:r>
              <w:rPr>
                <w:rFonts w:hint="eastAsia"/>
              </w:rPr>
              <w:t>Valex、KUZE、Sumikin</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5" w:hRule="atLeast"/>
        </w:trPr>
        <w:tc>
          <w:tcPr>
            <w:tcW w:w="603" w:type="dxa"/>
            <w:tcBorders>
              <w:top w:val="nil"/>
              <w:left w:val="single" w:color="auto" w:sz="8" w:space="0"/>
              <w:bottom w:val="single" w:color="auto" w:sz="8" w:space="0"/>
              <w:right w:val="single" w:color="auto" w:sz="4" w:space="0"/>
            </w:tcBorders>
            <w:vAlign w:val="center"/>
          </w:tcPr>
          <w:p>
            <w:r>
              <w:rPr>
                <w:rFonts w:hint="eastAsia"/>
              </w:rPr>
              <w:t>33</w:t>
            </w:r>
          </w:p>
        </w:tc>
        <w:tc>
          <w:tcPr>
            <w:tcW w:w="2487" w:type="pct"/>
            <w:tcBorders>
              <w:top w:val="nil"/>
              <w:left w:val="nil"/>
              <w:bottom w:val="single" w:color="auto" w:sz="8" w:space="0"/>
              <w:right w:val="single" w:color="auto" w:sz="4" w:space="0"/>
            </w:tcBorders>
            <w:vAlign w:val="center"/>
          </w:tcPr>
          <w:p>
            <w:r>
              <w:rPr>
                <w:rFonts w:hint="eastAsia"/>
              </w:rPr>
              <w:t>VCR Fitting</w:t>
            </w:r>
          </w:p>
        </w:tc>
        <w:tc>
          <w:tcPr>
            <w:tcW w:w="2185" w:type="pct"/>
            <w:tcBorders>
              <w:top w:val="nil"/>
              <w:left w:val="nil"/>
              <w:bottom w:val="single" w:color="auto" w:sz="8" w:space="0"/>
              <w:right w:val="single" w:color="auto" w:sz="4" w:space="0"/>
            </w:tcBorders>
            <w:vAlign w:val="center"/>
          </w:tcPr>
          <w:p>
            <w:r>
              <w:rPr>
                <w:rFonts w:hint="eastAsia"/>
              </w:rPr>
              <w:t>TKF、Swagelok、Fujikin、JSK</w:t>
            </w:r>
          </w:p>
        </w:tc>
      </w:tr>
    </w:tbl>
    <w:p>
      <w:pPr>
        <w:widowControl/>
        <w:spacing w:line="360" w:lineRule="auto"/>
        <w:ind w:firstLine="422" w:firstLineChars="200"/>
        <w:rPr>
          <w:rFonts w:ascii="宋体" w:hAnsi="宋体" w:eastAsia="宋体" w:cs="宋体"/>
          <w:szCs w:val="21"/>
        </w:rPr>
      </w:pPr>
      <w:r>
        <w:rPr>
          <w:rFonts w:hint="eastAsia" w:ascii="宋体" w:hAnsi="宋体" w:eastAsia="宋体" w:cs="宋体"/>
          <w:b/>
          <w:bCs/>
          <w:szCs w:val="21"/>
        </w:rPr>
        <w:t>关于推荐品牌：</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1、招标文件中对主要材料设备品牌、厂家、规格、型号有推荐的，投标人应采用并选用其中高档产品，或选用与招标人推荐的品牌相当及以上的中高档产品，如投标人所选材料设备的材质、规格、颜色、档次与招标文件存在明显差别，或虽按招标文件推荐的材料品牌选择但该材料因某种原因停产或其他原因而不能供应的，则实际施工过程中招标人有权在招标文件推荐的材料品牌中自行确定，且投标价格不予调整。</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2、招标文件中对材料的品牌、规格、型号没有具体规定的，由投标人按招标文件的要求按中高档进行投标报价，并在“ 主要材料品牌一览表“的投标品牌一栏里注明所选材料设备的品牌、规格、型号，若投标人没有进行注明的，则招标人有权指定品牌，投标价格不调整。</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3、发包人有权根据实际情况在发包人推荐的供应商（厂家）或品牌范围内进行调整，承包人须接受调整，并不得因此而要求调价。</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4、若投标人未明确品牌，招标人将在此表 “推荐品牌或厂家”中指定品牌及型号，投标报价不予调整。</w:t>
      </w:r>
    </w:p>
    <w:p>
      <w:pPr>
        <w:widowControl/>
        <w:spacing w:line="360" w:lineRule="auto"/>
        <w:ind w:firstLine="422" w:firstLineChars="200"/>
        <w:rPr>
          <w:rFonts w:ascii="宋体" w:hAnsi="宋体" w:cs="宋体"/>
          <w:b/>
          <w:szCs w:val="21"/>
        </w:rPr>
      </w:pPr>
    </w:p>
    <w:p>
      <w:pPr>
        <w:pStyle w:val="4"/>
      </w:pPr>
      <w:r>
        <w:rPr>
          <w:rFonts w:hint="eastAsia"/>
        </w:rPr>
        <w:t>十五、工程量清单编制说明</w:t>
      </w:r>
    </w:p>
    <w:p>
      <w:pPr>
        <w:spacing w:line="360" w:lineRule="auto"/>
        <w:ind w:firstLine="482" w:firstLineChars="200"/>
        <w:rPr>
          <w:b/>
          <w:sz w:val="24"/>
        </w:rPr>
      </w:pPr>
      <w:bookmarkStart w:id="198" w:name="_Toc10581"/>
    </w:p>
    <w:p>
      <w:pPr>
        <w:spacing w:line="360" w:lineRule="auto"/>
        <w:ind w:firstLine="482" w:firstLineChars="200"/>
        <w:rPr>
          <w:b/>
          <w:sz w:val="24"/>
        </w:rPr>
      </w:pPr>
      <w:r>
        <w:rPr>
          <w:rFonts w:hint="eastAsia"/>
          <w:b/>
          <w:sz w:val="24"/>
        </w:rPr>
        <w:t>一、工程概况：</w:t>
      </w:r>
    </w:p>
    <w:p>
      <w:pPr>
        <w:ind w:firstLine="480" w:firstLineChars="200"/>
        <w:rPr>
          <w:rFonts w:ascii="宋体" w:hAnsi="宋体"/>
          <w:sz w:val="24"/>
        </w:rPr>
      </w:pPr>
      <w:r>
        <w:rPr>
          <w:rFonts w:hint="eastAsia" w:ascii="宋体" w:hAnsi="宋体"/>
          <w:sz w:val="24"/>
        </w:rPr>
        <w:t>浙大海宁校区微纳加工实验室工程位于浙江大学国际联合学院内。</w:t>
      </w:r>
    </w:p>
    <w:p>
      <w:pPr>
        <w:spacing w:line="360" w:lineRule="auto"/>
        <w:ind w:firstLine="482" w:firstLineChars="200"/>
        <w:rPr>
          <w:b/>
          <w:sz w:val="24"/>
        </w:rPr>
      </w:pPr>
      <w:r>
        <w:rPr>
          <w:rFonts w:hint="eastAsia"/>
          <w:b/>
          <w:sz w:val="24"/>
        </w:rPr>
        <w:t>二、招标范围：</w:t>
      </w:r>
    </w:p>
    <w:p>
      <w:pPr>
        <w:spacing w:line="360" w:lineRule="auto"/>
        <w:ind w:firstLine="480" w:firstLineChars="200"/>
        <w:rPr>
          <w:rFonts w:ascii="宋体" w:hAnsi="宋体"/>
          <w:sz w:val="24"/>
        </w:rPr>
      </w:pPr>
      <w:r>
        <w:rPr>
          <w:rFonts w:hint="eastAsia" w:ascii="宋体" w:hAnsi="宋体"/>
          <w:sz w:val="24"/>
        </w:rPr>
        <w:t>本次招标范围为浙大海宁校区微纳加工实验室工程的装修、安装、设备（详见施工图纸及工程量清单）。</w:t>
      </w:r>
    </w:p>
    <w:p>
      <w:pPr>
        <w:spacing w:line="360" w:lineRule="auto"/>
        <w:ind w:firstLine="482" w:firstLineChars="200"/>
        <w:rPr>
          <w:b/>
          <w:sz w:val="24"/>
        </w:rPr>
      </w:pPr>
      <w:r>
        <w:rPr>
          <w:rFonts w:hint="eastAsia"/>
          <w:b/>
          <w:sz w:val="24"/>
        </w:rPr>
        <w:t>三、清单编制依据：</w:t>
      </w:r>
    </w:p>
    <w:p>
      <w:pPr>
        <w:spacing w:line="360" w:lineRule="auto"/>
        <w:ind w:firstLine="480" w:firstLineChars="200"/>
        <w:rPr>
          <w:rFonts w:ascii="宋体" w:hAnsi="宋体"/>
          <w:sz w:val="24"/>
        </w:rPr>
      </w:pPr>
      <w:r>
        <w:rPr>
          <w:rFonts w:hint="eastAsia" w:ascii="宋体" w:hAnsi="宋体"/>
          <w:sz w:val="24"/>
        </w:rPr>
        <w:t>1、南京中艺建筑设计院设计的施工图纸；</w:t>
      </w:r>
    </w:p>
    <w:p>
      <w:pPr>
        <w:spacing w:line="360" w:lineRule="auto"/>
        <w:ind w:firstLine="480" w:firstLineChars="200"/>
        <w:rPr>
          <w:rFonts w:ascii="宋体" w:hAnsi="宋体"/>
          <w:sz w:val="24"/>
        </w:rPr>
      </w:pPr>
      <w:r>
        <w:rPr>
          <w:rFonts w:hint="eastAsia" w:ascii="宋体" w:hAnsi="宋体"/>
          <w:sz w:val="24"/>
        </w:rPr>
        <w:t>2、《建设工程工程量清单计价规范》</w:t>
      </w:r>
      <w:r>
        <w:rPr>
          <w:rFonts w:ascii="宋体" w:hAnsi="宋体"/>
          <w:sz w:val="24"/>
        </w:rPr>
        <w:t>(GB50500-2013)</w:t>
      </w:r>
      <w:r>
        <w:rPr>
          <w:rFonts w:hint="eastAsia" w:ascii="宋体" w:hAnsi="宋体"/>
          <w:sz w:val="24"/>
        </w:rPr>
        <w:t>、《房屋建筑与装饰工程工程量计算规范》</w:t>
      </w:r>
      <w:r>
        <w:rPr>
          <w:rFonts w:ascii="宋体" w:hAnsi="宋体"/>
          <w:sz w:val="24"/>
        </w:rPr>
        <w:t>(GB50854-2013)</w:t>
      </w:r>
      <w:r>
        <w:rPr>
          <w:rFonts w:hint="eastAsia" w:ascii="宋体" w:hAnsi="宋体"/>
          <w:sz w:val="24"/>
        </w:rPr>
        <w:t>、《通用安装工程工程量计算规范》</w:t>
      </w:r>
      <w:r>
        <w:rPr>
          <w:rFonts w:ascii="宋体" w:hAnsi="宋体"/>
          <w:sz w:val="24"/>
        </w:rPr>
        <w:t>(GB50856-2013)</w:t>
      </w:r>
      <w:r>
        <w:rPr>
          <w:rFonts w:hint="eastAsia" w:ascii="宋体" w:hAnsi="宋体"/>
          <w:sz w:val="24"/>
        </w:rPr>
        <w:t>及浙江省有关补充规定；</w:t>
      </w:r>
    </w:p>
    <w:p>
      <w:pPr>
        <w:spacing w:line="360" w:lineRule="auto"/>
        <w:ind w:firstLine="472" w:firstLineChars="196"/>
        <w:rPr>
          <w:b/>
          <w:sz w:val="24"/>
        </w:rPr>
      </w:pPr>
      <w:r>
        <w:rPr>
          <w:rFonts w:hint="eastAsia"/>
          <w:b/>
          <w:sz w:val="24"/>
        </w:rPr>
        <w:t>四、共性部分：</w:t>
      </w:r>
    </w:p>
    <w:p>
      <w:pPr>
        <w:spacing w:line="360" w:lineRule="auto"/>
        <w:ind w:firstLine="480" w:firstLineChars="200"/>
        <w:rPr>
          <w:rFonts w:ascii="宋体" w:hAnsi="宋体"/>
          <w:sz w:val="24"/>
        </w:rPr>
      </w:pPr>
      <w:r>
        <w:rPr>
          <w:rFonts w:hint="eastAsia" w:ascii="宋体" w:hAnsi="宋体"/>
          <w:sz w:val="24"/>
        </w:rPr>
        <w:t>1、本工程量清单报价采用综合单价法（包含施工设备、人工、管理、材料、设备、安装、维护、保险、利润、政策性文件规定、风险、责任等所有费用）；</w:t>
      </w:r>
    </w:p>
    <w:p>
      <w:pPr>
        <w:spacing w:line="360" w:lineRule="auto"/>
        <w:ind w:firstLine="480" w:firstLineChars="200"/>
        <w:rPr>
          <w:rFonts w:ascii="宋体" w:hAnsi="宋体"/>
          <w:sz w:val="24"/>
        </w:rPr>
      </w:pPr>
      <w:r>
        <w:rPr>
          <w:rFonts w:hint="eastAsia" w:ascii="宋体" w:hAnsi="宋体"/>
          <w:sz w:val="24"/>
        </w:rPr>
        <w:t>2、投标人在工程量清单报价中所列的单价，以及投标报价汇总表中的价格均包括完成该工程项目的直接费、间接费、政策性文件规定费用、达到技术规范所需用费用、风险费等所有税费{包括劳务、材料、机械、质检（自检及监理工程师按抽检频率、认为需要的抽检所需的一切检查及建管部门规定的工程结构实体质量抽样检测）、缺陷修复、管理、保险（工程险除外）、清理费和缺陷维护等费用，以及合同明示或暗示的所有责任、义务和一切风险}；</w:t>
      </w:r>
    </w:p>
    <w:p>
      <w:pPr>
        <w:spacing w:line="360" w:lineRule="auto"/>
        <w:ind w:firstLine="480" w:firstLineChars="200"/>
        <w:rPr>
          <w:rFonts w:ascii="宋体" w:hAnsi="宋体"/>
          <w:sz w:val="24"/>
        </w:rPr>
      </w:pPr>
      <w:r>
        <w:rPr>
          <w:rFonts w:hint="eastAsia" w:ascii="宋体" w:hAnsi="宋体"/>
          <w:sz w:val="24"/>
        </w:rPr>
        <w:t>3、工程量清单中只描述了分项工程计量范围内完成本分项工程应有的主要工作内容，清单中未列明的项目特征，应根据设计图纸及施工规范进行组价的含量分析及计算，工程量清单没有现行预算定额或计价规范有关工作内容，也均应包括在报价内。但投标人填报的综合单价应是包含了分项工程计量范围内的所有工作内容的价格，无论工程量清单或图纸有无明确列项或表示，只要是为完成该分项工程所需要做的工作和为了满足该分项工程的完整性所需要做的工作，均视为该分项工程所包含的内容。投标人在填写工程量清单的每一项的综合单价和合价时应结合投标须知及构成招标文件的施工合同、技术规范、设计施工图纸和现场勘察情况进行报价；</w:t>
      </w:r>
    </w:p>
    <w:p>
      <w:pPr>
        <w:spacing w:line="360" w:lineRule="auto"/>
        <w:ind w:firstLine="480" w:firstLineChars="200"/>
        <w:rPr>
          <w:rFonts w:ascii="宋体" w:hAnsi="宋体"/>
          <w:sz w:val="24"/>
        </w:rPr>
      </w:pPr>
      <w:r>
        <w:rPr>
          <w:rFonts w:hint="eastAsia" w:ascii="宋体" w:hAnsi="宋体"/>
          <w:sz w:val="24"/>
        </w:rPr>
        <w:t>4、工程量清单项目结构特征中，未特别注明的单位均为</w:t>
      </w:r>
      <w:r>
        <w:rPr>
          <w:rFonts w:ascii="宋体" w:hAnsi="宋体"/>
          <w:sz w:val="24"/>
        </w:rPr>
        <w:t>mm</w:t>
      </w:r>
      <w:r>
        <w:rPr>
          <w:rFonts w:hint="eastAsia" w:ascii="宋体" w:hAnsi="宋体"/>
          <w:sz w:val="24"/>
        </w:rPr>
        <w:t>；</w:t>
      </w:r>
    </w:p>
    <w:p>
      <w:pPr>
        <w:spacing w:line="360" w:lineRule="auto"/>
        <w:ind w:firstLine="480" w:firstLineChars="200"/>
        <w:rPr>
          <w:rFonts w:ascii="宋体" w:cs="宋体"/>
          <w:sz w:val="20"/>
          <w:szCs w:val="20"/>
        </w:rPr>
      </w:pPr>
      <w:r>
        <w:rPr>
          <w:rFonts w:hint="eastAsia" w:ascii="宋体" w:hAnsi="宋体"/>
          <w:sz w:val="24"/>
        </w:rPr>
        <w:t>5、二次搬运费由投标人自行考虑在报价中；</w:t>
      </w:r>
    </w:p>
    <w:p>
      <w:pPr>
        <w:rPr>
          <w:rFonts w:ascii="宋体" w:hAnsi="宋体" w:eastAsia="宋体" w:cs="宋体"/>
          <w:b/>
          <w:sz w:val="28"/>
          <w:szCs w:val="28"/>
        </w:rPr>
      </w:pPr>
      <w:r>
        <w:rPr>
          <w:rFonts w:hint="eastAsia" w:ascii="宋体" w:hAnsi="宋体" w:eastAsia="宋体" w:cs="宋体"/>
          <w:b/>
          <w:sz w:val="28"/>
          <w:szCs w:val="28"/>
        </w:rPr>
        <w:br w:type="page"/>
      </w:r>
    </w:p>
    <w:p>
      <w:pPr>
        <w:pStyle w:val="3"/>
      </w:pPr>
      <w:r>
        <w:rPr>
          <w:rFonts w:hint="eastAsia"/>
        </w:rPr>
        <w:t xml:space="preserve">第四章  </w:t>
      </w:r>
      <w:bookmarkEnd w:id="70"/>
      <w:bookmarkEnd w:id="71"/>
      <w:bookmarkEnd w:id="72"/>
      <w:bookmarkEnd w:id="76"/>
      <w:bookmarkEnd w:id="77"/>
      <w:bookmarkEnd w:id="198"/>
      <w:bookmarkStart w:id="199" w:name="_Toc16428"/>
      <w:bookmarkStart w:id="200" w:name="_Toc163484941"/>
      <w:bookmarkStart w:id="201" w:name="_Toc351203652"/>
      <w:bookmarkStart w:id="202" w:name="_Toc237694779"/>
      <w:bookmarkStart w:id="203" w:name="_Toc163484939"/>
      <w:bookmarkStart w:id="204" w:name="_Toc237695004"/>
      <w:bookmarkStart w:id="205" w:name="_Toc227057962"/>
      <w:bookmarkStart w:id="206" w:name="_Toc226969356"/>
      <w:bookmarkStart w:id="207" w:name="_Toc415814138"/>
      <w:bookmarkStart w:id="208" w:name="_Toc506358624"/>
      <w:r>
        <w:rPr>
          <w:rFonts w:hint="eastAsia"/>
        </w:rPr>
        <w:t>合同条款及格式</w:t>
      </w:r>
      <w:bookmarkEnd w:id="199"/>
    </w:p>
    <w:bookmarkEnd w:id="200"/>
    <w:bookmarkEnd w:id="201"/>
    <w:bookmarkEnd w:id="202"/>
    <w:bookmarkEnd w:id="203"/>
    <w:bookmarkEnd w:id="204"/>
    <w:p>
      <w:pPr>
        <w:jc w:val="left"/>
        <w:rPr>
          <w:rFonts w:ascii="宋体" w:hAnsi="宋体" w:eastAsia="宋体" w:cs="宋体"/>
          <w:bCs/>
          <w:sz w:val="32"/>
          <w:szCs w:val="32"/>
        </w:rPr>
      </w:pPr>
      <w:bookmarkStart w:id="209" w:name="_Toc23490"/>
      <w:r>
        <w:rPr>
          <w:rFonts w:hint="eastAsia" w:ascii="宋体" w:hAnsi="宋体" w:eastAsia="宋体" w:cs="宋体"/>
          <w:bCs/>
          <w:sz w:val="32"/>
          <w:szCs w:val="32"/>
        </w:rPr>
        <w:t>（GF—2017—0201）</w:t>
      </w:r>
    </w:p>
    <w:p>
      <w:pPr>
        <w:jc w:val="center"/>
        <w:rPr>
          <w:rFonts w:ascii="宋体" w:hAnsi="宋体" w:eastAsia="宋体" w:cs="宋体"/>
          <w:b/>
          <w:sz w:val="52"/>
          <w:szCs w:val="52"/>
        </w:rPr>
      </w:pPr>
    </w:p>
    <w:p>
      <w:pPr>
        <w:jc w:val="center"/>
        <w:rPr>
          <w:rFonts w:ascii="宋体" w:hAnsi="宋体" w:eastAsia="宋体" w:cs="宋体"/>
          <w:b/>
          <w:sz w:val="52"/>
          <w:szCs w:val="52"/>
        </w:rPr>
      </w:pPr>
    </w:p>
    <w:p>
      <w:pPr>
        <w:jc w:val="center"/>
        <w:rPr>
          <w:rFonts w:ascii="宋体" w:hAnsi="宋体" w:eastAsia="宋体" w:cs="宋体"/>
          <w:b/>
          <w:sz w:val="52"/>
          <w:szCs w:val="52"/>
        </w:rPr>
      </w:pPr>
    </w:p>
    <w:p>
      <w:pPr>
        <w:jc w:val="center"/>
        <w:rPr>
          <w:rFonts w:ascii="宋体" w:hAnsi="宋体" w:eastAsia="宋体" w:cs="宋体"/>
          <w:b/>
          <w:sz w:val="52"/>
          <w:szCs w:val="52"/>
        </w:rPr>
      </w:pPr>
    </w:p>
    <w:p>
      <w:pPr>
        <w:jc w:val="center"/>
        <w:rPr>
          <w:rFonts w:ascii="宋体" w:hAnsi="宋体" w:eastAsia="宋体" w:cs="宋体"/>
          <w:b/>
          <w:sz w:val="52"/>
          <w:szCs w:val="52"/>
        </w:rPr>
      </w:pPr>
      <w:r>
        <w:rPr>
          <w:rFonts w:hint="eastAsia" w:ascii="宋体" w:hAnsi="宋体" w:eastAsia="宋体" w:cs="宋体"/>
          <w:b/>
          <w:sz w:val="72"/>
          <w:szCs w:val="52"/>
        </w:rPr>
        <w:t>建设工程施工合同</w:t>
      </w:r>
      <w:r>
        <w:rPr>
          <w:rFonts w:hint="eastAsia" w:ascii="宋体" w:hAnsi="宋体" w:eastAsia="宋体" w:cs="宋体"/>
          <w:b/>
          <w:sz w:val="52"/>
          <w:szCs w:val="52"/>
        </w:rPr>
        <w:br w:type="textWrapping"/>
      </w:r>
      <w:r>
        <w:rPr>
          <w:rFonts w:hint="eastAsia" w:ascii="宋体" w:hAnsi="宋体" w:eastAsia="宋体" w:cs="宋体"/>
          <w:b/>
          <w:sz w:val="36"/>
          <w:szCs w:val="36"/>
        </w:rPr>
        <w:t>（浙江大学****************工程）</w:t>
      </w:r>
    </w:p>
    <w:p>
      <w:pPr>
        <w:jc w:val="center"/>
        <w:rPr>
          <w:rFonts w:ascii="宋体" w:hAnsi="宋体" w:eastAsia="宋体" w:cs="宋体"/>
          <w:b/>
          <w:sz w:val="52"/>
          <w:szCs w:val="52"/>
        </w:rPr>
      </w:pPr>
    </w:p>
    <w:p>
      <w:pPr>
        <w:jc w:val="center"/>
        <w:rPr>
          <w:rFonts w:ascii="宋体" w:hAnsi="宋体" w:eastAsia="宋体" w:cs="宋体"/>
          <w:b/>
          <w:sz w:val="72"/>
          <w:szCs w:val="72"/>
        </w:rPr>
      </w:pPr>
    </w:p>
    <w:p>
      <w:pPr>
        <w:jc w:val="center"/>
        <w:rPr>
          <w:rFonts w:ascii="宋体" w:hAnsi="宋体" w:eastAsia="宋体" w:cs="宋体"/>
          <w:b/>
          <w:sz w:val="72"/>
          <w:szCs w:val="72"/>
        </w:rPr>
      </w:pPr>
    </w:p>
    <w:p>
      <w:pPr>
        <w:jc w:val="center"/>
        <w:rPr>
          <w:rFonts w:ascii="宋体" w:hAnsi="宋体" w:eastAsia="宋体" w:cs="宋体"/>
          <w:b/>
          <w:sz w:val="52"/>
          <w:szCs w:val="52"/>
        </w:rPr>
      </w:pPr>
    </w:p>
    <w:p>
      <w:pPr>
        <w:rPr>
          <w:rFonts w:ascii="宋体" w:hAnsi="宋体" w:eastAsia="宋体" w:cs="宋体"/>
          <w:b/>
          <w:sz w:val="28"/>
          <w:szCs w:val="28"/>
        </w:rPr>
      </w:pPr>
    </w:p>
    <w:p>
      <w:pPr>
        <w:rPr>
          <w:rFonts w:ascii="宋体" w:hAnsi="宋体" w:eastAsia="宋体" w:cs="宋体"/>
          <w:b/>
          <w:sz w:val="28"/>
          <w:szCs w:val="28"/>
        </w:rPr>
      </w:pPr>
    </w:p>
    <w:p>
      <w:pPr>
        <w:rPr>
          <w:rFonts w:ascii="宋体" w:hAnsi="宋体" w:eastAsia="宋体" w:cs="宋体"/>
          <w:b/>
          <w:sz w:val="28"/>
          <w:szCs w:val="28"/>
        </w:rPr>
      </w:pPr>
    </w:p>
    <w:p>
      <w:pPr>
        <w:rPr>
          <w:rFonts w:ascii="宋体" w:hAnsi="宋体" w:eastAsia="宋体" w:cs="宋体"/>
          <w:b/>
          <w:sz w:val="28"/>
          <w:szCs w:val="28"/>
        </w:rPr>
      </w:pPr>
    </w:p>
    <w:p>
      <w:pPr>
        <w:rPr>
          <w:rFonts w:ascii="宋体" w:hAnsi="宋体" w:eastAsia="宋体" w:cs="宋体"/>
          <w:b/>
          <w:sz w:val="28"/>
          <w:szCs w:val="28"/>
        </w:rPr>
      </w:pPr>
    </w:p>
    <w:p>
      <w:pPr>
        <w:ind w:right="2719" w:rightChars="1295" w:firstLine="2738" w:firstLineChars="1304"/>
        <w:jc w:val="distribute"/>
        <w:rPr>
          <w:rFonts w:ascii="宋体" w:hAnsi="宋体" w:eastAsia="宋体" w:cs="宋体"/>
          <w:b/>
          <w:sz w:val="32"/>
          <w:szCs w:val="28"/>
        </w:rPr>
      </w:pPr>
      <w:r>
        <w:rPr>
          <w:rFonts w:ascii="宋体" w:hAnsi="宋体" w:eastAsia="宋体" w:cs="宋体"/>
        </w:rP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11" name="文本框 1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131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HNLXHYAAAACQEAAA8AAAAAAAAAAQAgAAAAIgAAAGRycy9kb3ducmV2LnhtbFBLAQIUABQA&#10;AAAIAIdO4kC1jT9A8AEAAM4DAAAOAAAAAAAAAAEAIAAAACcBAABkcnMvZTJvRG9jLnhtbFBLBQYA&#10;AAAABgAGAFkBAACJBQAAAAA=&#10;">
                <v:fill on="f" focussize="0,0"/>
                <v:stroke color="#FFFFFF" joinstyle="miter"/>
                <v:imagedata o:title=""/>
                <o:lock v:ext="edit" aspectratio="f"/>
                <v:textbox>
                  <w:txbxContent>
                    <w:p>
                      <w:pPr>
                        <w:rPr>
                          <w:b/>
                          <w:bCs/>
                          <w:sz w:val="32"/>
                        </w:rPr>
                      </w:pPr>
                      <w:r>
                        <w:rPr>
                          <w:rFonts w:hint="eastAsia"/>
                          <w:b/>
                          <w:bCs/>
                          <w:sz w:val="32"/>
                        </w:rPr>
                        <w:t>制定</w:t>
                      </w:r>
                    </w:p>
                  </w:txbxContent>
                </v:textbox>
              </v:shape>
            </w:pict>
          </mc:Fallback>
        </mc:AlternateContent>
      </w:r>
      <w:r>
        <w:rPr>
          <w:rFonts w:hint="eastAsia" w:ascii="宋体" w:hAnsi="宋体" w:eastAsia="宋体" w:cs="宋体"/>
          <w:b/>
          <w:sz w:val="32"/>
          <w:szCs w:val="28"/>
        </w:rPr>
        <w:t>住房城乡建设部</w:t>
      </w:r>
    </w:p>
    <w:p>
      <w:pPr>
        <w:ind w:right="2719" w:rightChars="1295" w:firstLine="2750" w:firstLineChars="856"/>
        <w:jc w:val="distribute"/>
        <w:rPr>
          <w:rFonts w:ascii="宋体" w:hAnsi="宋体" w:eastAsia="宋体" w:cs="宋体"/>
          <w:b/>
          <w:sz w:val="32"/>
          <w:szCs w:val="28"/>
        </w:rPr>
      </w:pPr>
      <w:r>
        <w:rPr>
          <w:rFonts w:hint="eastAsia" w:ascii="宋体" w:hAnsi="宋体" w:eastAsia="宋体" w:cs="宋体"/>
          <w:b/>
          <w:sz w:val="32"/>
          <w:szCs w:val="28"/>
        </w:rPr>
        <w:t>国家工商行政管理总局</w:t>
      </w:r>
    </w:p>
    <w:p>
      <w:pPr>
        <w:rPr>
          <w:rFonts w:ascii="宋体" w:hAnsi="宋体" w:eastAsia="宋体" w:cs="宋体"/>
          <w:b/>
        </w:rPr>
      </w:pPr>
    </w:p>
    <w:p>
      <w:pPr>
        <w:pStyle w:val="4"/>
        <w:jc w:val="center"/>
      </w:pPr>
      <w:r>
        <w:rPr>
          <w:rFonts w:hint="eastAsia"/>
        </w:rPr>
        <w:br w:type="page"/>
      </w:r>
      <w:bookmarkStart w:id="210" w:name="_Toc296890982"/>
      <w:bookmarkStart w:id="211" w:name="_Toc351203480"/>
      <w:bookmarkStart w:id="212" w:name="_Toc296503025"/>
      <w:r>
        <w:rPr>
          <w:rStyle w:val="41"/>
          <w:rFonts w:hint="eastAsia"/>
          <w:b/>
          <w:bCs/>
        </w:rPr>
        <w:t>第一部分 合同协议书</w:t>
      </w:r>
      <w:bookmarkEnd w:id="210"/>
      <w:bookmarkEnd w:id="211"/>
      <w:bookmarkEnd w:id="212"/>
    </w:p>
    <w:p>
      <w:pPr>
        <w:spacing w:line="440" w:lineRule="exact"/>
        <w:rPr>
          <w:rFonts w:ascii="宋体" w:hAnsi="宋体" w:eastAsia="宋体" w:cs="宋体"/>
          <w:sz w:val="24"/>
          <w:u w:val="single"/>
        </w:rPr>
      </w:pPr>
      <w:r>
        <w:rPr>
          <w:rFonts w:hint="eastAsia" w:ascii="宋体" w:hAnsi="宋体" w:eastAsia="宋体" w:cs="宋体"/>
          <w:b/>
          <w:sz w:val="24"/>
        </w:rPr>
        <w:t>发包人（全称）：</w:t>
      </w:r>
      <w:r>
        <w:rPr>
          <w:rFonts w:hint="eastAsia" w:ascii="宋体" w:hAnsi="宋体" w:eastAsia="宋体" w:cs="宋体"/>
          <w:sz w:val="24"/>
          <w:u w:val="single"/>
        </w:rPr>
        <w:t xml:space="preserve">     </w:t>
      </w:r>
      <w:r>
        <w:rPr>
          <w:rFonts w:hint="eastAsia" w:ascii="宋体" w:hAnsi="宋体" w:eastAsia="宋体" w:cs="宋体"/>
          <w:bCs/>
          <w:sz w:val="24"/>
          <w:u w:val="single"/>
        </w:rPr>
        <w:t xml:space="preserve">       </w:t>
      </w:r>
      <w:r>
        <w:rPr>
          <w:rFonts w:hint="eastAsia" w:ascii="宋体" w:hAnsi="宋体" w:eastAsia="宋体" w:cs="宋体"/>
          <w:sz w:val="24"/>
          <w:u w:val="single"/>
        </w:rPr>
        <w:t xml:space="preserve">       </w:t>
      </w:r>
    </w:p>
    <w:p>
      <w:pPr>
        <w:spacing w:line="440" w:lineRule="exact"/>
        <w:rPr>
          <w:rFonts w:ascii="宋体" w:hAnsi="宋体" w:eastAsia="宋体" w:cs="宋体"/>
          <w:b/>
          <w:sz w:val="24"/>
          <w:u w:val="single"/>
        </w:rPr>
      </w:pPr>
      <w:r>
        <w:rPr>
          <w:rFonts w:hint="eastAsia" w:ascii="宋体" w:hAnsi="宋体" w:eastAsia="宋体" w:cs="宋体"/>
          <w:b/>
          <w:sz w:val="24"/>
        </w:rPr>
        <w:t>承包人（全称）：</w:t>
      </w:r>
      <w:r>
        <w:rPr>
          <w:rFonts w:hint="eastAsia" w:ascii="宋体" w:hAnsi="宋体" w:eastAsia="宋体" w:cs="宋体"/>
          <w:sz w:val="24"/>
          <w:u w:val="single"/>
        </w:rPr>
        <w:t>              </w:t>
      </w:r>
    </w:p>
    <w:p>
      <w:pPr>
        <w:spacing w:line="440" w:lineRule="exact"/>
        <w:ind w:firstLine="480" w:firstLineChars="200"/>
        <w:rPr>
          <w:rFonts w:ascii="宋体" w:hAnsi="宋体" w:eastAsia="宋体" w:cs="宋体"/>
          <w:sz w:val="24"/>
        </w:rPr>
      </w:pPr>
      <w:r>
        <w:rPr>
          <w:rFonts w:hint="eastAsia" w:ascii="宋体" w:hAnsi="宋体" w:eastAsia="宋体" w:cs="宋体"/>
          <w:sz w:val="24"/>
        </w:rPr>
        <w:t>根据《中华人民共和国合同法》、《中华人民共和国建筑法》及有关法律规定，遵循平等、自愿、公平和诚实信用的原则，双方就</w:t>
      </w:r>
    </w:p>
    <w:p>
      <w:pPr>
        <w:spacing w:line="440" w:lineRule="exact"/>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工程施工及有关事项协商一致，共同达成如下协议：</w:t>
      </w:r>
    </w:p>
    <w:p>
      <w:pPr>
        <w:pStyle w:val="6"/>
        <w:spacing w:before="120" w:after="120" w:line="440" w:lineRule="exact"/>
        <w:rPr>
          <w:rFonts w:ascii="宋体" w:hAnsi="宋体" w:eastAsia="宋体" w:cs="宋体"/>
          <w:bCs w:val="0"/>
          <w:sz w:val="24"/>
          <w:szCs w:val="24"/>
        </w:rPr>
      </w:pPr>
      <w:r>
        <w:rPr>
          <w:rFonts w:hint="eastAsia" w:ascii="宋体" w:hAnsi="宋体" w:eastAsia="宋体" w:cs="宋体"/>
          <w:bCs w:val="0"/>
          <w:sz w:val="24"/>
          <w:szCs w:val="24"/>
        </w:rPr>
        <w:t xml:space="preserve">   </w:t>
      </w:r>
      <w:r>
        <w:rPr>
          <w:rFonts w:hint="eastAsia" w:ascii="宋体" w:hAnsi="宋体" w:eastAsia="宋体" w:cs="宋体"/>
          <w:b w:val="0"/>
          <w:sz w:val="24"/>
          <w:szCs w:val="24"/>
        </w:rPr>
        <w:t xml:space="preserve"> </w:t>
      </w:r>
      <w:bookmarkStart w:id="213" w:name="_Toc351203481"/>
      <w:r>
        <w:rPr>
          <w:rFonts w:hint="eastAsia" w:ascii="宋体" w:hAnsi="宋体" w:eastAsia="宋体" w:cs="宋体"/>
          <w:b w:val="0"/>
          <w:sz w:val="24"/>
          <w:szCs w:val="24"/>
        </w:rPr>
        <w:t>一、工程概况</w:t>
      </w:r>
      <w:bookmarkEnd w:id="213"/>
    </w:p>
    <w:p>
      <w:pPr>
        <w:spacing w:line="440" w:lineRule="exact"/>
        <w:ind w:firstLine="470" w:firstLineChars="196"/>
        <w:rPr>
          <w:rFonts w:ascii="宋体" w:hAnsi="宋体" w:eastAsia="宋体" w:cs="宋体"/>
          <w:sz w:val="24"/>
          <w:u w:val="single"/>
        </w:rPr>
      </w:pPr>
      <w:r>
        <w:rPr>
          <w:rFonts w:hint="eastAsia" w:ascii="宋体" w:hAnsi="宋体" w:eastAsia="宋体" w:cs="宋体"/>
          <w:bCs/>
          <w:sz w:val="24"/>
        </w:rPr>
        <w:t>1.工程名称</w:t>
      </w:r>
      <w:r>
        <w:rPr>
          <w:rFonts w:hint="eastAsia" w:ascii="宋体" w:hAnsi="宋体" w:eastAsia="宋体" w:cs="宋体"/>
          <w:sz w:val="24"/>
        </w:rPr>
        <w:t>：</w:t>
      </w:r>
      <w:r>
        <w:rPr>
          <w:rFonts w:hint="eastAsia" w:ascii="宋体" w:hAnsi="宋体" w:eastAsia="宋体" w:cs="宋体"/>
          <w:sz w:val="24"/>
          <w:u w:val="single"/>
        </w:rPr>
        <w:t xml:space="preserve">       </w:t>
      </w:r>
      <w:r>
        <w:rPr>
          <w:rFonts w:hint="eastAsia" w:ascii="宋体" w:hAnsi="宋体" w:eastAsia="宋体" w:cs="宋体"/>
          <w:sz w:val="24"/>
        </w:rPr>
        <w:t>。</w:t>
      </w:r>
    </w:p>
    <w:p>
      <w:pPr>
        <w:spacing w:line="440" w:lineRule="exact"/>
        <w:ind w:firstLine="470" w:firstLineChars="196"/>
        <w:rPr>
          <w:rFonts w:ascii="宋体" w:hAnsi="宋体" w:eastAsia="宋体" w:cs="宋体"/>
          <w:bCs/>
          <w:sz w:val="24"/>
        </w:rPr>
      </w:pPr>
      <w:r>
        <w:rPr>
          <w:rFonts w:hint="eastAsia" w:ascii="宋体" w:hAnsi="宋体" w:eastAsia="宋体" w:cs="宋体"/>
          <w:bCs/>
          <w:sz w:val="24"/>
        </w:rPr>
        <w:t>2.工程地点：</w:t>
      </w:r>
      <w:r>
        <w:rPr>
          <w:rFonts w:hint="eastAsia" w:ascii="宋体" w:hAnsi="宋体" w:eastAsia="宋体" w:cs="宋体"/>
          <w:sz w:val="24"/>
          <w:u w:val="single"/>
        </w:rPr>
        <w:t xml:space="preserve">       </w:t>
      </w:r>
      <w:r>
        <w:rPr>
          <w:rFonts w:hint="eastAsia" w:ascii="宋体" w:hAnsi="宋体" w:eastAsia="宋体" w:cs="宋体"/>
          <w:sz w:val="24"/>
        </w:rPr>
        <w:t>。</w:t>
      </w:r>
    </w:p>
    <w:p>
      <w:pPr>
        <w:spacing w:line="440" w:lineRule="exact"/>
        <w:ind w:firstLine="470" w:firstLineChars="196"/>
        <w:rPr>
          <w:rFonts w:ascii="宋体" w:hAnsi="宋体" w:eastAsia="宋体" w:cs="宋体"/>
          <w:bCs/>
          <w:sz w:val="24"/>
        </w:rPr>
      </w:pPr>
      <w:r>
        <w:rPr>
          <w:rFonts w:hint="eastAsia" w:ascii="宋体" w:hAnsi="宋体" w:eastAsia="宋体" w:cs="宋体"/>
          <w:bCs/>
          <w:sz w:val="24"/>
        </w:rPr>
        <w:t>3.工程立项批准文号：</w:t>
      </w:r>
      <w:r>
        <w:rPr>
          <w:rFonts w:hint="eastAsia" w:ascii="宋体" w:hAnsi="宋体" w:eastAsia="宋体" w:cs="宋体"/>
          <w:sz w:val="24"/>
          <w:u w:val="single"/>
        </w:rPr>
        <w:t xml:space="preserve">       </w:t>
      </w:r>
      <w:r>
        <w:rPr>
          <w:rFonts w:hint="eastAsia" w:ascii="宋体" w:hAnsi="宋体" w:eastAsia="宋体" w:cs="宋体"/>
          <w:bCs/>
          <w:sz w:val="24"/>
        </w:rPr>
        <w:t>。</w:t>
      </w:r>
    </w:p>
    <w:p>
      <w:pPr>
        <w:spacing w:line="440" w:lineRule="exact"/>
        <w:ind w:firstLine="470" w:firstLineChars="196"/>
        <w:rPr>
          <w:rFonts w:ascii="宋体" w:hAnsi="宋体" w:eastAsia="宋体" w:cs="宋体"/>
          <w:bCs/>
          <w:sz w:val="24"/>
        </w:rPr>
      </w:pPr>
      <w:r>
        <w:rPr>
          <w:rFonts w:hint="eastAsia" w:ascii="宋体" w:hAnsi="宋体" w:eastAsia="宋体" w:cs="宋体"/>
          <w:bCs/>
          <w:sz w:val="24"/>
        </w:rPr>
        <w:t>4.资金来源：</w:t>
      </w:r>
      <w:r>
        <w:rPr>
          <w:rFonts w:hint="eastAsia" w:ascii="宋体" w:hAnsi="宋体" w:eastAsia="宋体" w:cs="宋体"/>
          <w:sz w:val="24"/>
          <w:u w:val="single"/>
        </w:rPr>
        <w:t xml:space="preserve">       </w:t>
      </w:r>
      <w:r>
        <w:rPr>
          <w:rFonts w:hint="eastAsia" w:ascii="宋体" w:hAnsi="宋体" w:eastAsia="宋体" w:cs="宋体"/>
          <w:bCs/>
          <w:sz w:val="24"/>
        </w:rPr>
        <w:t>。</w:t>
      </w:r>
    </w:p>
    <w:p>
      <w:pPr>
        <w:spacing w:line="440" w:lineRule="exact"/>
        <w:ind w:firstLine="470" w:firstLineChars="196"/>
        <w:rPr>
          <w:rFonts w:ascii="宋体" w:hAnsi="宋体" w:eastAsia="宋体" w:cs="宋体"/>
          <w:bCs/>
          <w:sz w:val="24"/>
        </w:rPr>
      </w:pPr>
      <w:r>
        <w:rPr>
          <w:rFonts w:hint="eastAsia" w:ascii="宋体" w:hAnsi="宋体" w:eastAsia="宋体" w:cs="宋体"/>
          <w:bCs/>
          <w:sz w:val="24"/>
        </w:rPr>
        <w:t>5.工程内容：</w:t>
      </w:r>
      <w:r>
        <w:rPr>
          <w:rFonts w:hint="eastAsia" w:ascii="宋体" w:hAnsi="宋体" w:eastAsia="宋体" w:cs="宋体"/>
          <w:sz w:val="24"/>
          <w:u w:val="single"/>
        </w:rPr>
        <w:t xml:space="preserve">       </w:t>
      </w:r>
      <w:r>
        <w:rPr>
          <w:rFonts w:hint="eastAsia" w:ascii="宋体" w:hAnsi="宋体" w:eastAsia="宋体" w:cs="宋体"/>
          <w:bCs/>
          <w:sz w:val="24"/>
        </w:rPr>
        <w:t>。</w:t>
      </w:r>
    </w:p>
    <w:p>
      <w:pPr>
        <w:spacing w:line="440" w:lineRule="exact"/>
        <w:ind w:firstLine="470" w:firstLineChars="196"/>
        <w:rPr>
          <w:rFonts w:ascii="宋体" w:hAnsi="宋体" w:eastAsia="宋体" w:cs="宋体"/>
          <w:bCs/>
          <w:sz w:val="24"/>
        </w:rPr>
      </w:pPr>
      <w:r>
        <w:rPr>
          <w:rFonts w:hint="eastAsia" w:ascii="宋体" w:hAnsi="宋体" w:eastAsia="宋体" w:cs="宋体"/>
          <w:sz w:val="24"/>
        </w:rPr>
        <w:t>群体工程应附《承包人承揽工程项目一览表》（附件1）。</w:t>
      </w:r>
    </w:p>
    <w:p>
      <w:pPr>
        <w:spacing w:line="440" w:lineRule="exact"/>
        <w:ind w:firstLine="470" w:firstLineChars="196"/>
        <w:rPr>
          <w:rFonts w:ascii="宋体" w:hAnsi="宋体" w:eastAsia="宋体" w:cs="宋体"/>
          <w:bCs/>
          <w:sz w:val="24"/>
        </w:rPr>
      </w:pPr>
      <w:r>
        <w:rPr>
          <w:rFonts w:hint="eastAsia" w:ascii="宋体" w:hAnsi="宋体" w:eastAsia="宋体" w:cs="宋体"/>
          <w:bCs/>
          <w:sz w:val="24"/>
        </w:rPr>
        <w:t>6.工程承包范围：</w:t>
      </w:r>
    </w:p>
    <w:p>
      <w:pPr>
        <w:spacing w:line="440" w:lineRule="exact"/>
        <w:ind w:firstLine="463" w:firstLineChars="193"/>
        <w:rPr>
          <w:rFonts w:ascii="宋体" w:hAnsi="宋体" w:eastAsia="宋体" w:cs="宋体"/>
          <w:sz w:val="24"/>
        </w:rPr>
      </w:pPr>
      <w:r>
        <w:rPr>
          <w:rFonts w:hint="eastAsia" w:ascii="宋体" w:hAnsi="宋体" w:eastAsia="宋体" w:cs="宋体"/>
          <w:sz w:val="24"/>
          <w:u w:val="single"/>
        </w:rPr>
        <w:t xml:space="preserve">招标文件、施工图、工程量清单报价包含的发包内容 </w:t>
      </w:r>
      <w:r>
        <w:rPr>
          <w:rFonts w:hint="eastAsia" w:ascii="宋体" w:hAnsi="宋体" w:eastAsia="宋体" w:cs="宋体"/>
          <w:sz w:val="24"/>
        </w:rPr>
        <w:t>。</w:t>
      </w:r>
    </w:p>
    <w:p>
      <w:pPr>
        <w:pStyle w:val="6"/>
        <w:spacing w:before="120" w:after="120" w:line="440" w:lineRule="exact"/>
        <w:rPr>
          <w:rFonts w:ascii="宋体" w:hAnsi="宋体" w:eastAsia="宋体" w:cs="宋体"/>
          <w:b w:val="0"/>
          <w:sz w:val="24"/>
          <w:szCs w:val="24"/>
        </w:rPr>
      </w:pPr>
      <w:r>
        <w:rPr>
          <w:rFonts w:hint="eastAsia" w:ascii="宋体" w:hAnsi="宋体" w:eastAsia="宋体" w:cs="宋体"/>
          <w:b w:val="0"/>
          <w:sz w:val="24"/>
          <w:szCs w:val="24"/>
        </w:rPr>
        <w:t xml:space="preserve">   </w:t>
      </w:r>
      <w:bookmarkStart w:id="214" w:name="_Toc351203482"/>
      <w:r>
        <w:rPr>
          <w:rFonts w:hint="eastAsia" w:ascii="宋体" w:hAnsi="宋体" w:eastAsia="宋体" w:cs="宋体"/>
          <w:b w:val="0"/>
          <w:sz w:val="24"/>
          <w:szCs w:val="24"/>
        </w:rPr>
        <w:t xml:space="preserve"> 二、合同工期</w:t>
      </w:r>
      <w:bookmarkEnd w:id="214"/>
    </w:p>
    <w:p>
      <w:pPr>
        <w:spacing w:line="440" w:lineRule="exact"/>
        <w:ind w:firstLine="459"/>
        <w:rPr>
          <w:rFonts w:ascii="宋体" w:hAnsi="宋体" w:eastAsia="宋体" w:cs="宋体"/>
          <w:sz w:val="24"/>
        </w:rPr>
      </w:pPr>
      <w:r>
        <w:rPr>
          <w:rFonts w:hint="eastAsia" w:ascii="宋体" w:hAnsi="宋体" w:eastAsia="宋体" w:cs="宋体"/>
          <w:sz w:val="24"/>
        </w:rPr>
        <w:t>计划开工日期：</w:t>
      </w:r>
      <w:r>
        <w:rPr>
          <w:rFonts w:hint="eastAsia" w:ascii="宋体" w:hAnsi="宋体" w:eastAsia="宋体" w:cs="宋体"/>
          <w:sz w:val="24"/>
          <w:u w:val="single"/>
        </w:rPr>
        <w:t xml:space="preserve">以经批准开工报告的开工日期为准 </w:t>
      </w:r>
      <w:r>
        <w:rPr>
          <w:rFonts w:hint="eastAsia" w:ascii="宋体" w:hAnsi="宋体" w:eastAsia="宋体" w:cs="宋体"/>
          <w:sz w:val="24"/>
        </w:rPr>
        <w:t>。</w:t>
      </w:r>
    </w:p>
    <w:p>
      <w:pPr>
        <w:spacing w:line="440" w:lineRule="exact"/>
        <w:ind w:firstLine="459"/>
        <w:rPr>
          <w:rFonts w:ascii="宋体" w:hAnsi="宋体" w:eastAsia="宋体" w:cs="宋体"/>
          <w:sz w:val="24"/>
        </w:rPr>
      </w:pPr>
      <w:r>
        <w:rPr>
          <w:rFonts w:hint="eastAsia" w:ascii="宋体" w:hAnsi="宋体" w:eastAsia="宋体" w:cs="宋体"/>
          <w:sz w:val="24"/>
        </w:rPr>
        <w:t>计划竣工日期：</w:t>
      </w:r>
      <w:r>
        <w:rPr>
          <w:rFonts w:hint="eastAsia" w:ascii="宋体" w:hAnsi="宋体" w:eastAsia="宋体" w:cs="宋体"/>
          <w:sz w:val="24"/>
          <w:u w:val="single"/>
        </w:rPr>
        <w:t></w:t>
      </w:r>
      <w:r>
        <w:rPr>
          <w:rFonts w:hint="eastAsia" w:ascii="宋体" w:hAnsi="宋体" w:eastAsia="宋体" w:cs="宋体"/>
          <w:sz w:val="24"/>
        </w:rPr>
        <w:t>年</w:t>
      </w:r>
      <w:r>
        <w:rPr>
          <w:rFonts w:hint="eastAsia" w:ascii="宋体" w:hAnsi="宋体" w:eastAsia="宋体" w:cs="宋体"/>
          <w:sz w:val="24"/>
          <w:u w:val="single"/>
        </w:rPr>
        <w:t></w:t>
      </w:r>
      <w:r>
        <w:rPr>
          <w:rFonts w:hint="eastAsia" w:ascii="宋体" w:hAnsi="宋体" w:eastAsia="宋体" w:cs="宋体"/>
          <w:sz w:val="24"/>
        </w:rPr>
        <w:t>月</w:t>
      </w:r>
      <w:r>
        <w:rPr>
          <w:rFonts w:hint="eastAsia" w:ascii="宋体" w:hAnsi="宋体" w:eastAsia="宋体" w:cs="宋体"/>
          <w:sz w:val="24"/>
          <w:u w:val="single"/>
        </w:rPr>
        <w:t></w:t>
      </w:r>
      <w:r>
        <w:rPr>
          <w:rFonts w:hint="eastAsia" w:ascii="宋体" w:hAnsi="宋体" w:eastAsia="宋体" w:cs="宋体"/>
          <w:sz w:val="24"/>
        </w:rPr>
        <w:t>日。</w:t>
      </w:r>
    </w:p>
    <w:p>
      <w:pPr>
        <w:spacing w:line="440" w:lineRule="exact"/>
        <w:ind w:firstLine="459"/>
        <w:rPr>
          <w:rFonts w:ascii="宋体" w:hAnsi="宋体" w:eastAsia="宋体" w:cs="宋体"/>
          <w:sz w:val="24"/>
        </w:rPr>
      </w:pPr>
      <w:r>
        <w:rPr>
          <w:rFonts w:hint="eastAsia" w:ascii="宋体" w:hAnsi="宋体" w:eastAsia="宋体" w:cs="宋体"/>
          <w:sz w:val="24"/>
        </w:rPr>
        <w:t>工期总日历天数：</w:t>
      </w:r>
      <w:r>
        <w:rPr>
          <w:rFonts w:hint="eastAsia" w:ascii="宋体" w:hAnsi="宋体" w:eastAsia="宋体" w:cs="宋体"/>
          <w:sz w:val="24"/>
          <w:u w:val="single"/>
        </w:rPr>
        <w:t></w:t>
      </w:r>
      <w:r>
        <w:rPr>
          <w:rFonts w:hint="eastAsia" w:ascii="宋体" w:hAnsi="宋体" w:eastAsia="宋体" w:cs="宋体"/>
          <w:sz w:val="24"/>
        </w:rPr>
        <w:t>天。工期总日历天数与根据前述计划开竣工日期计算的工期天数不一致的，以工期总日历天数为准。</w:t>
      </w:r>
    </w:p>
    <w:p>
      <w:pPr>
        <w:pStyle w:val="6"/>
        <w:spacing w:before="120" w:after="120" w:line="440" w:lineRule="exact"/>
        <w:rPr>
          <w:rFonts w:ascii="宋体" w:hAnsi="宋体" w:eastAsia="宋体" w:cs="宋体"/>
          <w:bCs w:val="0"/>
          <w:sz w:val="24"/>
          <w:szCs w:val="24"/>
        </w:rPr>
      </w:pPr>
      <w:r>
        <w:rPr>
          <w:rFonts w:hint="eastAsia" w:ascii="宋体" w:hAnsi="宋体" w:eastAsia="宋体" w:cs="宋体"/>
          <w:bCs w:val="0"/>
          <w:sz w:val="24"/>
          <w:szCs w:val="24"/>
        </w:rPr>
        <w:t xml:space="preserve">    </w:t>
      </w:r>
      <w:bookmarkStart w:id="215" w:name="_Toc351203483"/>
      <w:r>
        <w:rPr>
          <w:rFonts w:hint="eastAsia" w:ascii="宋体" w:hAnsi="宋体" w:eastAsia="宋体" w:cs="宋体"/>
          <w:b w:val="0"/>
          <w:sz w:val="24"/>
          <w:szCs w:val="24"/>
        </w:rPr>
        <w:t>三、质量标准</w:t>
      </w:r>
      <w:bookmarkEnd w:id="215"/>
    </w:p>
    <w:p>
      <w:pPr>
        <w:spacing w:line="440" w:lineRule="exact"/>
        <w:ind w:firstLine="459"/>
        <w:rPr>
          <w:rFonts w:ascii="宋体" w:hAnsi="宋体" w:eastAsia="宋体" w:cs="宋体"/>
          <w:sz w:val="24"/>
        </w:rPr>
      </w:pPr>
      <w:r>
        <w:rPr>
          <w:rFonts w:hint="eastAsia" w:ascii="宋体" w:hAnsi="宋体" w:eastAsia="宋体" w:cs="宋体"/>
          <w:sz w:val="24"/>
        </w:rPr>
        <w:t>工程质量符合</w:t>
      </w:r>
      <w:r>
        <w:rPr>
          <w:rFonts w:hint="eastAsia" w:ascii="宋体" w:hAnsi="宋体" w:eastAsia="宋体" w:cs="宋体"/>
          <w:sz w:val="24"/>
          <w:u w:val="single"/>
        </w:rPr>
        <w:t>国家施工验收规范合格</w:t>
      </w:r>
      <w:r>
        <w:rPr>
          <w:rFonts w:hint="eastAsia" w:ascii="宋体" w:hAnsi="宋体" w:eastAsia="宋体" w:cs="宋体"/>
          <w:sz w:val="24"/>
        </w:rPr>
        <w:t>标准。</w:t>
      </w:r>
    </w:p>
    <w:p>
      <w:pPr>
        <w:pStyle w:val="6"/>
        <w:spacing w:before="120" w:after="120" w:line="440" w:lineRule="exact"/>
        <w:rPr>
          <w:rFonts w:ascii="宋体" w:hAnsi="宋体" w:eastAsia="宋体" w:cs="宋体"/>
          <w:bCs w:val="0"/>
          <w:sz w:val="24"/>
          <w:szCs w:val="24"/>
        </w:rPr>
      </w:pPr>
      <w:r>
        <w:rPr>
          <w:rFonts w:hint="eastAsia" w:ascii="宋体" w:hAnsi="宋体" w:eastAsia="宋体" w:cs="宋体"/>
          <w:bCs w:val="0"/>
          <w:sz w:val="24"/>
          <w:szCs w:val="24"/>
        </w:rPr>
        <w:t xml:space="preserve">   </w:t>
      </w:r>
      <w:r>
        <w:rPr>
          <w:rFonts w:hint="eastAsia" w:ascii="宋体" w:hAnsi="宋体" w:eastAsia="宋体" w:cs="宋体"/>
          <w:b w:val="0"/>
          <w:sz w:val="24"/>
          <w:szCs w:val="24"/>
        </w:rPr>
        <w:t xml:space="preserve"> </w:t>
      </w:r>
      <w:bookmarkStart w:id="216" w:name="_Toc351203484"/>
      <w:r>
        <w:rPr>
          <w:rFonts w:hint="eastAsia" w:ascii="宋体" w:hAnsi="宋体" w:eastAsia="宋体" w:cs="宋体"/>
          <w:b w:val="0"/>
          <w:sz w:val="24"/>
          <w:szCs w:val="24"/>
        </w:rPr>
        <w:t>四、签约合同价与合同价格形式</w:t>
      </w:r>
      <w:bookmarkEnd w:id="216"/>
      <w:r>
        <w:rPr>
          <w:rFonts w:hint="eastAsia" w:ascii="宋体" w:hAnsi="宋体" w:eastAsia="宋体" w:cs="宋体"/>
          <w:b w:val="0"/>
          <w:sz w:val="24"/>
          <w:szCs w:val="24"/>
        </w:rPr>
        <w:tab/>
      </w:r>
    </w:p>
    <w:p>
      <w:pPr>
        <w:spacing w:line="440" w:lineRule="exact"/>
        <w:ind w:firstLine="480" w:firstLineChars="200"/>
        <w:rPr>
          <w:rFonts w:ascii="宋体" w:hAnsi="宋体" w:eastAsia="宋体" w:cs="宋体"/>
          <w:sz w:val="24"/>
        </w:rPr>
      </w:pPr>
      <w:r>
        <w:rPr>
          <w:rFonts w:hint="eastAsia" w:ascii="宋体" w:hAnsi="宋体" w:eastAsia="宋体" w:cs="宋体"/>
          <w:sz w:val="24"/>
        </w:rPr>
        <w:t>1.签约合同价为：</w:t>
      </w:r>
    </w:p>
    <w:p>
      <w:pPr>
        <w:spacing w:line="440" w:lineRule="exact"/>
        <w:ind w:firstLine="600" w:firstLineChars="250"/>
        <w:rPr>
          <w:rFonts w:ascii="宋体" w:hAnsi="宋体" w:eastAsia="宋体" w:cs="宋体"/>
          <w:sz w:val="24"/>
        </w:rPr>
      </w:pPr>
      <w:r>
        <w:rPr>
          <w:rFonts w:hint="eastAsia" w:ascii="宋体" w:hAnsi="宋体" w:eastAsia="宋体" w:cs="宋体"/>
          <w:sz w:val="24"/>
        </w:rPr>
        <w:t>人民币（大写）</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元)；</w:t>
      </w:r>
    </w:p>
    <w:p>
      <w:pPr>
        <w:spacing w:line="440" w:lineRule="exact"/>
        <w:ind w:firstLine="480" w:firstLineChars="200"/>
        <w:rPr>
          <w:rFonts w:ascii="宋体" w:hAnsi="宋体" w:eastAsia="宋体" w:cs="宋体"/>
          <w:sz w:val="24"/>
        </w:rPr>
      </w:pPr>
      <w:r>
        <w:rPr>
          <w:rFonts w:hint="eastAsia" w:ascii="宋体" w:hAnsi="宋体" w:eastAsia="宋体" w:cs="宋体"/>
          <w:sz w:val="24"/>
        </w:rPr>
        <w:t>其中：</w:t>
      </w:r>
    </w:p>
    <w:p>
      <w:pPr>
        <w:spacing w:line="440" w:lineRule="exact"/>
        <w:ind w:firstLine="480" w:firstLineChars="200"/>
        <w:rPr>
          <w:rFonts w:ascii="宋体" w:hAnsi="宋体" w:eastAsia="宋体" w:cs="宋体"/>
          <w:sz w:val="24"/>
        </w:rPr>
      </w:pPr>
      <w:r>
        <w:rPr>
          <w:rFonts w:hint="eastAsia" w:ascii="宋体" w:hAnsi="宋体" w:eastAsia="宋体" w:cs="宋体"/>
          <w:sz w:val="24"/>
        </w:rPr>
        <w:t>（1）安全文明施工费：</w:t>
      </w:r>
    </w:p>
    <w:p>
      <w:pPr>
        <w:spacing w:line="440" w:lineRule="exact"/>
        <w:ind w:firstLine="1080" w:firstLineChars="450"/>
        <w:rPr>
          <w:rFonts w:ascii="宋体" w:hAnsi="宋体" w:eastAsia="宋体" w:cs="宋体"/>
          <w:sz w:val="24"/>
        </w:rPr>
      </w:pPr>
      <w:r>
        <w:rPr>
          <w:rFonts w:hint="eastAsia" w:ascii="宋体" w:hAnsi="宋体" w:eastAsia="宋体" w:cs="宋体"/>
          <w:sz w:val="24"/>
        </w:rPr>
        <w:t>人民币（大写）</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元)；</w:t>
      </w:r>
    </w:p>
    <w:p>
      <w:pPr>
        <w:spacing w:line="440" w:lineRule="exact"/>
        <w:ind w:firstLine="480" w:firstLineChars="200"/>
        <w:rPr>
          <w:rFonts w:ascii="宋体" w:hAnsi="宋体" w:eastAsia="宋体" w:cs="宋体"/>
          <w:sz w:val="24"/>
        </w:rPr>
      </w:pPr>
      <w:r>
        <w:rPr>
          <w:rFonts w:hint="eastAsia" w:ascii="宋体" w:hAnsi="宋体" w:eastAsia="宋体" w:cs="宋体"/>
          <w:sz w:val="24"/>
        </w:rPr>
        <w:t>2.合同价格形式：</w:t>
      </w:r>
      <w:r>
        <w:rPr>
          <w:rFonts w:hint="eastAsia" w:ascii="宋体" w:hAnsi="宋体" w:eastAsia="宋体" w:cs="宋体"/>
          <w:sz w:val="24"/>
          <w:u w:val="single"/>
        </w:rPr>
        <w:t>                      </w:t>
      </w:r>
      <w:r>
        <w:rPr>
          <w:rFonts w:hint="eastAsia" w:ascii="宋体" w:hAnsi="宋体" w:eastAsia="宋体" w:cs="宋体"/>
          <w:sz w:val="24"/>
        </w:rPr>
        <w:t>。</w:t>
      </w:r>
    </w:p>
    <w:p>
      <w:pPr>
        <w:pStyle w:val="6"/>
        <w:spacing w:before="120" w:after="120" w:line="440" w:lineRule="exact"/>
        <w:rPr>
          <w:rFonts w:ascii="宋体" w:hAnsi="宋体" w:eastAsia="宋体" w:cs="宋体"/>
          <w:b w:val="0"/>
          <w:sz w:val="24"/>
          <w:szCs w:val="24"/>
        </w:rPr>
      </w:pPr>
      <w:r>
        <w:rPr>
          <w:rFonts w:hint="eastAsia" w:ascii="宋体" w:hAnsi="宋体" w:eastAsia="宋体" w:cs="宋体"/>
          <w:bCs w:val="0"/>
          <w:sz w:val="24"/>
          <w:szCs w:val="24"/>
        </w:rPr>
        <w:t xml:space="preserve">   </w:t>
      </w:r>
      <w:r>
        <w:rPr>
          <w:rFonts w:hint="eastAsia" w:ascii="宋体" w:hAnsi="宋体" w:eastAsia="宋体" w:cs="宋体"/>
          <w:b w:val="0"/>
          <w:sz w:val="24"/>
          <w:szCs w:val="24"/>
        </w:rPr>
        <w:t xml:space="preserve"> </w:t>
      </w:r>
      <w:bookmarkStart w:id="217" w:name="_Toc351203485"/>
      <w:r>
        <w:rPr>
          <w:rFonts w:hint="eastAsia" w:ascii="宋体" w:hAnsi="宋体" w:eastAsia="宋体" w:cs="宋体"/>
          <w:b w:val="0"/>
          <w:sz w:val="24"/>
          <w:szCs w:val="24"/>
        </w:rPr>
        <w:t>五、</w:t>
      </w:r>
      <w:bookmarkEnd w:id="217"/>
      <w:r>
        <w:rPr>
          <w:rFonts w:hint="eastAsia" w:ascii="宋体" w:hAnsi="宋体" w:eastAsia="宋体" w:cs="宋体"/>
          <w:b w:val="0"/>
          <w:sz w:val="24"/>
          <w:szCs w:val="24"/>
        </w:rPr>
        <w:t>项目经理</w:t>
      </w:r>
    </w:p>
    <w:p>
      <w:pPr>
        <w:spacing w:line="440" w:lineRule="exact"/>
        <w:ind w:firstLine="480" w:firstLineChars="200"/>
        <w:rPr>
          <w:rFonts w:ascii="宋体" w:hAnsi="宋体" w:eastAsia="宋体" w:cs="宋体"/>
          <w:sz w:val="24"/>
        </w:rPr>
      </w:pPr>
      <w:r>
        <w:rPr>
          <w:rFonts w:hint="eastAsia" w:ascii="宋体" w:hAnsi="宋体" w:eastAsia="宋体" w:cs="宋体"/>
          <w:sz w:val="24"/>
        </w:rPr>
        <w:t>承包人项目经理：</w:t>
      </w:r>
      <w:r>
        <w:rPr>
          <w:rFonts w:hint="eastAsia" w:ascii="宋体" w:hAnsi="宋体" w:eastAsia="宋体" w:cs="宋体"/>
          <w:sz w:val="24"/>
          <w:u w:val="single"/>
        </w:rPr>
        <w:t>                     </w:t>
      </w:r>
      <w:r>
        <w:rPr>
          <w:rFonts w:hint="eastAsia" w:ascii="宋体" w:hAnsi="宋体" w:eastAsia="宋体" w:cs="宋体"/>
          <w:sz w:val="24"/>
        </w:rPr>
        <w:t>。</w:t>
      </w:r>
    </w:p>
    <w:p>
      <w:pPr>
        <w:pStyle w:val="6"/>
        <w:spacing w:before="120" w:after="120" w:line="440" w:lineRule="exact"/>
        <w:rPr>
          <w:rFonts w:ascii="宋体" w:hAnsi="宋体" w:eastAsia="宋体" w:cs="宋体"/>
          <w:bCs w:val="0"/>
          <w:sz w:val="24"/>
          <w:szCs w:val="24"/>
        </w:rPr>
      </w:pPr>
      <w:r>
        <w:rPr>
          <w:rFonts w:hint="eastAsia" w:ascii="宋体" w:hAnsi="宋体" w:eastAsia="宋体" w:cs="宋体"/>
          <w:bCs w:val="0"/>
          <w:sz w:val="24"/>
          <w:szCs w:val="24"/>
        </w:rPr>
        <w:t xml:space="preserve">   </w:t>
      </w:r>
      <w:r>
        <w:rPr>
          <w:rFonts w:hint="eastAsia" w:ascii="宋体" w:hAnsi="宋体" w:eastAsia="宋体" w:cs="宋体"/>
          <w:b w:val="0"/>
          <w:sz w:val="24"/>
          <w:szCs w:val="24"/>
        </w:rPr>
        <w:t xml:space="preserve"> </w:t>
      </w:r>
      <w:bookmarkStart w:id="218" w:name="_Toc351203486"/>
      <w:r>
        <w:rPr>
          <w:rFonts w:hint="eastAsia" w:ascii="宋体" w:hAnsi="宋体" w:eastAsia="宋体" w:cs="宋体"/>
          <w:b w:val="0"/>
          <w:sz w:val="24"/>
          <w:szCs w:val="24"/>
        </w:rPr>
        <w:t>六、合同文件构成</w:t>
      </w:r>
      <w:bookmarkEnd w:id="218"/>
    </w:p>
    <w:p>
      <w:pPr>
        <w:spacing w:line="440" w:lineRule="exact"/>
        <w:ind w:firstLine="480" w:firstLineChars="200"/>
        <w:rPr>
          <w:rFonts w:ascii="宋体" w:hAnsi="宋体" w:eastAsia="宋体" w:cs="宋体"/>
          <w:bCs/>
          <w:sz w:val="24"/>
        </w:rPr>
      </w:pPr>
      <w:r>
        <w:rPr>
          <w:rFonts w:hint="eastAsia" w:ascii="宋体" w:hAnsi="宋体" w:eastAsia="宋体" w:cs="宋体"/>
          <w:bCs/>
          <w:sz w:val="24"/>
        </w:rPr>
        <w:t>本协议书与下列文件一起构成合同文件：</w:t>
      </w:r>
    </w:p>
    <w:p>
      <w:pPr>
        <w:autoSpaceDE w:val="0"/>
        <w:autoSpaceDN w:val="0"/>
        <w:spacing w:line="440" w:lineRule="exact"/>
        <w:ind w:firstLine="480" w:firstLineChars="200"/>
        <w:jc w:val="left"/>
        <w:rPr>
          <w:rFonts w:ascii="宋体" w:hAnsi="宋体" w:eastAsia="宋体" w:cs="宋体"/>
          <w:sz w:val="24"/>
        </w:rPr>
      </w:pPr>
      <w:r>
        <w:rPr>
          <w:rFonts w:hint="eastAsia" w:ascii="宋体" w:hAnsi="宋体" w:eastAsia="宋体" w:cs="宋体"/>
          <w:sz w:val="24"/>
        </w:rPr>
        <w:t>（1）中标通知书（如果有）；</w:t>
      </w:r>
    </w:p>
    <w:p>
      <w:pPr>
        <w:autoSpaceDE w:val="0"/>
        <w:autoSpaceDN w:val="0"/>
        <w:spacing w:line="440" w:lineRule="exact"/>
        <w:ind w:firstLine="480" w:firstLineChars="200"/>
        <w:jc w:val="left"/>
        <w:rPr>
          <w:rFonts w:ascii="宋体" w:hAnsi="宋体" w:eastAsia="宋体" w:cs="宋体"/>
          <w:sz w:val="24"/>
        </w:rPr>
      </w:pPr>
      <w:r>
        <w:rPr>
          <w:rFonts w:hint="eastAsia" w:ascii="宋体" w:hAnsi="宋体" w:eastAsia="宋体" w:cs="宋体"/>
          <w:sz w:val="24"/>
        </w:rPr>
        <w:t xml:space="preserve">（2）投标函及其附录（如果有）； </w:t>
      </w:r>
    </w:p>
    <w:p>
      <w:pPr>
        <w:autoSpaceDE w:val="0"/>
        <w:autoSpaceDN w:val="0"/>
        <w:spacing w:line="440" w:lineRule="exact"/>
        <w:ind w:firstLine="480" w:firstLineChars="200"/>
        <w:jc w:val="left"/>
        <w:rPr>
          <w:rFonts w:ascii="宋体" w:hAnsi="宋体" w:eastAsia="宋体" w:cs="宋体"/>
          <w:sz w:val="24"/>
        </w:rPr>
      </w:pPr>
      <w:r>
        <w:rPr>
          <w:rFonts w:hint="eastAsia" w:ascii="宋体" w:hAnsi="宋体" w:eastAsia="宋体" w:cs="宋体"/>
          <w:sz w:val="24"/>
        </w:rPr>
        <w:t>（3）专用合同条款及其附件；</w:t>
      </w:r>
    </w:p>
    <w:p>
      <w:pPr>
        <w:autoSpaceDE w:val="0"/>
        <w:autoSpaceDN w:val="0"/>
        <w:spacing w:line="440" w:lineRule="exact"/>
        <w:ind w:firstLine="480" w:firstLineChars="200"/>
        <w:jc w:val="left"/>
        <w:rPr>
          <w:rFonts w:ascii="宋体" w:hAnsi="宋体" w:eastAsia="宋体" w:cs="宋体"/>
          <w:sz w:val="24"/>
        </w:rPr>
      </w:pPr>
      <w:r>
        <w:rPr>
          <w:rFonts w:hint="eastAsia" w:ascii="宋体" w:hAnsi="宋体" w:eastAsia="宋体" w:cs="宋体"/>
          <w:sz w:val="24"/>
        </w:rPr>
        <w:t>（4）通用合同条款；</w:t>
      </w:r>
    </w:p>
    <w:p>
      <w:pPr>
        <w:autoSpaceDE w:val="0"/>
        <w:autoSpaceDN w:val="0"/>
        <w:spacing w:line="440" w:lineRule="exact"/>
        <w:ind w:firstLine="480" w:firstLineChars="200"/>
        <w:jc w:val="left"/>
        <w:rPr>
          <w:rFonts w:ascii="宋体" w:hAnsi="宋体" w:eastAsia="宋体" w:cs="宋体"/>
          <w:sz w:val="24"/>
        </w:rPr>
      </w:pPr>
      <w:r>
        <w:rPr>
          <w:rFonts w:hint="eastAsia" w:ascii="宋体" w:hAnsi="宋体" w:eastAsia="宋体" w:cs="宋体"/>
          <w:sz w:val="24"/>
        </w:rPr>
        <w:t>（5）技术标准和要求；</w:t>
      </w:r>
    </w:p>
    <w:p>
      <w:pPr>
        <w:autoSpaceDE w:val="0"/>
        <w:autoSpaceDN w:val="0"/>
        <w:spacing w:line="440" w:lineRule="exact"/>
        <w:ind w:firstLine="480" w:firstLineChars="200"/>
        <w:jc w:val="left"/>
        <w:rPr>
          <w:rFonts w:ascii="宋体" w:hAnsi="宋体" w:eastAsia="宋体" w:cs="宋体"/>
          <w:sz w:val="24"/>
        </w:rPr>
      </w:pPr>
      <w:r>
        <w:rPr>
          <w:rFonts w:hint="eastAsia" w:ascii="宋体" w:hAnsi="宋体" w:eastAsia="宋体" w:cs="宋体"/>
          <w:sz w:val="24"/>
        </w:rPr>
        <w:t>（6）图纸；</w:t>
      </w:r>
    </w:p>
    <w:p>
      <w:pPr>
        <w:autoSpaceDE w:val="0"/>
        <w:autoSpaceDN w:val="0"/>
        <w:spacing w:line="440" w:lineRule="exact"/>
        <w:ind w:firstLine="480" w:firstLineChars="200"/>
        <w:jc w:val="left"/>
        <w:rPr>
          <w:rFonts w:ascii="宋体" w:hAnsi="宋体" w:eastAsia="宋体" w:cs="宋体"/>
          <w:sz w:val="24"/>
        </w:rPr>
      </w:pPr>
      <w:r>
        <w:rPr>
          <w:rFonts w:hint="eastAsia" w:ascii="宋体" w:hAnsi="宋体" w:eastAsia="宋体" w:cs="宋体"/>
          <w:sz w:val="24"/>
        </w:rPr>
        <w:t>（7）已标价工程量清单或预算书；</w:t>
      </w:r>
    </w:p>
    <w:p>
      <w:pPr>
        <w:autoSpaceDE w:val="0"/>
        <w:autoSpaceDN w:val="0"/>
        <w:spacing w:line="440" w:lineRule="exact"/>
        <w:ind w:firstLine="480" w:firstLineChars="200"/>
        <w:jc w:val="left"/>
        <w:rPr>
          <w:rFonts w:ascii="宋体" w:hAnsi="宋体" w:eastAsia="宋体" w:cs="宋体"/>
          <w:sz w:val="24"/>
        </w:rPr>
      </w:pPr>
      <w:r>
        <w:rPr>
          <w:rFonts w:hint="eastAsia" w:ascii="宋体" w:hAnsi="宋体" w:eastAsia="宋体" w:cs="宋体"/>
          <w:sz w:val="24"/>
        </w:rPr>
        <w:t>（8）其他合同文件。</w:t>
      </w:r>
    </w:p>
    <w:p>
      <w:pPr>
        <w:autoSpaceDE w:val="0"/>
        <w:autoSpaceDN w:val="0"/>
        <w:spacing w:line="440" w:lineRule="exact"/>
        <w:ind w:firstLine="480" w:firstLineChars="200"/>
        <w:jc w:val="left"/>
        <w:rPr>
          <w:rFonts w:ascii="宋体" w:hAnsi="宋体" w:eastAsia="宋体" w:cs="宋体"/>
          <w:sz w:val="24"/>
        </w:rPr>
      </w:pPr>
      <w:r>
        <w:rPr>
          <w:rFonts w:hint="eastAsia" w:ascii="宋体" w:hAnsi="宋体" w:eastAsia="宋体" w:cs="宋体"/>
          <w:sz w:val="24"/>
        </w:rPr>
        <w:t>在合同订立及履行过程中形成的与合同有关的文件均构成合同文件组成部分。</w:t>
      </w:r>
    </w:p>
    <w:p>
      <w:pPr>
        <w:autoSpaceDE w:val="0"/>
        <w:autoSpaceDN w:val="0"/>
        <w:spacing w:line="440" w:lineRule="exact"/>
        <w:ind w:firstLine="480" w:firstLineChars="200"/>
        <w:jc w:val="left"/>
        <w:rPr>
          <w:rFonts w:ascii="宋体" w:hAnsi="宋体" w:eastAsia="宋体" w:cs="宋体"/>
          <w:sz w:val="24"/>
        </w:rPr>
      </w:pPr>
      <w:r>
        <w:rPr>
          <w:rFonts w:hint="eastAsia" w:ascii="宋体" w:hAnsi="宋体" w:eastAsia="宋体" w:cs="宋体"/>
          <w:sz w:val="24"/>
        </w:rPr>
        <w:t>上述各项合同文件包括合同当事人就该项合同文件所作出的补充和修改，属于同一类内容的文件，应以最新签署的为准。专用合同条款及其附件须经合同当事人签字或盖章。</w:t>
      </w:r>
    </w:p>
    <w:p>
      <w:pPr>
        <w:pStyle w:val="6"/>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sz w:val="24"/>
          <w:szCs w:val="24"/>
        </w:rPr>
        <w:t xml:space="preserve"> </w:t>
      </w:r>
      <w:bookmarkStart w:id="219" w:name="_Toc351203487"/>
      <w:r>
        <w:rPr>
          <w:rFonts w:hint="eastAsia" w:ascii="宋体" w:hAnsi="宋体" w:eastAsia="宋体" w:cs="宋体"/>
          <w:b w:val="0"/>
          <w:sz w:val="24"/>
          <w:szCs w:val="24"/>
        </w:rPr>
        <w:t>七、承诺</w:t>
      </w:r>
      <w:bookmarkEnd w:id="219"/>
    </w:p>
    <w:p>
      <w:pPr>
        <w:spacing w:line="440" w:lineRule="exact"/>
        <w:ind w:firstLine="480" w:firstLineChars="200"/>
        <w:rPr>
          <w:rFonts w:ascii="宋体" w:hAnsi="宋体" w:eastAsia="宋体" w:cs="宋体"/>
          <w:bCs/>
          <w:sz w:val="24"/>
        </w:rPr>
      </w:pPr>
      <w:r>
        <w:rPr>
          <w:rFonts w:hint="eastAsia" w:ascii="宋体" w:hAnsi="宋体" w:eastAsia="宋体" w:cs="宋体"/>
          <w:bCs/>
          <w:sz w:val="24"/>
        </w:rPr>
        <w:t>1.发包人承诺按照法律规定履行项目审批手续、筹集工程建设资金并按照合同约定的期限和方式支付合同价款。</w:t>
      </w:r>
    </w:p>
    <w:p>
      <w:pPr>
        <w:spacing w:line="440" w:lineRule="exact"/>
        <w:ind w:firstLine="480" w:firstLineChars="200"/>
        <w:rPr>
          <w:rFonts w:ascii="宋体" w:hAnsi="宋体" w:eastAsia="宋体" w:cs="宋体"/>
          <w:bCs/>
          <w:sz w:val="24"/>
        </w:rPr>
      </w:pPr>
      <w:r>
        <w:rPr>
          <w:rFonts w:hint="eastAsia" w:ascii="宋体" w:hAnsi="宋体" w:eastAsia="宋体" w:cs="宋体"/>
          <w:bCs/>
          <w:sz w:val="24"/>
        </w:rPr>
        <w:t>2.承包人承诺按照法律规定及合同约定组织完成工程施工，确保工程质量和安全，不进行转包及违法分包，并在缺陷责任期及保修期内承担相应的工程维修责任。</w:t>
      </w:r>
    </w:p>
    <w:p>
      <w:pPr>
        <w:spacing w:line="440" w:lineRule="exact"/>
        <w:ind w:firstLine="480" w:firstLineChars="200"/>
        <w:rPr>
          <w:rFonts w:ascii="宋体" w:hAnsi="宋体" w:eastAsia="宋体" w:cs="宋体"/>
          <w:bCs/>
          <w:sz w:val="24"/>
        </w:rPr>
      </w:pPr>
      <w:r>
        <w:rPr>
          <w:rFonts w:hint="eastAsia" w:ascii="宋体" w:hAnsi="宋体" w:eastAsia="宋体" w:cs="宋体"/>
          <w:bCs/>
          <w:sz w:val="24"/>
        </w:rPr>
        <w:t>3.发包人和承包人通过招投标形式签订合同的，双方理解并承诺不再就同一工程另行签订与合同实质性内容相背离的协议。</w:t>
      </w:r>
    </w:p>
    <w:p>
      <w:pPr>
        <w:spacing w:line="440" w:lineRule="exact"/>
        <w:rPr>
          <w:rFonts w:ascii="宋体" w:hAnsi="宋体" w:eastAsia="宋体" w:cs="宋体"/>
          <w:bCs/>
          <w:sz w:val="24"/>
        </w:rPr>
      </w:pPr>
      <w:bookmarkStart w:id="220" w:name="_Toc351203488"/>
      <w:r>
        <w:rPr>
          <w:rFonts w:hint="eastAsia" w:ascii="宋体" w:hAnsi="宋体" w:eastAsia="宋体" w:cs="宋体"/>
          <w:b/>
          <w:sz w:val="24"/>
        </w:rPr>
        <w:t xml:space="preserve">    八、词语含义</w:t>
      </w:r>
      <w:bookmarkEnd w:id="220"/>
    </w:p>
    <w:p>
      <w:pPr>
        <w:spacing w:line="440" w:lineRule="exact"/>
        <w:ind w:firstLine="480" w:firstLineChars="200"/>
        <w:rPr>
          <w:rFonts w:ascii="宋体" w:hAnsi="宋体" w:eastAsia="宋体" w:cs="宋体"/>
          <w:bCs/>
          <w:sz w:val="24"/>
        </w:rPr>
      </w:pPr>
      <w:r>
        <w:rPr>
          <w:rFonts w:hint="eastAsia" w:ascii="宋体" w:hAnsi="宋体" w:eastAsia="宋体" w:cs="宋体"/>
          <w:bCs/>
          <w:sz w:val="24"/>
        </w:rPr>
        <w:t>本协议书中词语含义与第二部分通用合同条款中赋予的含义相同。</w:t>
      </w:r>
    </w:p>
    <w:p>
      <w:pPr>
        <w:pStyle w:val="6"/>
        <w:spacing w:before="120" w:after="120" w:line="440" w:lineRule="exact"/>
        <w:rPr>
          <w:rFonts w:ascii="宋体" w:hAnsi="宋体" w:eastAsia="宋体" w:cs="宋体"/>
          <w:bCs w:val="0"/>
          <w:sz w:val="24"/>
          <w:szCs w:val="24"/>
        </w:rPr>
      </w:pPr>
      <w:r>
        <w:rPr>
          <w:rFonts w:hint="eastAsia" w:ascii="宋体" w:hAnsi="宋体" w:eastAsia="宋体" w:cs="宋体"/>
          <w:bCs w:val="0"/>
          <w:sz w:val="24"/>
          <w:szCs w:val="24"/>
        </w:rPr>
        <w:t xml:space="preserve">  </w:t>
      </w:r>
      <w:r>
        <w:rPr>
          <w:rFonts w:hint="eastAsia" w:ascii="宋体" w:hAnsi="宋体" w:eastAsia="宋体" w:cs="宋体"/>
          <w:b w:val="0"/>
          <w:sz w:val="24"/>
          <w:szCs w:val="24"/>
        </w:rPr>
        <w:t xml:space="preserve">  </w:t>
      </w:r>
      <w:bookmarkStart w:id="221" w:name="_Toc351203489"/>
      <w:r>
        <w:rPr>
          <w:rFonts w:hint="eastAsia" w:ascii="宋体" w:hAnsi="宋体" w:eastAsia="宋体" w:cs="宋体"/>
          <w:b w:val="0"/>
          <w:sz w:val="24"/>
          <w:szCs w:val="24"/>
        </w:rPr>
        <w:t>九、签订时间</w:t>
      </w:r>
      <w:bookmarkEnd w:id="221"/>
    </w:p>
    <w:p>
      <w:pPr>
        <w:spacing w:line="440" w:lineRule="exact"/>
        <w:ind w:firstLine="480" w:firstLineChars="200"/>
        <w:rPr>
          <w:rFonts w:ascii="宋体" w:hAnsi="宋体" w:eastAsia="宋体" w:cs="宋体"/>
          <w:bCs/>
          <w:sz w:val="24"/>
        </w:rPr>
      </w:pPr>
      <w:r>
        <w:rPr>
          <w:rFonts w:hint="eastAsia" w:ascii="宋体" w:hAnsi="宋体" w:eastAsia="宋体" w:cs="宋体"/>
          <w:bCs/>
          <w:sz w:val="24"/>
        </w:rPr>
        <w:t>本合同于</w:t>
      </w:r>
      <w:r>
        <w:rPr>
          <w:rFonts w:hint="eastAsia" w:ascii="宋体" w:hAnsi="宋体" w:eastAsia="宋体" w:cs="宋体"/>
          <w:bCs/>
          <w:sz w:val="24"/>
          <w:u w:val="single"/>
        </w:rPr>
        <w:t xml:space="preserve">         </w:t>
      </w:r>
      <w:r>
        <w:rPr>
          <w:rFonts w:hint="eastAsia" w:ascii="宋体" w:hAnsi="宋体" w:eastAsia="宋体" w:cs="宋体"/>
          <w:bCs/>
          <w:sz w:val="24"/>
        </w:rPr>
        <w:t>年</w:t>
      </w:r>
      <w:r>
        <w:rPr>
          <w:rFonts w:hint="eastAsia" w:ascii="宋体" w:hAnsi="宋体" w:eastAsia="宋体" w:cs="宋体"/>
          <w:bCs/>
          <w:sz w:val="24"/>
          <w:u w:val="single"/>
        </w:rPr>
        <w:t xml:space="preserve">    </w:t>
      </w:r>
      <w:r>
        <w:rPr>
          <w:rFonts w:hint="eastAsia" w:ascii="宋体" w:hAnsi="宋体" w:eastAsia="宋体" w:cs="宋体"/>
          <w:bCs/>
          <w:sz w:val="24"/>
        </w:rPr>
        <w:t>月</w:t>
      </w:r>
      <w:r>
        <w:rPr>
          <w:rFonts w:hint="eastAsia" w:ascii="宋体" w:hAnsi="宋体" w:eastAsia="宋体" w:cs="宋体"/>
          <w:bCs/>
          <w:sz w:val="24"/>
          <w:u w:val="single"/>
        </w:rPr>
        <w:t xml:space="preserve">    </w:t>
      </w:r>
      <w:r>
        <w:rPr>
          <w:rFonts w:hint="eastAsia" w:ascii="宋体" w:hAnsi="宋体" w:eastAsia="宋体" w:cs="宋体"/>
          <w:bCs/>
          <w:sz w:val="24"/>
        </w:rPr>
        <w:t>日签订。</w:t>
      </w:r>
    </w:p>
    <w:p>
      <w:pPr>
        <w:pStyle w:val="6"/>
        <w:spacing w:before="120" w:after="120" w:line="440" w:lineRule="exact"/>
        <w:rPr>
          <w:rFonts w:ascii="宋体" w:hAnsi="宋体" w:eastAsia="宋体" w:cs="宋体"/>
          <w:bCs w:val="0"/>
          <w:sz w:val="24"/>
          <w:szCs w:val="24"/>
        </w:rPr>
      </w:pPr>
      <w:r>
        <w:rPr>
          <w:rFonts w:hint="eastAsia" w:ascii="宋体" w:hAnsi="宋体" w:eastAsia="宋体" w:cs="宋体"/>
          <w:bCs w:val="0"/>
          <w:sz w:val="24"/>
          <w:szCs w:val="24"/>
        </w:rPr>
        <w:t xml:space="preserve">    </w:t>
      </w:r>
      <w:bookmarkStart w:id="222" w:name="_Toc351203490"/>
      <w:r>
        <w:rPr>
          <w:rFonts w:hint="eastAsia" w:ascii="宋体" w:hAnsi="宋体" w:eastAsia="宋体" w:cs="宋体"/>
          <w:b w:val="0"/>
          <w:sz w:val="24"/>
          <w:szCs w:val="24"/>
        </w:rPr>
        <w:t>十、签订地点</w:t>
      </w:r>
      <w:bookmarkEnd w:id="222"/>
    </w:p>
    <w:p>
      <w:pPr>
        <w:spacing w:line="440" w:lineRule="exact"/>
        <w:ind w:firstLine="480" w:firstLineChars="200"/>
        <w:rPr>
          <w:rFonts w:ascii="宋体" w:hAnsi="宋体" w:eastAsia="宋体" w:cs="宋体"/>
          <w:bCs/>
          <w:sz w:val="24"/>
        </w:rPr>
      </w:pPr>
      <w:r>
        <w:rPr>
          <w:rFonts w:hint="eastAsia" w:ascii="宋体" w:hAnsi="宋体" w:eastAsia="宋体" w:cs="宋体"/>
          <w:bCs/>
          <w:sz w:val="24"/>
        </w:rPr>
        <w:t>本合同在</w:t>
      </w:r>
      <w:r>
        <w:rPr>
          <w:rFonts w:hint="eastAsia" w:ascii="宋体" w:hAnsi="宋体" w:eastAsia="宋体" w:cs="宋体"/>
          <w:bCs/>
          <w:sz w:val="24"/>
          <w:u w:val="single"/>
        </w:rPr>
        <w:t xml:space="preserve">   杭州   </w:t>
      </w:r>
      <w:r>
        <w:rPr>
          <w:rFonts w:hint="eastAsia" w:ascii="宋体" w:hAnsi="宋体" w:eastAsia="宋体" w:cs="宋体"/>
          <w:bCs/>
          <w:sz w:val="24"/>
        </w:rPr>
        <w:t>签订。</w:t>
      </w:r>
    </w:p>
    <w:p>
      <w:pPr>
        <w:pStyle w:val="6"/>
        <w:spacing w:before="120" w:after="120" w:line="440" w:lineRule="exact"/>
        <w:rPr>
          <w:rFonts w:ascii="宋体" w:hAnsi="宋体" w:eastAsia="宋体" w:cs="宋体"/>
          <w:bCs w:val="0"/>
          <w:sz w:val="24"/>
          <w:szCs w:val="24"/>
        </w:rPr>
      </w:pPr>
      <w:r>
        <w:rPr>
          <w:rFonts w:hint="eastAsia" w:ascii="宋体" w:hAnsi="宋体" w:eastAsia="宋体" w:cs="宋体"/>
          <w:bCs w:val="0"/>
          <w:sz w:val="24"/>
          <w:szCs w:val="24"/>
        </w:rPr>
        <w:t xml:space="preserve">    </w:t>
      </w:r>
      <w:bookmarkStart w:id="223" w:name="_Toc351203491"/>
      <w:r>
        <w:rPr>
          <w:rFonts w:hint="eastAsia" w:ascii="宋体" w:hAnsi="宋体" w:eastAsia="宋体" w:cs="宋体"/>
          <w:b w:val="0"/>
          <w:sz w:val="24"/>
          <w:szCs w:val="24"/>
        </w:rPr>
        <w:t>十一、补充协议</w:t>
      </w:r>
      <w:bookmarkEnd w:id="223"/>
    </w:p>
    <w:p>
      <w:pPr>
        <w:spacing w:line="440" w:lineRule="exact"/>
        <w:ind w:firstLine="480" w:firstLineChars="200"/>
        <w:rPr>
          <w:rFonts w:ascii="宋体" w:hAnsi="宋体" w:eastAsia="宋体" w:cs="宋体"/>
          <w:b/>
          <w:bCs/>
          <w:sz w:val="24"/>
        </w:rPr>
      </w:pPr>
      <w:r>
        <w:rPr>
          <w:rFonts w:hint="eastAsia" w:ascii="宋体" w:hAnsi="宋体" w:eastAsia="宋体" w:cs="宋体"/>
          <w:bCs/>
          <w:sz w:val="24"/>
        </w:rPr>
        <w:t>合同未尽事宜，合同当事人另行签订补充协议，补充协议是合同的组成部分。</w:t>
      </w:r>
    </w:p>
    <w:p>
      <w:pPr>
        <w:pStyle w:val="6"/>
        <w:spacing w:before="120" w:after="120" w:line="440" w:lineRule="exact"/>
        <w:rPr>
          <w:rFonts w:ascii="宋体" w:hAnsi="宋体" w:eastAsia="宋体" w:cs="宋体"/>
          <w:bCs w:val="0"/>
          <w:sz w:val="24"/>
          <w:szCs w:val="24"/>
        </w:rPr>
      </w:pPr>
      <w:r>
        <w:rPr>
          <w:rFonts w:hint="eastAsia" w:ascii="宋体" w:hAnsi="宋体" w:eastAsia="宋体" w:cs="宋体"/>
          <w:bCs w:val="0"/>
          <w:sz w:val="24"/>
          <w:szCs w:val="24"/>
        </w:rPr>
        <w:t xml:space="preserve">    </w:t>
      </w:r>
      <w:bookmarkStart w:id="224" w:name="_Toc351203492"/>
      <w:r>
        <w:rPr>
          <w:rFonts w:hint="eastAsia" w:ascii="宋体" w:hAnsi="宋体" w:eastAsia="宋体" w:cs="宋体"/>
          <w:b w:val="0"/>
          <w:sz w:val="24"/>
          <w:szCs w:val="24"/>
        </w:rPr>
        <w:t>十二、合同生效</w:t>
      </w:r>
      <w:bookmarkEnd w:id="224"/>
    </w:p>
    <w:p>
      <w:pPr>
        <w:spacing w:line="440" w:lineRule="exact"/>
        <w:ind w:firstLine="480" w:firstLineChars="200"/>
        <w:rPr>
          <w:rFonts w:ascii="宋体" w:hAnsi="宋体" w:eastAsia="宋体" w:cs="宋体"/>
          <w:bCs/>
          <w:sz w:val="24"/>
        </w:rPr>
      </w:pPr>
      <w:r>
        <w:rPr>
          <w:rFonts w:hint="eastAsia" w:ascii="宋体" w:hAnsi="宋体" w:eastAsia="宋体" w:cs="宋体"/>
          <w:bCs/>
          <w:sz w:val="24"/>
        </w:rPr>
        <w:t>本合同自</w:t>
      </w:r>
      <w:r>
        <w:rPr>
          <w:rFonts w:hint="eastAsia" w:ascii="宋体" w:hAnsi="宋体" w:eastAsia="宋体" w:cs="宋体"/>
          <w:bCs/>
          <w:sz w:val="24"/>
          <w:u w:val="single"/>
        </w:rPr>
        <w:t xml:space="preserve">  双方签字、盖章  </w:t>
      </w:r>
      <w:r>
        <w:rPr>
          <w:rFonts w:hint="eastAsia" w:ascii="宋体" w:hAnsi="宋体" w:eastAsia="宋体" w:cs="宋体"/>
          <w:bCs/>
          <w:sz w:val="24"/>
        </w:rPr>
        <w:t>生效。</w:t>
      </w:r>
    </w:p>
    <w:p>
      <w:pPr>
        <w:pStyle w:val="6"/>
        <w:spacing w:before="120" w:after="120" w:line="440" w:lineRule="exact"/>
        <w:rPr>
          <w:rFonts w:ascii="宋体" w:hAnsi="宋体" w:eastAsia="宋体" w:cs="宋体"/>
          <w:bCs w:val="0"/>
          <w:sz w:val="24"/>
          <w:szCs w:val="24"/>
        </w:rPr>
      </w:pPr>
      <w:r>
        <w:rPr>
          <w:rFonts w:hint="eastAsia" w:ascii="宋体" w:hAnsi="宋体" w:eastAsia="宋体" w:cs="宋体"/>
          <w:bCs w:val="0"/>
          <w:sz w:val="24"/>
          <w:szCs w:val="24"/>
        </w:rPr>
        <w:t xml:space="preserve">    </w:t>
      </w:r>
      <w:bookmarkStart w:id="225" w:name="_Toc351203493"/>
      <w:r>
        <w:rPr>
          <w:rFonts w:hint="eastAsia" w:ascii="宋体" w:hAnsi="宋体" w:eastAsia="宋体" w:cs="宋体"/>
          <w:b w:val="0"/>
          <w:sz w:val="24"/>
          <w:szCs w:val="24"/>
        </w:rPr>
        <w:t>十三、合同份数</w:t>
      </w:r>
      <w:bookmarkEnd w:id="225"/>
    </w:p>
    <w:p>
      <w:pPr>
        <w:spacing w:line="440" w:lineRule="exact"/>
        <w:ind w:firstLine="480" w:firstLineChars="200"/>
        <w:rPr>
          <w:rFonts w:ascii="宋体" w:hAnsi="宋体" w:eastAsia="宋体" w:cs="宋体"/>
          <w:bCs/>
          <w:sz w:val="24"/>
        </w:rPr>
      </w:pPr>
      <w:r>
        <w:rPr>
          <w:rFonts w:hint="eastAsia" w:ascii="宋体" w:hAnsi="宋体" w:eastAsia="宋体" w:cs="宋体"/>
          <w:bCs/>
          <w:sz w:val="24"/>
        </w:rPr>
        <w:t>本合同一式</w:t>
      </w:r>
      <w:r>
        <w:rPr>
          <w:rFonts w:hint="eastAsia" w:ascii="宋体" w:hAnsi="宋体" w:eastAsia="宋体" w:cs="宋体"/>
          <w:bCs/>
          <w:sz w:val="24"/>
          <w:u w:val="single"/>
        </w:rPr>
        <w:t xml:space="preserve"> 捌 </w:t>
      </w:r>
      <w:r>
        <w:rPr>
          <w:rFonts w:hint="eastAsia" w:ascii="宋体" w:hAnsi="宋体" w:eastAsia="宋体" w:cs="宋体"/>
          <w:bCs/>
          <w:sz w:val="24"/>
        </w:rPr>
        <w:t>份，均具有同等法律效力，发包人执</w:t>
      </w:r>
      <w:r>
        <w:rPr>
          <w:rFonts w:hint="eastAsia" w:ascii="宋体" w:hAnsi="宋体" w:eastAsia="宋体" w:cs="宋体"/>
          <w:bCs/>
          <w:sz w:val="24"/>
          <w:u w:val="single"/>
        </w:rPr>
        <w:t xml:space="preserve"> 肆 </w:t>
      </w:r>
      <w:r>
        <w:rPr>
          <w:rFonts w:hint="eastAsia" w:ascii="宋体" w:hAnsi="宋体" w:eastAsia="宋体" w:cs="宋体"/>
          <w:bCs/>
          <w:sz w:val="24"/>
        </w:rPr>
        <w:t>份，承包人执</w:t>
      </w:r>
      <w:r>
        <w:rPr>
          <w:rFonts w:hint="eastAsia" w:ascii="宋体" w:hAnsi="宋体" w:eastAsia="宋体" w:cs="宋体"/>
          <w:bCs/>
          <w:sz w:val="24"/>
          <w:u w:val="single"/>
        </w:rPr>
        <w:t xml:space="preserve"> 肆 </w:t>
      </w:r>
      <w:r>
        <w:rPr>
          <w:rFonts w:hint="eastAsia" w:ascii="宋体" w:hAnsi="宋体" w:eastAsia="宋体" w:cs="宋体"/>
          <w:bCs/>
          <w:sz w:val="24"/>
        </w:rPr>
        <w:t>份。</w:t>
      </w:r>
    </w:p>
    <w:p>
      <w:pPr>
        <w:spacing w:line="440" w:lineRule="exact"/>
        <w:rPr>
          <w:rFonts w:ascii="宋体" w:hAnsi="宋体" w:eastAsia="宋体" w:cs="宋体"/>
          <w:sz w:val="24"/>
        </w:rPr>
      </w:pPr>
    </w:p>
    <w:p>
      <w:pPr>
        <w:spacing w:line="440" w:lineRule="exact"/>
        <w:rPr>
          <w:rFonts w:ascii="宋体" w:hAnsi="宋体" w:eastAsia="宋体" w:cs="宋体"/>
          <w:sz w:val="24"/>
        </w:rPr>
      </w:pPr>
      <w:r>
        <w:rPr>
          <w:rFonts w:hint="eastAsia" w:ascii="宋体" w:hAnsi="宋体" w:eastAsia="宋体" w:cs="宋体"/>
          <w:sz w:val="24"/>
        </w:rPr>
        <w:t>发包人：  (公章)                    承包人：  (公章)</w:t>
      </w:r>
    </w:p>
    <w:p>
      <w:pPr>
        <w:spacing w:line="440" w:lineRule="exact"/>
        <w:rPr>
          <w:rFonts w:ascii="宋体" w:hAnsi="宋体" w:eastAsia="宋体" w:cs="宋体"/>
          <w:sz w:val="24"/>
        </w:rPr>
      </w:pPr>
      <w:r>
        <w:rPr>
          <w:rFonts w:hint="eastAsia" w:ascii="宋体" w:hAnsi="宋体" w:eastAsia="宋体" w:cs="宋体"/>
          <w:sz w:val="24"/>
        </w:rPr>
        <w:t>法定代表人或其委托代理人：          法定代表人或其委托代理人：</w:t>
      </w:r>
    </w:p>
    <w:p>
      <w:pPr>
        <w:spacing w:line="440" w:lineRule="exact"/>
        <w:rPr>
          <w:rFonts w:ascii="宋体" w:hAnsi="宋体" w:eastAsia="宋体" w:cs="宋体"/>
          <w:sz w:val="24"/>
        </w:rPr>
      </w:pPr>
      <w:r>
        <w:rPr>
          <w:rFonts w:hint="eastAsia" w:ascii="宋体" w:hAnsi="宋体" w:eastAsia="宋体" w:cs="宋体"/>
          <w:sz w:val="24"/>
        </w:rPr>
        <w:t>（签字）                           （签字）</w:t>
      </w:r>
    </w:p>
    <w:p>
      <w:pPr>
        <w:tabs>
          <w:tab w:val="left" w:pos="4410"/>
        </w:tabs>
        <w:spacing w:line="440" w:lineRule="exact"/>
        <w:rPr>
          <w:rFonts w:ascii="宋体" w:hAnsi="宋体" w:eastAsia="宋体" w:cs="宋体"/>
          <w:sz w:val="24"/>
        </w:rPr>
      </w:pPr>
      <w:r>
        <w:rPr>
          <w:rFonts w:hint="eastAsia" w:ascii="宋体" w:hAnsi="宋体" w:eastAsia="宋体" w:cs="宋体"/>
          <w:sz w:val="24"/>
        </w:rPr>
        <w:t>统一社会信用代码：</w:t>
      </w:r>
      <w:r>
        <w:rPr>
          <w:rFonts w:hint="eastAsia" w:ascii="宋体" w:hAnsi="宋体" w:eastAsia="宋体" w:cs="宋体"/>
          <w:sz w:val="24"/>
          <w:u w:val="single"/>
        </w:rPr>
        <w:t xml:space="preserve">             </w:t>
      </w:r>
      <w:r>
        <w:rPr>
          <w:rFonts w:hint="eastAsia" w:ascii="宋体" w:hAnsi="宋体" w:eastAsia="宋体" w:cs="宋体"/>
          <w:sz w:val="24"/>
        </w:rPr>
        <w:t xml:space="preserve">     统一社会信用代码：</w:t>
      </w:r>
      <w:r>
        <w:rPr>
          <w:rFonts w:hint="eastAsia" w:ascii="宋体" w:hAnsi="宋体" w:eastAsia="宋体" w:cs="宋体"/>
          <w:sz w:val="24"/>
          <w:u w:val="single"/>
        </w:rPr>
        <w:t xml:space="preserve">      </w:t>
      </w:r>
    </w:p>
    <w:p>
      <w:pPr>
        <w:spacing w:line="440" w:lineRule="exact"/>
        <w:rPr>
          <w:rFonts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西湖区余杭塘路866号</w:t>
      </w:r>
      <w:r>
        <w:rPr>
          <w:rFonts w:hint="eastAsia" w:ascii="宋体" w:hAnsi="宋体" w:eastAsia="宋体" w:cs="宋体"/>
          <w:sz w:val="24"/>
        </w:rPr>
        <w:t xml:space="preserve">        地  址：</w:t>
      </w:r>
      <w:r>
        <w:rPr>
          <w:rFonts w:hint="eastAsia" w:ascii="宋体" w:hAnsi="宋体" w:eastAsia="宋体" w:cs="宋体"/>
          <w:sz w:val="24"/>
          <w:u w:val="single"/>
        </w:rPr>
        <w:t xml:space="preserve">        </w:t>
      </w:r>
    </w:p>
    <w:p>
      <w:pPr>
        <w:spacing w:line="440" w:lineRule="exact"/>
        <w:rPr>
          <w:rFonts w:ascii="宋体" w:hAnsi="宋体" w:eastAsia="宋体" w:cs="宋体"/>
          <w:sz w:val="24"/>
        </w:rPr>
      </w:pPr>
      <w:r>
        <w:rPr>
          <w:rFonts w:hint="eastAsia" w:ascii="宋体" w:hAnsi="宋体" w:eastAsia="宋体" w:cs="宋体"/>
          <w:sz w:val="24"/>
        </w:rPr>
        <w:t>邮政编码：</w:t>
      </w:r>
      <w:r>
        <w:rPr>
          <w:rFonts w:hint="eastAsia" w:ascii="宋体" w:hAnsi="宋体" w:eastAsia="宋体" w:cs="宋体"/>
          <w:sz w:val="24"/>
          <w:u w:val="single"/>
        </w:rPr>
        <w:t xml:space="preserve"> 310058        </w:t>
      </w:r>
      <w:r>
        <w:rPr>
          <w:rFonts w:hint="eastAsia" w:ascii="宋体" w:hAnsi="宋体" w:eastAsia="宋体" w:cs="宋体"/>
          <w:sz w:val="24"/>
        </w:rPr>
        <w:t xml:space="preserve"> 邮政编码：</w:t>
      </w:r>
      <w:r>
        <w:rPr>
          <w:rFonts w:hint="eastAsia" w:ascii="宋体" w:hAnsi="宋体" w:eastAsia="宋体" w:cs="宋体"/>
          <w:sz w:val="24"/>
          <w:u w:val="single"/>
        </w:rPr>
        <w:t xml:space="preserve">   </w:t>
      </w:r>
    </w:p>
    <w:p>
      <w:pPr>
        <w:spacing w:line="440" w:lineRule="exact"/>
        <w:rPr>
          <w:rFonts w:ascii="宋体" w:hAnsi="宋体" w:eastAsia="宋体" w:cs="宋体"/>
          <w:sz w:val="24"/>
        </w:rPr>
      </w:pPr>
      <w:r>
        <w:rPr>
          <w:rFonts w:hint="eastAsia" w:ascii="宋体" w:hAnsi="宋体" w:eastAsia="宋体" w:cs="宋体"/>
          <w:sz w:val="24"/>
        </w:rPr>
        <w:t>法定代表人：</w:t>
      </w:r>
      <w:r>
        <w:rPr>
          <w:rFonts w:hint="eastAsia" w:ascii="宋体" w:hAnsi="宋体" w:eastAsia="宋体" w:cs="宋体"/>
          <w:sz w:val="24"/>
          <w:u w:val="single"/>
        </w:rPr>
        <w:t xml:space="preserve">           </w:t>
      </w:r>
      <w:r>
        <w:rPr>
          <w:rFonts w:hint="eastAsia" w:ascii="宋体" w:hAnsi="宋体" w:eastAsia="宋体" w:cs="宋体"/>
          <w:sz w:val="24"/>
        </w:rPr>
        <w:t xml:space="preserve">         法定代表人：</w:t>
      </w:r>
      <w:r>
        <w:rPr>
          <w:rFonts w:hint="eastAsia" w:ascii="宋体" w:hAnsi="宋体" w:eastAsia="宋体" w:cs="宋体"/>
          <w:sz w:val="24"/>
          <w:u w:val="single"/>
        </w:rPr>
        <w:t xml:space="preserve">             </w:t>
      </w:r>
    </w:p>
    <w:p>
      <w:pPr>
        <w:spacing w:line="440" w:lineRule="exact"/>
        <w:rPr>
          <w:rFonts w:ascii="宋体" w:hAnsi="宋体" w:eastAsia="宋体" w:cs="宋体"/>
          <w:sz w:val="24"/>
        </w:rPr>
      </w:pPr>
      <w:r>
        <w:rPr>
          <w:rFonts w:hint="eastAsia" w:ascii="宋体" w:hAnsi="宋体" w:eastAsia="宋体" w:cs="宋体"/>
          <w:sz w:val="24"/>
        </w:rPr>
        <w:t>委托代理人：</w:t>
      </w:r>
      <w:r>
        <w:rPr>
          <w:rFonts w:hint="eastAsia" w:ascii="宋体" w:hAnsi="宋体" w:eastAsia="宋体" w:cs="宋体"/>
          <w:sz w:val="24"/>
          <w:u w:val="single"/>
        </w:rPr>
        <w:t xml:space="preserve">           </w:t>
      </w:r>
      <w:r>
        <w:rPr>
          <w:rFonts w:hint="eastAsia" w:ascii="宋体" w:hAnsi="宋体" w:eastAsia="宋体" w:cs="宋体"/>
          <w:sz w:val="24"/>
        </w:rPr>
        <w:t xml:space="preserve">         委托代理人：</w:t>
      </w:r>
      <w:r>
        <w:rPr>
          <w:rFonts w:hint="eastAsia" w:ascii="宋体" w:hAnsi="宋体" w:eastAsia="宋体" w:cs="宋体"/>
          <w:sz w:val="24"/>
          <w:u w:val="single"/>
        </w:rPr>
        <w:t xml:space="preserve">             </w:t>
      </w:r>
    </w:p>
    <w:p>
      <w:pPr>
        <w:spacing w:line="440" w:lineRule="exact"/>
        <w:rPr>
          <w:rFonts w:ascii="宋体" w:hAnsi="宋体" w:eastAsia="宋体" w:cs="宋体"/>
          <w:sz w:val="24"/>
        </w:rPr>
      </w:pPr>
      <w:r>
        <w:rPr>
          <w:rFonts w:hint="eastAsia" w:ascii="宋体" w:hAnsi="宋体" w:eastAsia="宋体" w:cs="宋体"/>
          <w:sz w:val="24"/>
        </w:rPr>
        <w:t>电  话：</w:t>
      </w:r>
      <w:r>
        <w:rPr>
          <w:rFonts w:hint="eastAsia" w:ascii="宋体" w:hAnsi="宋体" w:eastAsia="宋体" w:cs="宋体"/>
          <w:sz w:val="24"/>
          <w:u w:val="single"/>
        </w:rPr>
        <w:t></w:t>
      </w:r>
      <w:r>
        <w:rPr>
          <w:rFonts w:hint="eastAsia" w:ascii="宋体" w:hAnsi="宋体" w:eastAsia="宋体" w:cs="宋体"/>
          <w:sz w:val="24"/>
        </w:rPr>
        <w:t xml:space="preserve">                电  话：</w:t>
      </w:r>
      <w:r>
        <w:rPr>
          <w:rFonts w:hint="eastAsia" w:ascii="宋体" w:hAnsi="宋体" w:eastAsia="宋体" w:cs="宋体"/>
          <w:sz w:val="24"/>
          <w:u w:val="single"/>
        </w:rPr>
        <w:t xml:space="preserve">     </w:t>
      </w:r>
    </w:p>
    <w:p>
      <w:pPr>
        <w:spacing w:line="440" w:lineRule="exact"/>
        <w:rPr>
          <w:rFonts w:ascii="宋体" w:hAnsi="宋体" w:eastAsia="宋体" w:cs="宋体"/>
          <w:sz w:val="24"/>
        </w:rPr>
      </w:pPr>
      <w:r>
        <w:rPr>
          <w:rFonts w:hint="eastAsia" w:ascii="宋体" w:hAnsi="宋体" w:eastAsia="宋体" w:cs="宋体"/>
          <w:sz w:val="24"/>
        </w:rPr>
        <w:t>传  真：</w:t>
      </w:r>
      <w:r>
        <w:rPr>
          <w:rFonts w:hint="eastAsia" w:ascii="宋体" w:hAnsi="宋体" w:eastAsia="宋体" w:cs="宋体"/>
          <w:sz w:val="24"/>
          <w:u w:val="single"/>
        </w:rPr>
        <w:t></w:t>
      </w:r>
      <w:r>
        <w:rPr>
          <w:rFonts w:hint="eastAsia" w:ascii="宋体" w:hAnsi="宋体" w:eastAsia="宋体" w:cs="宋体"/>
          <w:sz w:val="24"/>
        </w:rPr>
        <w:t>              传  真：</w:t>
      </w:r>
      <w:r>
        <w:rPr>
          <w:rFonts w:hint="eastAsia" w:ascii="宋体" w:hAnsi="宋体" w:eastAsia="宋体" w:cs="宋体"/>
          <w:sz w:val="24"/>
          <w:u w:val="single"/>
        </w:rPr>
        <w:t xml:space="preserve">     </w:t>
      </w:r>
    </w:p>
    <w:p>
      <w:pPr>
        <w:spacing w:line="440" w:lineRule="exact"/>
        <w:rPr>
          <w:rFonts w:ascii="宋体" w:hAnsi="宋体" w:eastAsia="宋体" w:cs="宋体"/>
          <w:sz w:val="24"/>
          <w:u w:val="single"/>
        </w:rPr>
      </w:pPr>
      <w:r>
        <w:rPr>
          <w:rFonts w:hint="eastAsia" w:ascii="宋体" w:hAnsi="宋体" w:eastAsia="宋体" w:cs="宋体"/>
          <w:sz w:val="24"/>
        </w:rPr>
        <w:t>电子信箱：</w:t>
      </w:r>
      <w:r>
        <w:rPr>
          <w:rFonts w:hint="eastAsia" w:ascii="宋体" w:hAnsi="宋体" w:eastAsia="宋体" w:cs="宋体"/>
          <w:sz w:val="24"/>
          <w:u w:val="single"/>
        </w:rPr>
        <w:t xml:space="preserve">                 </w:t>
      </w:r>
      <w:r>
        <w:rPr>
          <w:rFonts w:hint="eastAsia" w:ascii="宋体" w:hAnsi="宋体" w:eastAsia="宋体" w:cs="宋体"/>
          <w:sz w:val="24"/>
        </w:rPr>
        <w:t xml:space="preserve">         电子信箱：</w:t>
      </w:r>
      <w:r>
        <w:rPr>
          <w:rFonts w:hint="eastAsia" w:ascii="宋体" w:hAnsi="宋体" w:eastAsia="宋体" w:cs="宋体"/>
          <w:sz w:val="24"/>
          <w:u w:val="single"/>
        </w:rPr>
        <w:t xml:space="preserve">   </w:t>
      </w:r>
    </w:p>
    <w:p>
      <w:pPr>
        <w:spacing w:line="440" w:lineRule="exact"/>
        <w:rPr>
          <w:rFonts w:ascii="宋体" w:hAnsi="宋体" w:eastAsia="宋体" w:cs="宋体"/>
          <w:sz w:val="24"/>
          <w:u w:val="single"/>
        </w:rPr>
      </w:pPr>
      <w:r>
        <w:rPr>
          <w:rFonts w:hint="eastAsia" w:ascii="宋体" w:hAnsi="宋体" w:eastAsia="宋体" w:cs="宋体"/>
          <w:sz w:val="24"/>
        </w:rPr>
        <w:t>发票抬头：</w:t>
      </w:r>
      <w:r>
        <w:rPr>
          <w:rFonts w:hint="eastAsia" w:ascii="宋体" w:hAnsi="宋体" w:eastAsia="宋体" w:cs="宋体"/>
          <w:sz w:val="24"/>
          <w:u w:val="single"/>
        </w:rPr>
        <w:t xml:space="preserve">    浙江大学     </w:t>
      </w:r>
      <w:r>
        <w:rPr>
          <w:rFonts w:hint="eastAsia" w:ascii="宋体" w:hAnsi="宋体" w:eastAsia="宋体" w:cs="宋体"/>
          <w:sz w:val="24"/>
        </w:rPr>
        <w:t xml:space="preserve">         发票抬头：</w:t>
      </w:r>
      <w:r>
        <w:rPr>
          <w:rFonts w:hint="eastAsia" w:ascii="宋体" w:hAnsi="宋体" w:eastAsia="宋体" w:cs="宋体"/>
          <w:sz w:val="24"/>
          <w:u w:val="single"/>
        </w:rPr>
        <w:t xml:space="preserve">                   </w:t>
      </w:r>
    </w:p>
    <w:p>
      <w:pPr>
        <w:spacing w:line="440" w:lineRule="exact"/>
        <w:rPr>
          <w:rFonts w:ascii="宋体" w:hAnsi="宋体" w:eastAsia="宋体" w:cs="宋体"/>
          <w:sz w:val="24"/>
        </w:rPr>
      </w:pPr>
      <w:r>
        <w:rPr>
          <w:rFonts w:hint="eastAsia" w:ascii="宋体" w:hAnsi="宋体" w:eastAsia="宋体" w:cs="宋体"/>
          <w:sz w:val="24"/>
        </w:rPr>
        <w:t>开户银行：</w:t>
      </w:r>
      <w:r>
        <w:rPr>
          <w:rFonts w:hint="eastAsia" w:ascii="宋体" w:hAnsi="宋体" w:eastAsia="宋体" w:cs="宋体"/>
          <w:bCs/>
          <w:kern w:val="0"/>
          <w:sz w:val="24"/>
          <w:u w:val="single"/>
        </w:rPr>
        <w:t xml:space="preserve">                         </w:t>
      </w:r>
      <w:r>
        <w:rPr>
          <w:rFonts w:hint="eastAsia" w:ascii="宋体" w:hAnsi="宋体" w:eastAsia="宋体" w:cs="宋体"/>
          <w:sz w:val="24"/>
        </w:rPr>
        <w:t xml:space="preserve"> 开户银行：</w:t>
      </w:r>
      <w:r>
        <w:rPr>
          <w:rFonts w:hint="eastAsia" w:ascii="宋体" w:hAnsi="宋体" w:eastAsia="宋体" w:cs="宋体"/>
          <w:sz w:val="24"/>
          <w:u w:val="single"/>
        </w:rPr>
        <w:t xml:space="preserve">   </w:t>
      </w:r>
    </w:p>
    <w:p>
      <w:pPr>
        <w:spacing w:line="440" w:lineRule="exact"/>
        <w:rPr>
          <w:rFonts w:ascii="宋体" w:hAnsi="宋体" w:eastAsia="宋体" w:cs="宋体"/>
          <w:sz w:val="24"/>
        </w:rPr>
      </w:pPr>
      <w:r>
        <w:rPr>
          <w:rFonts w:hint="eastAsia" w:ascii="宋体" w:hAnsi="宋体" w:eastAsia="宋体" w:cs="宋体"/>
          <w:sz w:val="24"/>
        </w:rPr>
        <w:t>账  号：</w:t>
      </w:r>
      <w:r>
        <w:rPr>
          <w:rFonts w:hint="eastAsia" w:ascii="宋体" w:hAnsi="宋体" w:eastAsia="宋体" w:cs="宋体"/>
          <w:sz w:val="24"/>
          <w:u w:val="single"/>
        </w:rPr>
        <w:t xml:space="preserve">                    </w:t>
      </w:r>
      <w:r>
        <w:rPr>
          <w:rFonts w:hint="eastAsia" w:ascii="宋体" w:hAnsi="宋体" w:eastAsia="宋体" w:cs="宋体"/>
          <w:sz w:val="24"/>
        </w:rPr>
        <w:t xml:space="preserve">        账  号：</w:t>
      </w:r>
      <w:r>
        <w:rPr>
          <w:rFonts w:hint="eastAsia" w:ascii="宋体" w:hAnsi="宋体" w:eastAsia="宋体" w:cs="宋体"/>
          <w:sz w:val="24"/>
          <w:u w:val="single"/>
        </w:rPr>
        <w:t xml:space="preserve">     </w:t>
      </w:r>
    </w:p>
    <w:p>
      <w:pPr>
        <w:pStyle w:val="3"/>
      </w:pPr>
      <w:r>
        <w:rPr>
          <w:rFonts w:hint="eastAsia" w:cs="宋体"/>
          <w:szCs w:val="24"/>
        </w:rPr>
        <w:br w:type="page"/>
      </w:r>
      <w:bookmarkStart w:id="226" w:name="_Toc351203494"/>
      <w:r>
        <w:rPr>
          <w:rFonts w:hint="eastAsia"/>
        </w:rPr>
        <w:t>第二部分 通用合同条款</w:t>
      </w:r>
      <w:bookmarkEnd w:id="226"/>
      <w:bookmarkStart w:id="227" w:name="_Toc337558727"/>
      <w:r>
        <w:rPr>
          <w:rFonts w:hint="eastAsia"/>
        </w:rPr>
        <w:t>（略）</w:t>
      </w:r>
    </w:p>
    <w:bookmarkEnd w:id="227"/>
    <w:p>
      <w:pPr>
        <w:pStyle w:val="3"/>
      </w:pPr>
      <w:bookmarkStart w:id="228" w:name="_Toc351203632"/>
      <w:r>
        <w:rPr>
          <w:rFonts w:hint="eastAsia"/>
        </w:rPr>
        <w:t>第三部分 专用合同条款</w:t>
      </w:r>
      <w:bookmarkEnd w:id="228"/>
    </w:p>
    <w:p>
      <w:pPr>
        <w:pStyle w:val="6"/>
        <w:spacing w:before="120" w:after="120" w:line="460" w:lineRule="exact"/>
        <w:rPr>
          <w:rFonts w:ascii="宋体" w:hAnsi="宋体" w:eastAsia="宋体" w:cs="宋体"/>
          <w:b w:val="0"/>
          <w:sz w:val="24"/>
          <w:szCs w:val="32"/>
        </w:rPr>
      </w:pPr>
      <w:bookmarkStart w:id="229" w:name="_Toc351203633"/>
      <w:r>
        <w:rPr>
          <w:rFonts w:hint="eastAsia" w:ascii="宋体" w:hAnsi="宋体" w:eastAsia="宋体" w:cs="宋体"/>
          <w:b w:val="0"/>
          <w:sz w:val="24"/>
          <w:szCs w:val="32"/>
        </w:rPr>
        <w:t>1</w:t>
      </w:r>
      <w:bookmarkStart w:id="230" w:name="_Toc297048342"/>
      <w:bookmarkStart w:id="231" w:name="_Toc296346657"/>
      <w:bookmarkStart w:id="232" w:name="_Toc292559866"/>
      <w:bookmarkStart w:id="233" w:name="_Toc296347155"/>
      <w:bookmarkStart w:id="234" w:name="_Toc297120456"/>
      <w:bookmarkStart w:id="235" w:name="_Toc296891196"/>
      <w:bookmarkStart w:id="236" w:name="_Toc296890984"/>
      <w:bookmarkStart w:id="237" w:name="_Toc296503156"/>
      <w:bookmarkStart w:id="238" w:name="_Toc296944495"/>
      <w:bookmarkStart w:id="239" w:name="_Toc292559361"/>
      <w:r>
        <w:rPr>
          <w:rFonts w:hint="eastAsia" w:ascii="宋体" w:hAnsi="宋体" w:eastAsia="宋体" w:cs="宋体"/>
          <w:b w:val="0"/>
          <w:sz w:val="24"/>
          <w:szCs w:val="32"/>
        </w:rPr>
        <w:t>. 一般约定</w:t>
      </w:r>
      <w:bookmarkEnd w:id="229"/>
    </w:p>
    <w:bookmarkEnd w:id="230"/>
    <w:bookmarkEnd w:id="231"/>
    <w:bookmarkEnd w:id="232"/>
    <w:bookmarkEnd w:id="233"/>
    <w:bookmarkEnd w:id="234"/>
    <w:bookmarkEnd w:id="235"/>
    <w:bookmarkEnd w:id="236"/>
    <w:bookmarkEnd w:id="237"/>
    <w:bookmarkEnd w:id="238"/>
    <w:bookmarkEnd w:id="239"/>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1.1 词语定义</w:t>
      </w:r>
    </w:p>
    <w:p>
      <w:pPr>
        <w:spacing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1.1.1合同</w:t>
      </w:r>
    </w:p>
    <w:p>
      <w:pPr>
        <w:spacing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1.1.1.10其他合同文件包括：</w:t>
      </w:r>
      <w:r>
        <w:rPr>
          <w:rFonts w:hint="eastAsia" w:ascii="宋体" w:hAnsi="宋体" w:eastAsia="宋体" w:cs="宋体"/>
          <w:kern w:val="0"/>
          <w:sz w:val="24"/>
          <w:szCs w:val="32"/>
          <w:u w:val="single"/>
        </w:rPr>
        <w:t xml:space="preserve"> </w:t>
      </w:r>
      <w:r>
        <w:rPr>
          <w:rFonts w:hint="eastAsia" w:ascii="宋体" w:hAnsi="宋体" w:eastAsia="宋体" w:cs="宋体"/>
          <w:sz w:val="24"/>
          <w:u w:val="single"/>
        </w:rPr>
        <w:t xml:space="preserve">1、询标纪要；2、招标文件和工程量清单；3、投标文件及其附件；4、标准、规范及有关技术文件；5、施工组织设计、其它文件；6、其他有关双方洽商、变更等书面协议文件 </w:t>
      </w:r>
      <w:r>
        <w:rPr>
          <w:rFonts w:hint="eastAsia" w:ascii="宋体" w:hAnsi="宋体" w:eastAsia="宋体" w:cs="宋体"/>
          <w:sz w:val="24"/>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1.1.2 合同当事人及其他相关方</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1.1.2.4监理人：</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名    称：</w:t>
      </w:r>
      <w:r>
        <w:rPr>
          <w:rFonts w:hint="eastAsia" w:ascii="宋体" w:hAnsi="宋体" w:eastAsia="宋体" w:cs="宋体"/>
          <w:sz w:val="24"/>
          <w:szCs w:val="32"/>
          <w:u w:val="single"/>
        </w:rPr>
        <w:t xml:space="preserve">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资质类别和等级：</w:t>
      </w:r>
      <w:r>
        <w:rPr>
          <w:rFonts w:hint="eastAsia" w:ascii="宋体" w:hAnsi="宋体" w:eastAsia="宋体" w:cs="宋体"/>
          <w:sz w:val="24"/>
          <w:szCs w:val="32"/>
          <w:u w:val="single"/>
        </w:rPr>
        <w:t>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联系电话：</w:t>
      </w:r>
      <w:r>
        <w:rPr>
          <w:rFonts w:hint="eastAsia" w:ascii="宋体" w:hAnsi="宋体" w:eastAsia="宋体" w:cs="宋体"/>
          <w:sz w:val="24"/>
          <w:szCs w:val="32"/>
          <w:u w:val="single"/>
        </w:rPr>
        <w:t>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电子信箱：</w:t>
      </w:r>
      <w:r>
        <w:rPr>
          <w:rFonts w:hint="eastAsia" w:ascii="宋体" w:hAnsi="宋体" w:eastAsia="宋体" w:cs="宋体"/>
          <w:sz w:val="24"/>
          <w:szCs w:val="32"/>
          <w:u w:val="single"/>
        </w:rPr>
        <w:t>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通信地址：</w:t>
      </w:r>
      <w:r>
        <w:rPr>
          <w:rFonts w:hint="eastAsia" w:ascii="宋体" w:hAnsi="宋体" w:eastAsia="宋体" w:cs="宋体"/>
          <w:sz w:val="24"/>
          <w:szCs w:val="32"/>
          <w:u w:val="single"/>
        </w:rPr>
        <w:t>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1.1.2.5 设计人：</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名    称：</w:t>
      </w:r>
      <w:r>
        <w:rPr>
          <w:rFonts w:hint="eastAsia" w:ascii="宋体" w:hAnsi="宋体" w:eastAsia="宋体" w:cs="宋体"/>
          <w:sz w:val="24"/>
          <w:szCs w:val="32"/>
          <w:u w:val="single"/>
        </w:rPr>
        <w:t xml:space="preserve">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资质类别和等级：</w:t>
      </w:r>
      <w:r>
        <w:rPr>
          <w:rFonts w:hint="eastAsia" w:ascii="宋体" w:hAnsi="宋体" w:eastAsia="宋体" w:cs="宋体"/>
          <w:sz w:val="24"/>
          <w:szCs w:val="32"/>
          <w:u w:val="single"/>
        </w:rPr>
        <w:t>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联系电话：</w:t>
      </w:r>
      <w:r>
        <w:rPr>
          <w:rFonts w:hint="eastAsia" w:ascii="宋体" w:hAnsi="宋体" w:eastAsia="宋体" w:cs="宋体"/>
          <w:sz w:val="24"/>
          <w:szCs w:val="32"/>
          <w:u w:val="single"/>
        </w:rPr>
        <w:t>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电子信箱：</w:t>
      </w:r>
      <w:r>
        <w:rPr>
          <w:rFonts w:hint="eastAsia" w:ascii="宋体" w:hAnsi="宋体" w:eastAsia="宋体" w:cs="宋体"/>
          <w:sz w:val="24"/>
          <w:szCs w:val="32"/>
          <w:u w:val="single"/>
        </w:rPr>
        <w:t xml:space="preserve">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通信地址：</w:t>
      </w:r>
      <w:r>
        <w:rPr>
          <w:rFonts w:hint="eastAsia" w:ascii="宋体" w:hAnsi="宋体" w:eastAsia="宋体" w:cs="宋体"/>
          <w:sz w:val="24"/>
          <w:szCs w:val="32"/>
          <w:u w:val="single"/>
        </w:rPr>
        <w:t>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 xml:space="preserve">1.3法律 </w:t>
      </w:r>
    </w:p>
    <w:p>
      <w:pPr>
        <w:spacing w:line="460" w:lineRule="exact"/>
        <w:ind w:firstLine="480" w:firstLineChars="200"/>
        <w:rPr>
          <w:rFonts w:ascii="宋体" w:hAnsi="宋体" w:eastAsia="宋体" w:cs="宋体"/>
          <w:sz w:val="24"/>
          <w:szCs w:val="32"/>
        </w:rPr>
      </w:pPr>
      <w:r>
        <w:rPr>
          <w:rFonts w:hint="eastAsia" w:ascii="宋体" w:hAnsi="宋体" w:eastAsia="宋体" w:cs="宋体"/>
          <w:kern w:val="0"/>
          <w:sz w:val="24"/>
          <w:szCs w:val="32"/>
        </w:rPr>
        <w:t>适用于合同的其他规范性文件：</w:t>
      </w:r>
      <w:r>
        <w:rPr>
          <w:rFonts w:hint="eastAsia" w:ascii="宋体" w:hAnsi="宋体" w:eastAsia="宋体" w:cs="宋体"/>
          <w:kern w:val="0"/>
          <w:sz w:val="24"/>
          <w:szCs w:val="32"/>
          <w:u w:val="single"/>
        </w:rPr>
        <w:t xml:space="preserve"> 国家现行法律、法规及浙江省与杭州市相关的法规、规章</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1.4 标准和规范</w:t>
      </w:r>
    </w:p>
    <w:p>
      <w:pPr>
        <w:spacing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1.4.1适用于工程的标准规范包括：</w:t>
      </w:r>
      <w:r>
        <w:rPr>
          <w:rFonts w:hint="eastAsia" w:ascii="宋体" w:hAnsi="宋体" w:eastAsia="宋体" w:cs="宋体"/>
          <w:kern w:val="0"/>
          <w:sz w:val="24"/>
          <w:szCs w:val="32"/>
          <w:u w:val="single"/>
        </w:rPr>
        <w:t xml:space="preserve"> 1、《建筑工程施工质量验收统一标准》GB50300—2001强制性条文及与本工程相关的现行国家、省、市施工验收规范和质量评定标准以及招标文件要求;财政部、建设部相关规范性文件；2、《浙江大学修缮管理办法》浙大发后〔2012〕1号、《浙江大学修缮工程实施细则》〔2012〕2号文件 </w:t>
      </w:r>
      <w:r>
        <w:rPr>
          <w:rFonts w:hint="eastAsia" w:ascii="宋体" w:hAnsi="宋体" w:eastAsia="宋体" w:cs="宋体"/>
          <w:kern w:val="0"/>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1.4.3发包人对工程的技术标准和功能要求的特殊要求：</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1.5 合同文件的优先顺序</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合同文件组成及优先顺序为：</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1、本合同协议书；2、本合同专用条款；3、本合同通用条款；4、询标纪要；5、中标通知书；6、招标文件和工程量清单；7、投标文件及其附件；8、标准、规范及有关技术文件；9、施工组织设计、其它文件；10、其他有关双方洽商、变更等书面协议文件 ；11、浙江大学相关文件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1.6 图纸和承包人文件</w:t>
      </w:r>
      <w:r>
        <w:rPr>
          <w:rFonts w:hint="eastAsia" w:ascii="宋体" w:hAnsi="宋体" w:eastAsia="宋体" w:cs="宋体"/>
          <w:sz w:val="24"/>
          <w:szCs w:val="32"/>
        </w:rPr>
        <w:tab/>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1.6.1 图纸的提供</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发包人向承包人提供图纸的期限：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开工前14天</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发包人向承包人提供图纸的数量：</w:t>
      </w:r>
      <w:r>
        <w:rPr>
          <w:rFonts w:hint="eastAsia" w:ascii="宋体" w:hAnsi="宋体" w:eastAsia="宋体" w:cs="宋体"/>
          <w:sz w:val="24"/>
          <w:szCs w:val="32"/>
          <w:u w:val="single"/>
        </w:rPr>
        <w:t xml:space="preserve"> </w:t>
      </w:r>
      <w:r>
        <w:rPr>
          <w:rFonts w:hint="eastAsia" w:ascii="宋体" w:hAnsi="宋体" w:eastAsia="宋体" w:cs="宋体"/>
          <w:sz w:val="24"/>
          <w:u w:val="single"/>
        </w:rPr>
        <w:t>4套</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发包人向承包人提供图纸的内容：</w:t>
      </w:r>
      <w:r>
        <w:rPr>
          <w:rFonts w:hint="eastAsia" w:ascii="宋体" w:hAnsi="宋体" w:eastAsia="宋体" w:cs="宋体"/>
          <w:sz w:val="24"/>
          <w:szCs w:val="32"/>
          <w:u w:val="single"/>
        </w:rPr>
        <w:t xml:space="preserve"> </w:t>
      </w:r>
      <w:r>
        <w:rPr>
          <w:rFonts w:hint="eastAsia" w:ascii="宋体" w:hAnsi="宋体" w:eastAsia="宋体" w:cs="宋体"/>
          <w:sz w:val="24"/>
          <w:u w:val="single"/>
        </w:rPr>
        <w:t>施工图</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1.6.4 承包人文件</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需要由承包人提供的文件，包括：</w:t>
      </w:r>
      <w:r>
        <w:rPr>
          <w:rFonts w:hint="eastAsia" w:ascii="宋体" w:hAnsi="宋体" w:eastAsia="宋体" w:cs="宋体"/>
          <w:sz w:val="24"/>
          <w:szCs w:val="32"/>
          <w:u w:val="single"/>
        </w:rPr>
        <w:t xml:space="preserve"> </w:t>
      </w:r>
      <w:r>
        <w:rPr>
          <w:rFonts w:hint="eastAsia" w:ascii="宋体" w:hAnsi="宋体" w:eastAsia="宋体" w:cs="宋体"/>
          <w:sz w:val="24"/>
          <w:u w:val="single"/>
        </w:rPr>
        <w:t>施工组织设计、方案</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承包人提供的文件的期限为：</w:t>
      </w:r>
      <w:r>
        <w:rPr>
          <w:rFonts w:hint="eastAsia" w:ascii="宋体" w:hAnsi="宋体" w:eastAsia="宋体" w:cs="宋体"/>
          <w:sz w:val="24"/>
          <w:szCs w:val="32"/>
          <w:u w:val="single"/>
        </w:rPr>
        <w:t xml:space="preserve"> </w:t>
      </w:r>
      <w:r>
        <w:rPr>
          <w:rFonts w:hint="eastAsia" w:ascii="宋体" w:hAnsi="宋体" w:eastAsia="宋体" w:cs="宋体"/>
          <w:sz w:val="24"/>
          <w:u w:val="single"/>
        </w:rPr>
        <w:t>按其他合同条款的约定执行</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承包人提供的文件的数量为：</w:t>
      </w:r>
      <w:r>
        <w:rPr>
          <w:rFonts w:hint="eastAsia" w:ascii="宋体" w:hAnsi="宋体" w:eastAsia="宋体" w:cs="宋体"/>
          <w:sz w:val="24"/>
          <w:szCs w:val="32"/>
          <w:u w:val="single"/>
        </w:rPr>
        <w:t xml:space="preserve"> </w:t>
      </w:r>
      <w:r>
        <w:rPr>
          <w:rFonts w:hint="eastAsia" w:ascii="宋体" w:hAnsi="宋体" w:eastAsia="宋体" w:cs="宋体"/>
          <w:sz w:val="24"/>
          <w:u w:val="single"/>
        </w:rPr>
        <w:t>4套</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承包人提供的文件的形式为：</w:t>
      </w:r>
      <w:r>
        <w:rPr>
          <w:rFonts w:hint="eastAsia" w:ascii="宋体" w:hAnsi="宋体" w:eastAsia="宋体" w:cs="宋体"/>
          <w:sz w:val="24"/>
          <w:szCs w:val="32"/>
          <w:u w:val="single"/>
        </w:rPr>
        <w:t xml:space="preserve"> </w:t>
      </w:r>
      <w:r>
        <w:rPr>
          <w:rFonts w:hint="eastAsia" w:ascii="宋体" w:hAnsi="宋体" w:eastAsia="宋体" w:cs="宋体"/>
          <w:sz w:val="24"/>
          <w:u w:val="single"/>
        </w:rPr>
        <w:t>书面文件</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发包人审批承包人文件的期限：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7天内</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1.6.5 现场图纸准备</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关于现场图纸准备的约定：</w:t>
      </w:r>
      <w:r>
        <w:rPr>
          <w:rFonts w:hint="eastAsia" w:ascii="宋体" w:hAnsi="宋体" w:eastAsia="宋体" w:cs="宋体"/>
          <w:sz w:val="24"/>
          <w:szCs w:val="32"/>
          <w:u w:val="single"/>
        </w:rPr>
        <w:t xml:space="preserve"> </w:t>
      </w:r>
      <w:r>
        <w:rPr>
          <w:rFonts w:hint="eastAsia" w:ascii="宋体" w:hAnsi="宋体" w:eastAsia="宋体" w:cs="宋体"/>
          <w:sz w:val="24"/>
          <w:u w:val="single"/>
        </w:rPr>
        <w:t>按通用合同条款第1.6.5项执行</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1.7 联络</w:t>
      </w:r>
    </w:p>
    <w:p>
      <w:pPr>
        <w:spacing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1.7.1发包人和承包人应当在</w:t>
      </w:r>
      <w:r>
        <w:rPr>
          <w:rFonts w:hint="eastAsia" w:ascii="宋体" w:hAnsi="宋体" w:eastAsia="宋体" w:cs="宋体"/>
          <w:sz w:val="24"/>
          <w:szCs w:val="32"/>
          <w:u w:val="single"/>
        </w:rPr>
        <w:t xml:space="preserve"> 7 </w:t>
      </w:r>
      <w:r>
        <w:rPr>
          <w:rFonts w:hint="eastAsia" w:ascii="宋体" w:hAnsi="宋体" w:eastAsia="宋体" w:cs="宋体"/>
          <w:kern w:val="0"/>
          <w:sz w:val="24"/>
          <w:szCs w:val="32"/>
        </w:rPr>
        <w:t>天内将与合同有关的通知、批准、证明、证书、指示、指令、要求、请求、同意、意见、确定和决定等书面函件送达对方当事人。</w:t>
      </w:r>
    </w:p>
    <w:p>
      <w:pPr>
        <w:spacing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1.7.2 发包人接收文件的地点：</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发包人指定的接收人为：</w:t>
      </w:r>
      <w:r>
        <w:rPr>
          <w:rFonts w:hint="eastAsia" w:ascii="宋体" w:hAnsi="宋体" w:eastAsia="宋体" w:cs="宋体"/>
          <w:sz w:val="24"/>
          <w:szCs w:val="32"/>
          <w:u w:val="single"/>
        </w:rPr>
        <w:t>               </w:t>
      </w:r>
      <w:r>
        <w:rPr>
          <w:rFonts w:hint="eastAsia" w:ascii="宋体" w:hAnsi="宋体" w:eastAsia="宋体" w:cs="宋体"/>
          <w:kern w:val="0"/>
          <w:sz w:val="24"/>
          <w:szCs w:val="32"/>
        </w:rPr>
        <w:t>。</w:t>
      </w:r>
    </w:p>
    <w:p>
      <w:pPr>
        <w:spacing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承包人接收文件的地点：</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承包人指定的接收人为：</w:t>
      </w:r>
      <w:r>
        <w:rPr>
          <w:rFonts w:hint="eastAsia" w:ascii="宋体" w:hAnsi="宋体" w:eastAsia="宋体" w:cs="宋体"/>
          <w:sz w:val="24"/>
          <w:szCs w:val="32"/>
          <w:u w:val="single"/>
        </w:rPr>
        <w:t>             </w:t>
      </w:r>
      <w:r>
        <w:rPr>
          <w:rFonts w:hint="eastAsia" w:ascii="宋体" w:hAnsi="宋体" w:eastAsia="宋体" w:cs="宋体"/>
          <w:kern w:val="0"/>
          <w:sz w:val="24"/>
          <w:szCs w:val="32"/>
        </w:rPr>
        <w:t>。</w:t>
      </w:r>
    </w:p>
    <w:p>
      <w:pPr>
        <w:spacing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监理人接收文件的地点：</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监理人指定的接收人为：</w:t>
      </w:r>
      <w:r>
        <w:rPr>
          <w:rFonts w:hint="eastAsia" w:ascii="宋体" w:hAnsi="宋体" w:eastAsia="宋体" w:cs="宋体"/>
          <w:sz w:val="24"/>
          <w:szCs w:val="32"/>
          <w:u w:val="single"/>
        </w:rPr>
        <w:t>            </w:t>
      </w:r>
      <w:r>
        <w:rPr>
          <w:rFonts w:hint="eastAsia" w:ascii="宋体" w:hAnsi="宋体" w:eastAsia="宋体" w:cs="宋体"/>
          <w:kern w:val="0"/>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1.10 交通运输</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1</w:t>
      </w:r>
      <w:bookmarkStart w:id="240" w:name="_Toc300934943"/>
      <w:bookmarkStart w:id="241" w:name="_Toc303539100"/>
      <w:bookmarkStart w:id="242" w:name="_Toc304295521"/>
      <w:bookmarkStart w:id="243" w:name="_Toc312677986"/>
      <w:bookmarkStart w:id="244" w:name="_Toc318581155"/>
      <w:r>
        <w:rPr>
          <w:rFonts w:hint="eastAsia" w:ascii="宋体" w:hAnsi="宋体" w:eastAsia="宋体" w:cs="宋体"/>
          <w:sz w:val="24"/>
          <w:szCs w:val="32"/>
        </w:rPr>
        <w:t>.10.1 出入现场的权利</w:t>
      </w:r>
    </w:p>
    <w:p>
      <w:pPr>
        <w:spacing w:line="440" w:lineRule="exact"/>
        <w:ind w:firstLine="480" w:firstLineChars="200"/>
        <w:rPr>
          <w:rFonts w:ascii="宋体" w:hAnsi="宋体" w:eastAsia="宋体" w:cs="宋体"/>
          <w:kern w:val="0"/>
          <w:sz w:val="24"/>
          <w:u w:val="single"/>
        </w:rPr>
      </w:pPr>
      <w:r>
        <w:rPr>
          <w:rFonts w:hint="eastAsia" w:ascii="宋体" w:hAnsi="宋体" w:eastAsia="宋体" w:cs="宋体"/>
          <w:sz w:val="24"/>
          <w:szCs w:val="32"/>
        </w:rPr>
        <w:t>关于出入现场的权利的约定：</w:t>
      </w:r>
      <w:r>
        <w:rPr>
          <w:rFonts w:hint="eastAsia" w:ascii="宋体" w:hAnsi="宋体" w:eastAsia="宋体" w:cs="宋体"/>
          <w:sz w:val="24"/>
          <w:szCs w:val="32"/>
          <w:u w:val="single"/>
        </w:rPr>
        <w:t xml:space="preserve"> </w:t>
      </w:r>
      <w:r>
        <w:rPr>
          <w:rFonts w:hint="eastAsia" w:ascii="宋体" w:hAnsi="宋体" w:eastAsia="宋体" w:cs="宋体"/>
          <w:sz w:val="24"/>
          <w:u w:val="single"/>
        </w:rPr>
        <w:t>按照</w:t>
      </w:r>
      <w:r>
        <w:rPr>
          <w:rFonts w:hint="eastAsia" w:ascii="宋体" w:hAnsi="宋体" w:eastAsia="宋体" w:cs="宋体"/>
          <w:kern w:val="0"/>
          <w:sz w:val="24"/>
          <w:u w:val="single"/>
        </w:rPr>
        <w:t>《浙江大学机动车辆进出校园管理办法》</w:t>
      </w:r>
      <w:r>
        <w:rPr>
          <w:rFonts w:hint="eastAsia" w:ascii="宋体" w:hAnsi="宋体" w:eastAsia="宋体" w:cs="宋体"/>
          <w:kern w:val="0"/>
          <w:sz w:val="24"/>
          <w:szCs w:val="32"/>
          <w:u w:val="single"/>
        </w:rPr>
        <w:t>〔2010〕</w:t>
      </w:r>
      <w:r>
        <w:rPr>
          <w:rFonts w:hint="eastAsia" w:ascii="宋体" w:hAnsi="宋体" w:eastAsia="宋体" w:cs="宋体"/>
          <w:kern w:val="0"/>
          <w:sz w:val="24"/>
          <w:u w:val="single"/>
        </w:rPr>
        <w:t>8号文件执行</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bookmarkEnd w:id="240"/>
    <w:bookmarkEnd w:id="241"/>
    <w:bookmarkEnd w:id="242"/>
    <w:bookmarkEnd w:id="243"/>
    <w:bookmarkEnd w:id="244"/>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w:t>
      </w:r>
      <w:bookmarkStart w:id="245" w:name="_Toc312677987"/>
      <w:bookmarkStart w:id="246" w:name="_Toc304295522"/>
      <w:bookmarkStart w:id="247" w:name="_Toc318581156"/>
      <w:bookmarkStart w:id="248" w:name="_Toc303539101"/>
      <w:bookmarkStart w:id="249" w:name="_Toc300934944"/>
      <w:r>
        <w:rPr>
          <w:rFonts w:hint="eastAsia" w:ascii="宋体" w:hAnsi="宋体" w:eastAsia="宋体" w:cs="宋体"/>
          <w:sz w:val="24"/>
          <w:szCs w:val="32"/>
        </w:rPr>
        <w:t>.10.3 场内交通</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关于场外交通和场内交通的边界的约定：</w:t>
      </w:r>
      <w:r>
        <w:rPr>
          <w:rFonts w:hint="eastAsia" w:ascii="宋体" w:hAnsi="宋体" w:eastAsia="宋体" w:cs="宋体"/>
          <w:sz w:val="24"/>
          <w:szCs w:val="32"/>
          <w:u w:val="single"/>
        </w:rPr>
        <w:t>  /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关于发包人向承包人免费提供满足工程施工需要的场内道路和交通设施的约定：</w:t>
      </w:r>
      <w:r>
        <w:rPr>
          <w:rFonts w:hint="eastAsia" w:ascii="宋体" w:hAnsi="宋体" w:eastAsia="宋体" w:cs="宋体"/>
          <w:sz w:val="24"/>
          <w:szCs w:val="32"/>
          <w:u w:val="single"/>
        </w:rPr>
        <w:t></w:t>
      </w:r>
      <w:r>
        <w:rPr>
          <w:rFonts w:hint="eastAsia" w:ascii="宋体" w:hAnsi="宋体" w:eastAsia="宋体" w:cs="宋体"/>
          <w:sz w:val="24"/>
          <w:u w:val="single"/>
        </w:rPr>
        <w:t>施工场内已有满足工程施工需要的场内道路和交通设施</w:t>
      </w:r>
      <w:r>
        <w:rPr>
          <w:rFonts w:hint="eastAsia" w:ascii="宋体" w:hAnsi="宋体" w:eastAsia="宋体" w:cs="宋体"/>
          <w:sz w:val="24"/>
          <w:szCs w:val="32"/>
          <w:u w:val="single"/>
        </w:rPr>
        <w:t xml:space="preserve"> </w:t>
      </w:r>
      <w:r>
        <w:rPr>
          <w:rFonts w:hint="eastAsia" w:ascii="宋体" w:hAnsi="宋体" w:eastAsia="宋体" w:cs="宋体"/>
          <w:sz w:val="24"/>
          <w:szCs w:val="32"/>
        </w:rPr>
        <w:t>。</w:t>
      </w:r>
      <w:bookmarkEnd w:id="245"/>
      <w:bookmarkEnd w:id="246"/>
      <w:bookmarkEnd w:id="247"/>
      <w:bookmarkEnd w:id="248"/>
      <w:bookmarkEnd w:id="249"/>
      <w:bookmarkStart w:id="250" w:name="_Toc318581157"/>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1.10.4超大件和超重件的运输</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运输超大件或超重件所需的道路和桥梁临时加固改造费用和其他有关费用由</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承包人 </w:t>
      </w:r>
      <w:r>
        <w:rPr>
          <w:rFonts w:hint="eastAsia" w:ascii="宋体" w:hAnsi="宋体" w:eastAsia="宋体" w:cs="宋体"/>
          <w:sz w:val="24"/>
          <w:szCs w:val="32"/>
        </w:rPr>
        <w:t>承担。</w:t>
      </w:r>
    </w:p>
    <w:bookmarkEnd w:id="250"/>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1.11 知识产权</w:t>
      </w:r>
    </w:p>
    <w:p>
      <w:pPr>
        <w:spacing w:line="460" w:lineRule="exact"/>
        <w:ind w:firstLine="480" w:firstLineChars="200"/>
        <w:rPr>
          <w:rFonts w:ascii="宋体" w:hAnsi="宋体" w:eastAsia="宋体" w:cs="宋体"/>
          <w:sz w:val="24"/>
          <w:szCs w:val="32"/>
          <w:u w:val="single"/>
        </w:rPr>
      </w:pPr>
      <w:r>
        <w:rPr>
          <w:rFonts w:hint="eastAsia" w:ascii="宋体" w:hAnsi="宋体" w:eastAsia="宋体" w:cs="宋体"/>
          <w:sz w:val="24"/>
          <w:szCs w:val="32"/>
        </w:rPr>
        <w:t>1.11.1关于发包人提供给承包人的图纸、发包人为实施工程自行编制或委托编制的技术规范以及反映发包人关于合同要求或其他类似性质的文件的著作权的归属：</w:t>
      </w:r>
      <w:bookmarkStart w:id="251" w:name="OLE_LINK28"/>
      <w:r>
        <w:rPr>
          <w:rFonts w:hint="eastAsia" w:ascii="宋体" w:hAnsi="宋体" w:eastAsia="宋体" w:cs="宋体"/>
          <w:sz w:val="24"/>
          <w:u w:val="single"/>
        </w:rPr>
        <w:t>按通用合同条款第1.11.1项执行</w:t>
      </w:r>
      <w:bookmarkEnd w:id="251"/>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关于发包人提供的上述文件的使用限制的要求：</w:t>
      </w:r>
      <w:r>
        <w:rPr>
          <w:rFonts w:hint="eastAsia" w:ascii="宋体" w:hAnsi="宋体" w:eastAsia="宋体" w:cs="宋体"/>
          <w:sz w:val="24"/>
          <w:u w:val="single"/>
        </w:rPr>
        <w:t>按通用合同条款第1.11.1项执行</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1.11.2 关于承包人为实施工程所编制文件的著作权的归属：</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按通用合同条款第1.11.2项执行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关于承包人提供的上述文件的使用限制的要求：</w:t>
      </w:r>
      <w:r>
        <w:rPr>
          <w:rFonts w:hint="eastAsia" w:ascii="宋体" w:hAnsi="宋体" w:eastAsia="宋体" w:cs="宋体"/>
          <w:sz w:val="24"/>
          <w:u w:val="single"/>
        </w:rPr>
        <w:t>按通用合同条款第1.11.2项执行</w:t>
      </w:r>
      <w:r>
        <w:rPr>
          <w:rFonts w:hint="eastAsia" w:ascii="宋体" w:hAnsi="宋体" w:eastAsia="宋体" w:cs="宋体"/>
          <w:sz w:val="24"/>
          <w:szCs w:val="32"/>
        </w:rPr>
        <w:t>。</w:t>
      </w:r>
    </w:p>
    <w:p>
      <w:pPr>
        <w:spacing w:line="460" w:lineRule="exact"/>
        <w:ind w:firstLine="480" w:firstLineChars="200"/>
        <w:rPr>
          <w:rFonts w:ascii="宋体" w:hAnsi="宋体" w:eastAsia="宋体" w:cs="宋体"/>
          <w:kern w:val="0"/>
          <w:sz w:val="24"/>
          <w:szCs w:val="32"/>
        </w:rPr>
      </w:pPr>
      <w:r>
        <w:rPr>
          <w:rFonts w:hint="eastAsia" w:ascii="宋体" w:hAnsi="宋体" w:eastAsia="宋体" w:cs="宋体"/>
          <w:sz w:val="24"/>
          <w:szCs w:val="32"/>
        </w:rPr>
        <w:t>1.11.4 承包人在施工过程中所采用的专利、专有技术、技术秘密的使用费的承担方式：</w:t>
      </w:r>
      <w:r>
        <w:rPr>
          <w:rFonts w:hint="eastAsia" w:ascii="宋体" w:hAnsi="宋体" w:eastAsia="宋体" w:cs="宋体"/>
          <w:sz w:val="24"/>
          <w:szCs w:val="32"/>
          <w:u w:val="single"/>
        </w:rPr>
        <w:t xml:space="preserve"> （</w:t>
      </w:r>
      <w:r>
        <w:rPr>
          <w:rFonts w:hint="eastAsia" w:ascii="宋体" w:hAnsi="宋体" w:eastAsia="宋体" w:cs="宋体"/>
          <w:sz w:val="24"/>
          <w:u w:val="single"/>
        </w:rPr>
        <w:t>除发包人指明外）承包人在施工过程中所采用的专利、专有技术、技术秘密的使用费已包含在签约合同价内</w:t>
      </w:r>
      <w:r>
        <w:rPr>
          <w:rFonts w:hint="eastAsia" w:ascii="宋体" w:hAnsi="宋体" w:eastAsia="宋体" w:cs="宋体"/>
          <w:sz w:val="24"/>
          <w:szCs w:val="32"/>
          <w:u w:val="single"/>
        </w:rPr>
        <w:t xml:space="preserve"> </w:t>
      </w:r>
      <w:r>
        <w:rPr>
          <w:rFonts w:hint="eastAsia" w:ascii="宋体" w:hAnsi="宋体" w:eastAsia="宋体" w:cs="宋体"/>
          <w:kern w:val="0"/>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1.13工程量清单错误的修正</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出现工程量清单错误时，是否调整合同价格：</w:t>
      </w:r>
      <w:r>
        <w:rPr>
          <w:rFonts w:hint="eastAsia" w:ascii="宋体" w:hAnsi="宋体" w:eastAsia="宋体" w:cs="宋体"/>
          <w:sz w:val="24"/>
          <w:szCs w:val="32"/>
          <w:u w:val="single"/>
        </w:rPr>
        <w:t xml:space="preserve"> 是 </w:t>
      </w:r>
      <w:r>
        <w:rPr>
          <w:rFonts w:hint="eastAsia" w:ascii="宋体" w:hAnsi="宋体" w:eastAsia="宋体" w:cs="宋体"/>
          <w:kern w:val="0"/>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允许调整合同价格的工程量偏差范围：</w:t>
      </w:r>
      <w:r>
        <w:rPr>
          <w:rFonts w:hint="eastAsia" w:ascii="宋体" w:hAnsi="宋体" w:eastAsia="宋体" w:cs="宋体"/>
          <w:sz w:val="24"/>
          <w:u w:val="single"/>
        </w:rPr>
        <w:t xml:space="preserve"> 按专用合同条款第10.4.1项执行</w:t>
      </w:r>
      <w:r>
        <w:rPr>
          <w:rFonts w:hint="eastAsia" w:ascii="宋体" w:hAnsi="宋体" w:eastAsia="宋体" w:cs="宋体"/>
          <w:sz w:val="24"/>
          <w:szCs w:val="32"/>
          <w:u w:val="single"/>
        </w:rPr>
        <w:t xml:space="preserve"> </w:t>
      </w:r>
      <w:r>
        <w:rPr>
          <w:rFonts w:hint="eastAsia" w:ascii="宋体" w:hAnsi="宋体" w:eastAsia="宋体" w:cs="宋体"/>
          <w:kern w:val="0"/>
          <w:sz w:val="24"/>
          <w:szCs w:val="32"/>
        </w:rPr>
        <w:t>。</w:t>
      </w:r>
    </w:p>
    <w:p>
      <w:pPr>
        <w:pStyle w:val="6"/>
        <w:spacing w:before="120" w:after="120" w:line="460" w:lineRule="exact"/>
        <w:rPr>
          <w:rFonts w:ascii="宋体" w:hAnsi="宋体" w:eastAsia="宋体" w:cs="宋体"/>
          <w:b w:val="0"/>
          <w:sz w:val="24"/>
          <w:szCs w:val="32"/>
        </w:rPr>
      </w:pPr>
      <w:bookmarkStart w:id="252" w:name="_Toc351203634"/>
      <w:r>
        <w:rPr>
          <w:rFonts w:hint="eastAsia" w:ascii="宋体" w:hAnsi="宋体" w:eastAsia="宋体" w:cs="宋体"/>
          <w:b w:val="0"/>
          <w:sz w:val="24"/>
          <w:szCs w:val="32"/>
        </w:rPr>
        <w:t>2</w:t>
      </w:r>
      <w:bookmarkStart w:id="253" w:name="_Toc292559362"/>
      <w:bookmarkStart w:id="254" w:name="_Toc297120457"/>
      <w:bookmarkStart w:id="255" w:name="_Toc297048343"/>
      <w:bookmarkStart w:id="256" w:name="_Toc292559867"/>
      <w:bookmarkStart w:id="257" w:name="_Toc296347156"/>
      <w:bookmarkStart w:id="258" w:name="_Toc296890985"/>
      <w:bookmarkStart w:id="259" w:name="_Toc296891197"/>
      <w:bookmarkStart w:id="260" w:name="_Toc296503157"/>
      <w:bookmarkStart w:id="261" w:name="_Toc296346658"/>
      <w:bookmarkStart w:id="262" w:name="_Toc296944496"/>
      <w:r>
        <w:rPr>
          <w:rFonts w:hint="eastAsia" w:ascii="宋体" w:hAnsi="宋体" w:eastAsia="宋体" w:cs="宋体"/>
          <w:b w:val="0"/>
          <w:sz w:val="24"/>
          <w:szCs w:val="32"/>
        </w:rPr>
        <w:t>. 发包人</w:t>
      </w:r>
      <w:bookmarkEnd w:id="252"/>
    </w:p>
    <w:bookmarkEnd w:id="253"/>
    <w:bookmarkEnd w:id="254"/>
    <w:bookmarkEnd w:id="255"/>
    <w:bookmarkEnd w:id="256"/>
    <w:bookmarkEnd w:id="257"/>
    <w:bookmarkEnd w:id="258"/>
    <w:bookmarkEnd w:id="259"/>
    <w:bookmarkEnd w:id="260"/>
    <w:bookmarkEnd w:id="261"/>
    <w:bookmarkEnd w:id="262"/>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2.2 发包人代表</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发包人代表：</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姓    名：</w:t>
      </w:r>
      <w:r>
        <w:rPr>
          <w:rFonts w:hint="eastAsia" w:ascii="宋体" w:hAnsi="宋体" w:eastAsia="宋体" w:cs="宋体"/>
          <w:sz w:val="24"/>
          <w:szCs w:val="32"/>
          <w:u w:val="single"/>
        </w:rPr>
        <w:t>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身份证号：</w:t>
      </w:r>
      <w:r>
        <w:rPr>
          <w:rFonts w:hint="eastAsia" w:ascii="宋体" w:hAnsi="宋体" w:eastAsia="宋体" w:cs="宋体"/>
          <w:sz w:val="24"/>
          <w:szCs w:val="32"/>
          <w:u w:val="single"/>
        </w:rPr>
        <w:t>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职    务：</w:t>
      </w:r>
      <w:r>
        <w:rPr>
          <w:rFonts w:hint="eastAsia" w:ascii="宋体" w:hAnsi="宋体" w:eastAsia="宋体" w:cs="宋体"/>
          <w:sz w:val="24"/>
          <w:szCs w:val="32"/>
          <w:u w:val="single"/>
        </w:rPr>
        <w:t>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联系电话：</w:t>
      </w:r>
      <w:r>
        <w:rPr>
          <w:rFonts w:hint="eastAsia" w:ascii="宋体" w:hAnsi="宋体" w:eastAsia="宋体" w:cs="宋体"/>
          <w:sz w:val="24"/>
          <w:szCs w:val="32"/>
          <w:u w:val="single"/>
        </w:rPr>
        <w:t>  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电子信箱：</w:t>
      </w:r>
      <w:r>
        <w:rPr>
          <w:rFonts w:hint="eastAsia" w:ascii="宋体" w:hAnsi="宋体" w:eastAsia="宋体" w:cs="宋体"/>
          <w:sz w:val="24"/>
          <w:szCs w:val="32"/>
          <w:u w:val="single"/>
        </w:rPr>
        <w:t>  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通信地址：</w:t>
      </w:r>
      <w:r>
        <w:rPr>
          <w:rFonts w:hint="eastAsia" w:ascii="宋体" w:hAnsi="宋体" w:eastAsia="宋体" w:cs="宋体"/>
          <w:sz w:val="24"/>
          <w:szCs w:val="32"/>
          <w:u w:val="single"/>
        </w:rPr>
        <w:t>    </w:t>
      </w:r>
      <w:r>
        <w:rPr>
          <w:rFonts w:hint="eastAsia" w:ascii="宋体" w:hAnsi="宋体" w:eastAsia="宋体" w:cs="宋体"/>
          <w:sz w:val="24"/>
          <w:szCs w:val="32"/>
        </w:rPr>
        <w:t>。</w:t>
      </w:r>
    </w:p>
    <w:p>
      <w:pPr>
        <w:spacing w:line="460" w:lineRule="exact"/>
        <w:ind w:firstLine="480" w:firstLineChars="200"/>
        <w:rPr>
          <w:rFonts w:ascii="宋体" w:hAnsi="宋体" w:eastAsia="宋体" w:cs="宋体"/>
          <w:b/>
          <w:sz w:val="24"/>
          <w:szCs w:val="32"/>
        </w:rPr>
      </w:pPr>
      <w:r>
        <w:rPr>
          <w:rFonts w:hint="eastAsia" w:ascii="宋体" w:hAnsi="宋体" w:eastAsia="宋体" w:cs="宋体"/>
          <w:sz w:val="24"/>
          <w:szCs w:val="32"/>
        </w:rPr>
        <w:t>发包人对发包人代表的授权范围如下：</w:t>
      </w:r>
      <w:r>
        <w:rPr>
          <w:rFonts w:hint="eastAsia" w:ascii="宋体" w:hAnsi="宋体" w:eastAsia="宋体" w:cs="宋体"/>
          <w:sz w:val="24"/>
          <w:szCs w:val="32"/>
          <w:u w:val="single"/>
        </w:rPr>
        <w:t xml:space="preserve"> </w:t>
      </w:r>
      <w:r>
        <w:rPr>
          <w:rFonts w:hint="eastAsia" w:ascii="宋体" w:hAnsi="宋体" w:eastAsia="宋体" w:cs="宋体"/>
          <w:sz w:val="24"/>
          <w:u w:val="single"/>
        </w:rPr>
        <w:t>全面实施本工程的质量、进度、安全生产、文明施工的管理监督工作。签发工程联系单、造价控制管理、工期变更及工期延误的确认权，并为上述权利的必备签字人</w:t>
      </w:r>
      <w:bookmarkStart w:id="263" w:name="OLE_LINK33"/>
      <w:r>
        <w:rPr>
          <w:rFonts w:hint="eastAsia" w:ascii="宋体" w:hAnsi="宋体" w:eastAsia="宋体" w:cs="宋体"/>
          <w:sz w:val="24"/>
          <w:u w:val="single"/>
        </w:rPr>
        <w:t>。代表发包人对施工现场进行工程管理，但发包人代表所签署的任何书面文件都须经发包人盖章确认后才生效</w:t>
      </w:r>
      <w:bookmarkEnd w:id="263"/>
      <w:r>
        <w:rPr>
          <w:rFonts w:hint="eastAsia" w:ascii="宋体" w:hAnsi="宋体" w:eastAsia="宋体" w:cs="宋体"/>
          <w:sz w:val="24"/>
          <w:u w:val="single"/>
        </w:rPr>
        <w:t xml:space="preserve">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2.4 施工现场、施工条件和基础资料的提供</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2.4.1 提供施工现场</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关于发包人移交施工现场的期限要求：</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开工前3天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2.4.2 提供施工条件</w:t>
      </w:r>
    </w:p>
    <w:p>
      <w:pPr>
        <w:spacing w:line="460" w:lineRule="exact"/>
        <w:ind w:firstLine="480" w:firstLineChars="200"/>
        <w:rPr>
          <w:rFonts w:ascii="宋体" w:hAnsi="宋体" w:eastAsia="宋体" w:cs="宋体"/>
          <w:sz w:val="24"/>
          <w:szCs w:val="32"/>
          <w:u w:val="single"/>
        </w:rPr>
      </w:pPr>
      <w:r>
        <w:rPr>
          <w:rFonts w:hint="eastAsia" w:ascii="宋体" w:hAnsi="宋体" w:eastAsia="宋体" w:cs="宋体"/>
          <w:sz w:val="24"/>
          <w:szCs w:val="32"/>
        </w:rPr>
        <w:t>关于发包人应负责提供施工所需要的条件，包括：</w:t>
      </w:r>
      <w:bookmarkStart w:id="264" w:name="OLE_LINK35"/>
      <w:r>
        <w:rPr>
          <w:rFonts w:hint="eastAsia" w:ascii="宋体" w:hAnsi="宋体" w:eastAsia="宋体" w:cs="宋体"/>
          <w:sz w:val="24"/>
          <w:u w:val="single"/>
        </w:rPr>
        <w:t xml:space="preserve"> 1、在开工日期3天前，将施工电源、水源及计量表接至承包人场布图指定的施工场地附近，场内接电、接水由承包人自行承担。电讯线路由承包人自行解决，需要时发包人可协助承包人与电信部门联系，费用全部由承包人承担；2、本工程施工现场周围道路畅通；施工时通道及施工时间的具体利用，应受发包人管理规定、招标文件和其他须遵守约定、规定所述的限制，就此，承包人应自行承担费用及采取一切必要合理的措施以避免对发包人或其他第三方的正常营业或财产、人身安全造成影响、干涉、妨碍或侵害；3、承包人应考虑机械设备进场条件、后续工作、遗留问题及道路周边关系，场地内临时道路、出入通道已具备,后续临时道路的修建及养护由承包人负责，工程完工前承包人应对因施工造成的原有道路、排水等设施的损坏进行修缮，恢复原有使用功能，并包括到养护、道路部门办理所有相关手续。施工中应保证现状道路的正常通行。</w:t>
      </w:r>
      <w:bookmarkEnd w:id="264"/>
      <w:r>
        <w:rPr>
          <w:rFonts w:hint="eastAsia" w:ascii="宋体" w:hAnsi="宋体" w:eastAsia="宋体" w:cs="宋体"/>
          <w:sz w:val="24"/>
          <w:u w:val="single"/>
        </w:rPr>
        <w:t>4、发包人在交付施工现场时，在现场实际交验，并做交验记录。5、进场后的临时设施场地布置应该服从发包人的安排</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pStyle w:val="6"/>
        <w:spacing w:before="120" w:after="120" w:line="460" w:lineRule="exact"/>
        <w:rPr>
          <w:rFonts w:ascii="宋体" w:hAnsi="宋体" w:eastAsia="宋体" w:cs="宋体"/>
          <w:b w:val="0"/>
          <w:sz w:val="24"/>
          <w:szCs w:val="32"/>
        </w:rPr>
      </w:pPr>
      <w:bookmarkStart w:id="265" w:name="_Toc351203635"/>
      <w:r>
        <w:rPr>
          <w:rFonts w:hint="eastAsia" w:ascii="宋体" w:hAnsi="宋体" w:eastAsia="宋体" w:cs="宋体"/>
          <w:b w:val="0"/>
          <w:sz w:val="24"/>
          <w:szCs w:val="32"/>
        </w:rPr>
        <w:t>3</w:t>
      </w:r>
      <w:bookmarkStart w:id="266" w:name="_Toc292559363"/>
      <w:bookmarkStart w:id="267" w:name="_Toc296503158"/>
      <w:bookmarkStart w:id="268" w:name="_Toc296944497"/>
      <w:bookmarkStart w:id="269" w:name="_Toc296891198"/>
      <w:bookmarkStart w:id="270" w:name="_Toc292559868"/>
      <w:bookmarkStart w:id="271" w:name="_Toc296890986"/>
      <w:bookmarkStart w:id="272" w:name="_Toc296347157"/>
      <w:bookmarkStart w:id="273" w:name="_Toc297120458"/>
      <w:bookmarkStart w:id="274" w:name="_Toc296346659"/>
      <w:bookmarkStart w:id="275" w:name="_Toc297048344"/>
      <w:r>
        <w:rPr>
          <w:rFonts w:hint="eastAsia" w:ascii="宋体" w:hAnsi="宋体" w:eastAsia="宋体" w:cs="宋体"/>
          <w:b w:val="0"/>
          <w:sz w:val="24"/>
          <w:szCs w:val="32"/>
        </w:rPr>
        <w:t>. 承包人</w:t>
      </w:r>
      <w:bookmarkEnd w:id="265"/>
    </w:p>
    <w:bookmarkEnd w:id="266"/>
    <w:bookmarkEnd w:id="267"/>
    <w:bookmarkEnd w:id="268"/>
    <w:bookmarkEnd w:id="269"/>
    <w:bookmarkEnd w:id="270"/>
    <w:bookmarkEnd w:id="271"/>
    <w:bookmarkEnd w:id="272"/>
    <w:bookmarkEnd w:id="273"/>
    <w:bookmarkEnd w:id="274"/>
    <w:bookmarkEnd w:id="275"/>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3.1 承包人的一般义务</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kern w:val="0"/>
          <w:sz w:val="24"/>
          <w:szCs w:val="32"/>
        </w:rPr>
        <w:t>（9）</w:t>
      </w:r>
      <w:r>
        <w:rPr>
          <w:rFonts w:hint="eastAsia" w:ascii="宋体" w:hAnsi="宋体" w:eastAsia="宋体" w:cs="宋体"/>
          <w:sz w:val="24"/>
          <w:szCs w:val="32"/>
        </w:rPr>
        <w:t>承包人提交的竣工资料的内容：</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完整标准的竣工图及技术资料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rPr>
        <w:t>竣工图绘制要求：当设计变更内容较少时，承包人可采用杠（划）改或叉改法直接在原施工图上进行绘制修改，并加盖竣工图章；当设计变更内容较多时，承包人应委托设计人重新编制竣工图蓝图（修改部分），在设计图中注明“竣工阶段”，并应有绘图人、审核人的签字。相关费用已包含在签约合同价中，不再另行增加。</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承包人需要提交的竣工资料套数：</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3套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承包人提交的竣工资料的费用承担：</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承包人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承包人提交的竣工资料移交时间：</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工程竣工验收合格后28天内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承包人提交的竣工资料形式要求：</w:t>
      </w:r>
      <w:r>
        <w:rPr>
          <w:rFonts w:hint="eastAsia" w:ascii="宋体" w:hAnsi="宋体" w:eastAsia="宋体" w:cs="宋体"/>
          <w:sz w:val="24"/>
          <w:szCs w:val="32"/>
          <w:u w:val="single"/>
        </w:rPr>
        <w:t xml:space="preserve"> </w:t>
      </w:r>
      <w:r>
        <w:rPr>
          <w:rFonts w:hint="eastAsia" w:ascii="宋体" w:hAnsi="宋体" w:eastAsia="宋体" w:cs="宋体"/>
          <w:sz w:val="24"/>
          <w:u w:val="single"/>
        </w:rPr>
        <w:t>书面</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kern w:val="0"/>
          <w:sz w:val="24"/>
          <w:szCs w:val="32"/>
        </w:rPr>
        <w:t>（10）承包人应履行的其他义务：</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1、开工前承包人应对施工图纸认真核查，积极配合发包人组织的施工图纸会审及交底工作，及时指出图纸中有任何不符合施工常规或惯例之处，如有施工图问题在设计交底时未及时提出，而在后期施工过程中造成窝工、返工等情况，由承包人自行解决，费用已包含在签约合同价中； 2、做好与发包人另行委托的其他专业工程承包单位的相关衔接、管理、协调和配合服务工作，服从发包人及监理人现场总协调做出的决定；3、积极配合发包人要求的其他工作；4、承包人场布、交通、施工顺序等应服从发包人的安排；5、其他合同条款中约定的承包人应履行的义务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3.2 项目经理</w:t>
      </w:r>
    </w:p>
    <w:p>
      <w:pPr>
        <w:spacing w:line="460" w:lineRule="exact"/>
        <w:ind w:firstLine="480" w:firstLineChars="200"/>
        <w:rPr>
          <w:rFonts w:ascii="宋体" w:hAnsi="宋体" w:eastAsia="宋体" w:cs="宋体"/>
          <w:sz w:val="24"/>
          <w:szCs w:val="32"/>
        </w:rPr>
      </w:pPr>
      <w:r>
        <w:rPr>
          <w:rFonts w:hint="eastAsia" w:ascii="宋体" w:hAnsi="宋体" w:eastAsia="宋体" w:cs="宋体"/>
          <w:kern w:val="0"/>
          <w:sz w:val="24"/>
          <w:szCs w:val="32"/>
        </w:rPr>
        <w:t xml:space="preserve">3.2.1 </w:t>
      </w:r>
      <w:r>
        <w:rPr>
          <w:rFonts w:hint="eastAsia" w:ascii="宋体" w:hAnsi="宋体" w:eastAsia="宋体" w:cs="宋体"/>
          <w:sz w:val="24"/>
          <w:szCs w:val="32"/>
        </w:rPr>
        <w:t>项目经理：</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姓    名：</w:t>
      </w:r>
      <w:r>
        <w:rPr>
          <w:rFonts w:hint="eastAsia" w:ascii="宋体" w:hAnsi="宋体" w:eastAsia="宋体" w:cs="宋体"/>
          <w:sz w:val="24"/>
          <w:szCs w:val="32"/>
          <w:u w:val="single"/>
        </w:rPr>
        <w:t>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身份证号：</w:t>
      </w:r>
      <w:r>
        <w:rPr>
          <w:rFonts w:hint="eastAsia" w:ascii="宋体" w:hAnsi="宋体" w:eastAsia="宋体" w:cs="宋体"/>
          <w:sz w:val="24"/>
          <w:szCs w:val="32"/>
          <w:u w:val="single"/>
        </w:rPr>
        <w:t>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建造师执业资格等级：</w:t>
      </w:r>
      <w:r>
        <w:rPr>
          <w:rFonts w:hint="eastAsia" w:ascii="宋体" w:hAnsi="宋体" w:eastAsia="宋体" w:cs="宋体"/>
          <w:sz w:val="24"/>
          <w:szCs w:val="32"/>
          <w:u w:val="single"/>
        </w:rPr>
        <w:t>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建造师注册证书号：</w:t>
      </w:r>
      <w:r>
        <w:rPr>
          <w:rFonts w:hint="eastAsia" w:ascii="宋体" w:hAnsi="宋体" w:eastAsia="宋体" w:cs="宋体"/>
          <w:sz w:val="24"/>
          <w:szCs w:val="32"/>
          <w:u w:val="single"/>
        </w:rPr>
        <w:t>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建造师执业印章号：</w:t>
      </w:r>
      <w:r>
        <w:rPr>
          <w:rFonts w:hint="eastAsia" w:ascii="宋体" w:hAnsi="宋体" w:eastAsia="宋体" w:cs="宋体"/>
          <w:sz w:val="24"/>
          <w:szCs w:val="32"/>
          <w:u w:val="single"/>
        </w:rPr>
        <w:t>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安全生产考核合格证书号：</w:t>
      </w:r>
      <w:r>
        <w:rPr>
          <w:rFonts w:hint="eastAsia" w:ascii="宋体" w:hAnsi="宋体" w:eastAsia="宋体" w:cs="宋体"/>
          <w:sz w:val="24"/>
          <w:szCs w:val="32"/>
          <w:u w:val="single"/>
        </w:rPr>
        <w:t>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联系电话：</w:t>
      </w:r>
      <w:r>
        <w:rPr>
          <w:rFonts w:hint="eastAsia" w:ascii="宋体" w:hAnsi="宋体" w:eastAsia="宋体" w:cs="宋体"/>
          <w:sz w:val="24"/>
          <w:szCs w:val="32"/>
          <w:u w:val="single"/>
        </w:rPr>
        <w:t>  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电子信箱：</w:t>
      </w:r>
      <w:r>
        <w:rPr>
          <w:rFonts w:hint="eastAsia" w:ascii="宋体" w:hAnsi="宋体" w:eastAsia="宋体" w:cs="宋体"/>
          <w:sz w:val="24"/>
          <w:szCs w:val="32"/>
          <w:u w:val="single"/>
        </w:rPr>
        <w:t>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通信地址：</w:t>
      </w:r>
      <w:r>
        <w:rPr>
          <w:rFonts w:hint="eastAsia" w:ascii="宋体" w:hAnsi="宋体" w:eastAsia="宋体" w:cs="宋体"/>
          <w:sz w:val="24"/>
          <w:szCs w:val="32"/>
          <w:u w:val="single"/>
        </w:rPr>
        <w:t>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承包人对项目经理的授权范围如下：</w:t>
      </w:r>
      <w:bookmarkStart w:id="276" w:name="OLE_LINK47"/>
      <w:r>
        <w:rPr>
          <w:rFonts w:hint="eastAsia" w:ascii="宋体" w:hAnsi="宋体" w:eastAsia="宋体" w:cs="宋体"/>
          <w:sz w:val="24"/>
          <w:szCs w:val="32"/>
          <w:u w:val="single"/>
        </w:rPr>
        <w:t xml:space="preserve"> </w:t>
      </w:r>
      <w:r>
        <w:rPr>
          <w:rFonts w:hint="eastAsia" w:ascii="宋体" w:hAnsi="宋体" w:eastAsia="宋体" w:cs="宋体"/>
          <w:sz w:val="24"/>
          <w:u w:val="single"/>
        </w:rPr>
        <w:t>代表承包人履行本合同，包括但不限于代表承包人对本工程进行工程管理及协调，全面负责工程的质量控制、进度控制、投资控制、安全管理、合同管理等</w:t>
      </w:r>
      <w:bookmarkEnd w:id="276"/>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关于项目经理每月在施工现场的时间要求：</w:t>
      </w:r>
      <w:r>
        <w:rPr>
          <w:rFonts w:hint="eastAsia" w:ascii="宋体" w:hAnsi="宋体" w:eastAsia="宋体" w:cs="宋体"/>
          <w:kern w:val="0"/>
          <w:sz w:val="24"/>
          <w:szCs w:val="32"/>
          <w:u w:val="single"/>
        </w:rPr>
        <w:t xml:space="preserve"> </w:t>
      </w:r>
      <w:r>
        <w:rPr>
          <w:rFonts w:hint="eastAsia" w:ascii="宋体" w:hAnsi="宋体" w:eastAsia="宋体" w:cs="宋体"/>
          <w:sz w:val="24"/>
          <w:u w:val="single"/>
        </w:rPr>
        <w:t>项目经理到位率不得少于85%，到位率少于要求的，按累计最多不超过中标金额百分之五平均计算每次的金额扣款</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承包人未提交劳动合同，以及没有为项目经理缴纳社会保险证明的违约责任：</w:t>
      </w:r>
      <w:r>
        <w:rPr>
          <w:rFonts w:hint="eastAsia" w:ascii="宋体" w:hAnsi="宋体" w:eastAsia="宋体" w:cs="宋体"/>
          <w:kern w:val="0"/>
          <w:sz w:val="24"/>
          <w:szCs w:val="32"/>
          <w:u w:val="single"/>
        </w:rPr>
        <w:t xml:space="preserve"> </w:t>
      </w:r>
      <w:r>
        <w:rPr>
          <w:rFonts w:hint="eastAsia" w:ascii="宋体" w:hAnsi="宋体" w:eastAsia="宋体" w:cs="宋体"/>
          <w:sz w:val="24"/>
          <w:u w:val="single"/>
        </w:rPr>
        <w:t>按照合同价的千分之一向发包人支付违约金</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u w:val="single"/>
        </w:rPr>
      </w:pPr>
      <w:r>
        <w:rPr>
          <w:rFonts w:hint="eastAsia" w:ascii="宋体" w:hAnsi="宋体" w:eastAsia="宋体" w:cs="宋体"/>
          <w:kern w:val="0"/>
          <w:sz w:val="24"/>
          <w:szCs w:val="32"/>
        </w:rPr>
        <w:t>项目经理未经批准，擅自离开施工现场的违约责任：</w:t>
      </w:r>
      <w:r>
        <w:rPr>
          <w:rFonts w:hint="eastAsia" w:ascii="宋体" w:hAnsi="宋体" w:eastAsia="宋体" w:cs="宋体"/>
          <w:kern w:val="0"/>
          <w:sz w:val="24"/>
          <w:szCs w:val="32"/>
          <w:u w:val="single"/>
        </w:rPr>
        <w:t xml:space="preserve"> </w:t>
      </w:r>
      <w:r>
        <w:rPr>
          <w:rFonts w:hint="eastAsia" w:ascii="宋体" w:hAnsi="宋体" w:eastAsia="宋体" w:cs="宋体"/>
          <w:sz w:val="24"/>
          <w:u w:val="single"/>
        </w:rPr>
        <w:t>按招标文件</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u w:val="single"/>
        </w:rPr>
      </w:pPr>
      <w:r>
        <w:rPr>
          <w:rFonts w:hint="eastAsia" w:ascii="宋体" w:hAnsi="宋体" w:eastAsia="宋体" w:cs="宋体"/>
          <w:sz w:val="24"/>
          <w:szCs w:val="32"/>
        </w:rPr>
        <w:t>3.2.3 承包人擅自更换项目经理的违约责任：</w:t>
      </w:r>
    </w:p>
    <w:p>
      <w:pPr>
        <w:pStyle w:val="40"/>
        <w:spacing w:line="360" w:lineRule="auto"/>
        <w:ind w:firstLine="480" w:firstLineChars="200"/>
        <w:rPr>
          <w:rFonts w:ascii="宋体" w:hAnsi="宋体" w:cs="宋体"/>
          <w:b/>
          <w:szCs w:val="21"/>
          <w:u w:val="single"/>
        </w:rPr>
      </w:pPr>
      <w:r>
        <w:rPr>
          <w:rFonts w:hint="eastAsia" w:ascii="宋体" w:hAnsi="宋体" w:cs="宋体"/>
          <w:sz w:val="24"/>
        </w:rPr>
        <w:t>（1）承包人确需更换项目经理的，继任项目经理注册执业资格、管理经验的约定：</w:t>
      </w:r>
      <w:bookmarkStart w:id="277" w:name="OLE_LINK52"/>
      <w:r>
        <w:rPr>
          <w:rFonts w:hint="eastAsia" w:ascii="宋体" w:hAnsi="宋体" w:cs="宋体"/>
          <w:sz w:val="24"/>
          <w:u w:val="single"/>
        </w:rPr>
        <w:t xml:space="preserve"> 不低于前任人员的资格要求</w:t>
      </w:r>
      <w:bookmarkEnd w:id="277"/>
      <w:r>
        <w:rPr>
          <w:rFonts w:hint="eastAsia" w:ascii="宋体" w:hAnsi="宋体" w:cs="宋体"/>
          <w:sz w:val="24"/>
          <w:u w:val="single"/>
        </w:rPr>
        <w:t xml:space="preserve"> </w:t>
      </w:r>
      <w:r>
        <w:rPr>
          <w:rFonts w:hint="eastAsia" w:ascii="宋体" w:hAnsi="宋体" w:cs="宋体"/>
          <w:sz w:val="24"/>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rPr>
        <w:t>（2）承包人擅自更换项目经理的违约责任：</w:t>
      </w:r>
      <w:r>
        <w:rPr>
          <w:rFonts w:hint="eastAsia" w:ascii="宋体" w:hAnsi="宋体" w:eastAsia="宋体" w:cs="宋体"/>
          <w:sz w:val="24"/>
          <w:u w:val="single"/>
        </w:rPr>
        <w:t xml:space="preserve"> 如承包人未征得发包人同意擅自更换项目经理的，按照签约合同价的千分之五向发包人支付违约金，且发包人有权解除合同 </w:t>
      </w:r>
      <w:r>
        <w:rPr>
          <w:rFonts w:hint="eastAsia" w:ascii="宋体" w:hAnsi="宋体" w:eastAsia="宋体" w:cs="宋体"/>
          <w:sz w:val="24"/>
        </w:rPr>
        <w:t>。</w:t>
      </w:r>
    </w:p>
    <w:p>
      <w:pPr>
        <w:spacing w:line="460" w:lineRule="exact"/>
        <w:rPr>
          <w:rFonts w:ascii="宋体" w:hAnsi="宋体" w:eastAsia="宋体" w:cs="宋体"/>
          <w:sz w:val="24"/>
          <w:szCs w:val="32"/>
        </w:rPr>
      </w:pPr>
      <w:r>
        <w:rPr>
          <w:rFonts w:hint="eastAsia" w:ascii="宋体" w:hAnsi="宋体" w:eastAsia="宋体" w:cs="宋体"/>
          <w:sz w:val="24"/>
          <w:szCs w:val="32"/>
        </w:rPr>
        <w:t xml:space="preserve">    3.2.4 承包人无正当理由拒绝更换项目经理的违约责任：</w:t>
      </w:r>
      <w:r>
        <w:rPr>
          <w:rFonts w:hint="eastAsia" w:ascii="宋体" w:hAnsi="宋体" w:eastAsia="宋体" w:cs="宋体"/>
          <w:sz w:val="24"/>
          <w:szCs w:val="32"/>
          <w:u w:val="single"/>
        </w:rPr>
        <w:t xml:space="preserve"> </w:t>
      </w:r>
      <w:r>
        <w:rPr>
          <w:rFonts w:hint="eastAsia" w:ascii="宋体" w:hAnsi="宋体" w:eastAsia="宋体" w:cs="宋体"/>
          <w:sz w:val="24"/>
          <w:u w:val="single"/>
        </w:rPr>
        <w:t>按照签约合同价的千分之五向发包人支付违约金</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3.3 承包人人员</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3.3.1 承包人提交项目管理机构及施工现场管理人员安排报告的期限：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合同签订后7天内</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3.3.3 承包人无正当理由拒绝撤换主要施工管理人员的违约责任：</w:t>
      </w:r>
      <w:r>
        <w:rPr>
          <w:rFonts w:hint="eastAsia" w:ascii="宋体" w:hAnsi="宋体" w:eastAsia="宋体" w:cs="宋体"/>
          <w:sz w:val="24"/>
          <w:szCs w:val="32"/>
          <w:u w:val="single"/>
        </w:rPr>
        <w:t xml:space="preserve"> </w:t>
      </w:r>
      <w:r>
        <w:rPr>
          <w:rFonts w:hint="eastAsia" w:ascii="宋体" w:hAnsi="宋体" w:eastAsia="宋体" w:cs="宋体"/>
          <w:sz w:val="24"/>
          <w:u w:val="single"/>
        </w:rPr>
        <w:t>按照签约合同价的千分之一向发包人支付违约金</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u w:val="single"/>
        </w:rPr>
      </w:pPr>
      <w:r>
        <w:rPr>
          <w:rFonts w:hint="eastAsia" w:ascii="宋体" w:hAnsi="宋体" w:eastAsia="宋体" w:cs="宋体"/>
          <w:sz w:val="24"/>
          <w:szCs w:val="32"/>
        </w:rPr>
        <w:t>3.3.4 承包人主要施工管理人员离开施工现场的批准要求：</w:t>
      </w:r>
      <w:bookmarkStart w:id="278" w:name="OLE_LINK59"/>
      <w:r>
        <w:rPr>
          <w:rFonts w:hint="eastAsia" w:ascii="宋体" w:hAnsi="宋体" w:eastAsia="宋体" w:cs="宋体"/>
          <w:sz w:val="24"/>
          <w:szCs w:val="32"/>
          <w:u w:val="single"/>
        </w:rPr>
        <w:t xml:space="preserve"> </w:t>
      </w:r>
      <w:r>
        <w:rPr>
          <w:rFonts w:hint="eastAsia" w:ascii="宋体" w:hAnsi="宋体" w:eastAsia="宋体" w:cs="宋体"/>
          <w:sz w:val="24"/>
          <w:u w:val="single"/>
        </w:rPr>
        <w:t>按通用合同条款第3.3.4项执行</w:t>
      </w:r>
      <w:bookmarkEnd w:id="278"/>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3.3.5承包人擅自更换主要施工管理人员的违约责任：</w:t>
      </w:r>
      <w:r>
        <w:rPr>
          <w:rFonts w:hint="eastAsia" w:ascii="宋体" w:hAnsi="宋体" w:eastAsia="宋体" w:cs="宋体"/>
          <w:sz w:val="24"/>
          <w:szCs w:val="32"/>
          <w:u w:val="single"/>
        </w:rPr>
        <w:t xml:space="preserve"> </w:t>
      </w:r>
      <w:r>
        <w:rPr>
          <w:rFonts w:hint="eastAsia" w:ascii="宋体" w:hAnsi="宋体" w:eastAsia="宋体" w:cs="宋体"/>
          <w:sz w:val="24"/>
          <w:u w:val="single"/>
        </w:rPr>
        <w:t>按照签约合同价的千分之一向发包人支付违约金</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承包人主要施工管理人员擅自离开施工现场的违约责任：</w:t>
      </w:r>
      <w:r>
        <w:rPr>
          <w:rFonts w:hint="eastAsia" w:ascii="宋体" w:hAnsi="宋体" w:eastAsia="宋体" w:cs="宋体"/>
          <w:sz w:val="24"/>
          <w:szCs w:val="32"/>
          <w:u w:val="single"/>
        </w:rPr>
        <w:t xml:space="preserve"> </w:t>
      </w:r>
      <w:r>
        <w:rPr>
          <w:rFonts w:hint="eastAsia" w:ascii="宋体" w:hAnsi="宋体" w:eastAsia="宋体" w:cs="宋体"/>
          <w:sz w:val="24"/>
          <w:u w:val="single"/>
        </w:rPr>
        <w:t>按照签约合同价的千分之一向发包人支付违约金</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3</w:t>
      </w:r>
      <w:bookmarkStart w:id="279" w:name="_Toc312677988"/>
      <w:bookmarkStart w:id="280" w:name="_Toc297216151"/>
      <w:bookmarkStart w:id="281" w:name="_Toc292559869"/>
      <w:bookmarkStart w:id="282" w:name="_Toc296346660"/>
      <w:bookmarkStart w:id="283" w:name="_Toc297048345"/>
      <w:bookmarkStart w:id="284" w:name="_Toc296891199"/>
      <w:bookmarkStart w:id="285" w:name="_Toc296944498"/>
      <w:bookmarkStart w:id="286" w:name="_Toc304295523"/>
      <w:bookmarkStart w:id="287" w:name="_Toc296890987"/>
      <w:bookmarkStart w:id="288" w:name="_Toc296503159"/>
      <w:bookmarkStart w:id="289" w:name="_Toc303539102"/>
      <w:bookmarkStart w:id="290" w:name="_Toc297123492"/>
      <w:bookmarkStart w:id="291" w:name="_Toc296347158"/>
      <w:bookmarkStart w:id="292" w:name="_Toc297120459"/>
      <w:bookmarkStart w:id="293" w:name="_Toc300934945"/>
      <w:bookmarkStart w:id="294" w:name="_Toc292559364"/>
      <w:r>
        <w:rPr>
          <w:rFonts w:hint="eastAsia" w:ascii="宋体" w:hAnsi="宋体" w:eastAsia="宋体" w:cs="宋体"/>
          <w:sz w:val="24"/>
          <w:szCs w:val="32"/>
        </w:rPr>
        <w:t>.5 分包</w:t>
      </w:r>
    </w:p>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3</w:t>
      </w:r>
      <w:bookmarkStart w:id="295" w:name="_Toc296347159"/>
      <w:bookmarkStart w:id="296" w:name="_Toc297216152"/>
      <w:bookmarkStart w:id="297" w:name="_Toc318581158"/>
      <w:bookmarkStart w:id="298" w:name="_Toc303539103"/>
      <w:bookmarkStart w:id="299" w:name="_Toc297123493"/>
      <w:bookmarkStart w:id="300" w:name="_Toc312677989"/>
      <w:bookmarkStart w:id="301" w:name="_Toc292559365"/>
      <w:bookmarkStart w:id="302" w:name="_Toc300934946"/>
      <w:bookmarkStart w:id="303" w:name="_Toc297048346"/>
      <w:bookmarkStart w:id="304" w:name="_Toc304295524"/>
      <w:bookmarkStart w:id="305" w:name="_Toc297120460"/>
      <w:bookmarkStart w:id="306" w:name="_Toc296346661"/>
      <w:bookmarkStart w:id="307" w:name="_Toc296944499"/>
      <w:bookmarkStart w:id="308" w:name="_Toc292559870"/>
      <w:bookmarkStart w:id="309" w:name="_Toc296891200"/>
      <w:bookmarkStart w:id="310" w:name="_Toc296890988"/>
      <w:bookmarkStart w:id="311" w:name="_Toc296503160"/>
      <w:r>
        <w:rPr>
          <w:rFonts w:hint="eastAsia" w:ascii="宋体" w:hAnsi="宋体" w:eastAsia="宋体" w:cs="宋体"/>
          <w:sz w:val="24"/>
          <w:szCs w:val="32"/>
        </w:rPr>
        <w:t>.5.1 分包的一般约定</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禁止分包的工程包括：</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本工程合同的全部内容 </w:t>
      </w:r>
      <w:r>
        <w:rPr>
          <w:rFonts w:hint="eastAsia" w:ascii="宋体" w:hAnsi="宋体" w:eastAsia="宋体" w:cs="宋体"/>
          <w:sz w:val="24"/>
          <w:szCs w:val="32"/>
        </w:rPr>
        <w:t>。</w:t>
      </w:r>
    </w:p>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3.6 工程照管与成品、半成品保护</w:t>
      </w:r>
    </w:p>
    <w:p>
      <w:pPr>
        <w:spacing w:before="120" w:after="120" w:line="460" w:lineRule="exact"/>
        <w:ind w:firstLine="480" w:firstLineChars="200"/>
        <w:rPr>
          <w:rFonts w:ascii="宋体" w:hAnsi="宋体" w:eastAsia="宋体" w:cs="宋体"/>
          <w:kern w:val="0"/>
          <w:sz w:val="24"/>
          <w:szCs w:val="32"/>
          <w:u w:val="single"/>
        </w:rPr>
      </w:pPr>
      <w:r>
        <w:rPr>
          <w:rFonts w:hint="eastAsia" w:ascii="宋体" w:hAnsi="宋体" w:eastAsia="宋体" w:cs="宋体"/>
          <w:kern w:val="0"/>
          <w:sz w:val="24"/>
          <w:szCs w:val="32"/>
        </w:rPr>
        <w:t>承包人负责照管工程及工程相关的材料、工程设备的起始时间：</w:t>
      </w:r>
      <w:bookmarkStart w:id="312" w:name="OLE_LINK68"/>
      <w:r>
        <w:rPr>
          <w:rFonts w:hint="eastAsia" w:ascii="宋体" w:hAnsi="宋体" w:eastAsia="宋体" w:cs="宋体"/>
          <w:kern w:val="0"/>
          <w:sz w:val="24"/>
          <w:szCs w:val="32"/>
          <w:u w:val="single"/>
        </w:rPr>
        <w:t xml:space="preserve"> </w:t>
      </w:r>
      <w:r>
        <w:rPr>
          <w:rFonts w:hint="eastAsia" w:ascii="宋体" w:hAnsi="宋体" w:eastAsia="宋体" w:cs="宋体"/>
          <w:sz w:val="24"/>
          <w:u w:val="single"/>
        </w:rPr>
        <w:t>按通用合同条款第3.6款执行</w:t>
      </w:r>
      <w:bookmarkEnd w:id="312"/>
      <w:r>
        <w:rPr>
          <w:rFonts w:hint="eastAsia" w:ascii="宋体" w:hAnsi="宋体" w:eastAsia="宋体" w:cs="宋体"/>
          <w:sz w:val="24"/>
          <w:u w:val="single"/>
        </w:rPr>
        <w:t xml:space="preserve"> </w:t>
      </w:r>
      <w:r>
        <w:rPr>
          <w:rFonts w:hint="eastAsia" w:ascii="宋体" w:hAnsi="宋体" w:eastAsia="宋体" w:cs="宋体"/>
          <w:sz w:val="24"/>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3.7 履约担保</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承包人是否提供履约担保：</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是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承包人提供履约担保的形式、金额及期限的：</w:t>
      </w:r>
      <w:r>
        <w:rPr>
          <w:rFonts w:hint="eastAsia" w:ascii="宋体" w:hAnsi="宋体" w:eastAsia="宋体" w:cs="宋体"/>
          <w:sz w:val="24"/>
          <w:szCs w:val="32"/>
          <w:u w:val="single"/>
        </w:rPr>
        <w:t xml:space="preserve"> </w:t>
      </w:r>
      <w:r>
        <w:rPr>
          <w:rFonts w:hint="eastAsia" w:ascii="宋体" w:hAnsi="宋体" w:eastAsia="宋体" w:cs="宋体"/>
          <w:sz w:val="24"/>
          <w:u w:val="single"/>
        </w:rPr>
        <w:t>承包方在本合同签订时应向发包方交纳数额为签约合同价的10%作为履约保证金，其中质量保证金、工期保证金和文明施工保证金各占三分之一。履约保证金待工程验收完毕，结合合同的履行情况，1个月内归还</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pStyle w:val="6"/>
        <w:spacing w:before="120" w:after="120" w:line="460" w:lineRule="exact"/>
        <w:rPr>
          <w:rFonts w:ascii="宋体" w:hAnsi="宋体" w:eastAsia="宋体" w:cs="宋体"/>
          <w:b w:val="0"/>
          <w:sz w:val="24"/>
          <w:szCs w:val="32"/>
        </w:rPr>
      </w:pPr>
      <w:bookmarkStart w:id="313" w:name="_Toc351203636"/>
      <w:r>
        <w:rPr>
          <w:rFonts w:hint="eastAsia" w:ascii="宋体" w:hAnsi="宋体" w:eastAsia="宋体" w:cs="宋体"/>
          <w:b w:val="0"/>
          <w:sz w:val="24"/>
          <w:szCs w:val="32"/>
        </w:rPr>
        <w:t>4</w:t>
      </w:r>
      <w:bookmarkStart w:id="314" w:name="_Toc297120462"/>
      <w:bookmarkStart w:id="315" w:name="_Toc296890990"/>
      <w:bookmarkStart w:id="316" w:name="_Toc296891202"/>
      <w:bookmarkStart w:id="317" w:name="_Toc292559366"/>
      <w:bookmarkStart w:id="318" w:name="_Toc296503162"/>
      <w:bookmarkStart w:id="319" w:name="_Toc296347161"/>
      <w:bookmarkStart w:id="320" w:name="_Toc297048348"/>
      <w:bookmarkStart w:id="321" w:name="_Toc296346663"/>
      <w:bookmarkStart w:id="322" w:name="_Toc292559871"/>
      <w:bookmarkStart w:id="323" w:name="_Toc267251413"/>
      <w:bookmarkStart w:id="324" w:name="_Toc296944501"/>
      <w:r>
        <w:rPr>
          <w:rFonts w:hint="eastAsia" w:ascii="宋体" w:hAnsi="宋体" w:eastAsia="宋体" w:cs="宋体"/>
          <w:b w:val="0"/>
          <w:sz w:val="24"/>
          <w:szCs w:val="32"/>
        </w:rPr>
        <w:t>. 监</w:t>
      </w:r>
      <w:bookmarkEnd w:id="314"/>
      <w:bookmarkEnd w:id="315"/>
      <w:bookmarkEnd w:id="316"/>
      <w:bookmarkEnd w:id="317"/>
      <w:bookmarkEnd w:id="318"/>
      <w:bookmarkEnd w:id="319"/>
      <w:bookmarkEnd w:id="320"/>
      <w:bookmarkEnd w:id="321"/>
      <w:bookmarkEnd w:id="322"/>
      <w:bookmarkEnd w:id="323"/>
      <w:bookmarkEnd w:id="324"/>
      <w:r>
        <w:rPr>
          <w:rFonts w:hint="eastAsia" w:ascii="宋体" w:hAnsi="宋体" w:eastAsia="宋体" w:cs="宋体"/>
          <w:b w:val="0"/>
          <w:sz w:val="24"/>
          <w:szCs w:val="32"/>
        </w:rPr>
        <w:t>理人</w:t>
      </w:r>
      <w:bookmarkEnd w:id="313"/>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4.1监理人的一般规定</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关于监理人的监理内容：</w:t>
      </w:r>
      <w:r>
        <w:rPr>
          <w:rFonts w:hint="eastAsia" w:ascii="宋体" w:hAnsi="宋体" w:eastAsia="宋体" w:cs="宋体"/>
          <w:sz w:val="24"/>
          <w:szCs w:val="32"/>
          <w:u w:val="single"/>
        </w:rPr>
        <w:t xml:space="preserve">  </w:t>
      </w:r>
      <w:r>
        <w:rPr>
          <w:rFonts w:hint="eastAsia" w:ascii="宋体" w:hAnsi="宋体" w:eastAsia="宋体" w:cs="宋体"/>
          <w:sz w:val="24"/>
          <w:u w:val="single"/>
        </w:rPr>
        <w:t>按工程监理合同执行</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关于监理人的监理权限：</w:t>
      </w:r>
      <w:r>
        <w:rPr>
          <w:rFonts w:hint="eastAsia" w:ascii="宋体" w:hAnsi="宋体" w:eastAsia="宋体" w:cs="宋体"/>
          <w:sz w:val="24"/>
          <w:szCs w:val="32"/>
          <w:u w:val="single"/>
        </w:rPr>
        <w:t xml:space="preserve">  </w:t>
      </w:r>
      <w:r>
        <w:rPr>
          <w:rFonts w:hint="eastAsia" w:ascii="宋体" w:hAnsi="宋体" w:eastAsia="宋体" w:cs="宋体"/>
          <w:sz w:val="24"/>
          <w:u w:val="single"/>
        </w:rPr>
        <w:t>按工程监理合同执行</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关于监理人在施工现场的办公场所、生活场所的提供和费用承担的约定：</w:t>
      </w:r>
      <w:r>
        <w:rPr>
          <w:rFonts w:hint="eastAsia" w:ascii="宋体" w:hAnsi="宋体" w:eastAsia="宋体" w:cs="宋体"/>
          <w:sz w:val="24"/>
          <w:szCs w:val="32"/>
          <w:u w:val="single"/>
        </w:rPr>
        <w:t xml:space="preserve"> </w:t>
      </w:r>
      <w:r>
        <w:rPr>
          <w:rFonts w:hint="eastAsia" w:ascii="宋体" w:hAnsi="宋体" w:eastAsia="宋体" w:cs="宋体"/>
          <w:sz w:val="24"/>
          <w:u w:val="single"/>
        </w:rPr>
        <w:t>按工程监理合同执行</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4.2 监理人员</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总监理工程师：</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姓    名：</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      </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职    务：</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          </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监理工程师执业资格证书号：</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           </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联系电话：</w:t>
      </w:r>
      <w:r>
        <w:rPr>
          <w:rFonts w:hint="eastAsia" w:ascii="宋体" w:hAnsi="宋体" w:eastAsia="宋体" w:cs="宋体"/>
          <w:sz w:val="24"/>
          <w:szCs w:val="32"/>
          <w:u w:val="single"/>
        </w:rPr>
        <w:t>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电子信箱：</w:t>
      </w:r>
      <w:r>
        <w:rPr>
          <w:rFonts w:hint="eastAsia" w:ascii="宋体" w:hAnsi="宋体" w:eastAsia="宋体" w:cs="宋体"/>
          <w:sz w:val="24"/>
          <w:szCs w:val="32"/>
          <w:u w:val="single"/>
        </w:rPr>
        <w:t>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通信地址：</w:t>
      </w:r>
      <w:r>
        <w:rPr>
          <w:rFonts w:hint="eastAsia" w:ascii="宋体" w:hAnsi="宋体" w:eastAsia="宋体" w:cs="宋体"/>
          <w:sz w:val="24"/>
          <w:szCs w:val="32"/>
          <w:u w:val="single"/>
        </w:rPr>
        <w:t>   </w:t>
      </w:r>
      <w:r>
        <w:rPr>
          <w:rFonts w:hint="eastAsia" w:ascii="宋体" w:hAnsi="宋体" w:eastAsia="宋体" w:cs="宋体"/>
          <w:sz w:val="24"/>
          <w:szCs w:val="32"/>
        </w:rPr>
        <w:t>；</w:t>
      </w:r>
    </w:p>
    <w:p>
      <w:pPr>
        <w:spacing w:line="460" w:lineRule="exact"/>
        <w:ind w:firstLine="480" w:firstLineChars="200"/>
        <w:rPr>
          <w:rFonts w:ascii="宋体" w:hAnsi="宋体" w:eastAsia="宋体" w:cs="宋体"/>
          <w:sz w:val="24"/>
          <w:szCs w:val="32"/>
        </w:rPr>
      </w:pPr>
      <w:r>
        <w:rPr>
          <w:rFonts w:hint="eastAsia" w:ascii="宋体" w:hAnsi="宋体" w:eastAsia="宋体" w:cs="宋体"/>
          <w:sz w:val="24"/>
          <w:szCs w:val="32"/>
        </w:rPr>
        <w:t>关于监理人的其他约定：</w:t>
      </w:r>
      <w:r>
        <w:rPr>
          <w:rFonts w:hint="eastAsia" w:ascii="宋体" w:hAnsi="宋体" w:eastAsia="宋体" w:cs="宋体"/>
          <w:sz w:val="24"/>
          <w:szCs w:val="32"/>
          <w:u w:val="single"/>
        </w:rPr>
        <w:t xml:space="preserve"> </w:t>
      </w:r>
      <w:r>
        <w:rPr>
          <w:rFonts w:hint="eastAsia" w:ascii="宋体" w:hAnsi="宋体" w:eastAsia="宋体" w:cs="宋体"/>
          <w:sz w:val="24"/>
          <w:u w:val="single"/>
        </w:rPr>
        <w:t>按工程监理合同执行</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pStyle w:val="6"/>
        <w:spacing w:before="120" w:after="120" w:line="460" w:lineRule="exact"/>
        <w:rPr>
          <w:rFonts w:ascii="宋体" w:hAnsi="宋体" w:eastAsia="宋体" w:cs="宋体"/>
          <w:b w:val="0"/>
          <w:sz w:val="24"/>
          <w:szCs w:val="32"/>
        </w:rPr>
      </w:pPr>
      <w:bookmarkStart w:id="325" w:name="_Toc267251418"/>
      <w:bookmarkStart w:id="326" w:name="_Toc351203637"/>
      <w:r>
        <w:rPr>
          <w:rFonts w:hint="eastAsia" w:ascii="宋体" w:hAnsi="宋体" w:eastAsia="宋体" w:cs="宋体"/>
          <w:b w:val="0"/>
          <w:sz w:val="24"/>
          <w:szCs w:val="32"/>
        </w:rPr>
        <w:t>5</w:t>
      </w:r>
      <w:bookmarkEnd w:id="325"/>
      <w:bookmarkStart w:id="327" w:name="_Toc297120463"/>
      <w:bookmarkStart w:id="328" w:name="_Toc296944502"/>
      <w:bookmarkStart w:id="329" w:name="_Toc296503163"/>
      <w:bookmarkStart w:id="330" w:name="_Toc297048349"/>
      <w:bookmarkStart w:id="331" w:name="_Toc292559367"/>
      <w:bookmarkStart w:id="332" w:name="_Toc296890991"/>
      <w:bookmarkStart w:id="333" w:name="_Toc296891203"/>
      <w:bookmarkStart w:id="334" w:name="_Toc292559872"/>
      <w:bookmarkStart w:id="335" w:name="_Toc296346664"/>
      <w:bookmarkStart w:id="336" w:name="_Toc296347162"/>
      <w:r>
        <w:rPr>
          <w:rFonts w:hint="eastAsia" w:ascii="宋体" w:hAnsi="宋体" w:eastAsia="宋体" w:cs="宋体"/>
          <w:b w:val="0"/>
          <w:sz w:val="24"/>
          <w:szCs w:val="32"/>
        </w:rPr>
        <w:t>. 工程质量</w:t>
      </w:r>
      <w:bookmarkEnd w:id="326"/>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5.1 质量要求</w:t>
      </w:r>
    </w:p>
    <w:p>
      <w:pPr>
        <w:pStyle w:val="40"/>
        <w:overflowPunct w:val="0"/>
        <w:autoSpaceDE w:val="0"/>
        <w:autoSpaceDN w:val="0"/>
        <w:adjustRightInd w:val="0"/>
        <w:snapToGrid w:val="0"/>
        <w:spacing w:line="360" w:lineRule="auto"/>
        <w:ind w:firstLine="480" w:firstLineChars="200"/>
        <w:rPr>
          <w:rFonts w:ascii="宋体" w:hAnsi="宋体" w:cs="宋体"/>
          <w:b/>
          <w:szCs w:val="21"/>
          <w:u w:val="single"/>
        </w:rPr>
      </w:pPr>
      <w:r>
        <w:rPr>
          <w:rFonts w:hint="eastAsia" w:ascii="宋体" w:hAnsi="宋体" w:cs="宋体"/>
          <w:sz w:val="24"/>
          <w:szCs w:val="32"/>
        </w:rPr>
        <w:t>5</w:t>
      </w:r>
      <w:bookmarkStart w:id="337" w:name="_Toc303539106"/>
      <w:bookmarkStart w:id="338" w:name="_Toc297216155"/>
      <w:bookmarkStart w:id="339" w:name="_Toc312677997"/>
      <w:bookmarkStart w:id="340" w:name="_Toc318581164"/>
      <w:bookmarkStart w:id="341" w:name="_Toc297123496"/>
      <w:bookmarkStart w:id="342" w:name="_Toc304295527"/>
      <w:bookmarkStart w:id="343" w:name="_Toc300934949"/>
      <w:r>
        <w:rPr>
          <w:rFonts w:hint="eastAsia" w:ascii="宋体" w:hAnsi="宋体" w:cs="宋体"/>
          <w:sz w:val="24"/>
          <w:szCs w:val="32"/>
        </w:rPr>
        <w:t>.1.1 特殊质量标准和要求：</w:t>
      </w:r>
      <w:bookmarkStart w:id="344" w:name="OLE_LINK76"/>
      <w:r>
        <w:rPr>
          <w:rFonts w:hint="eastAsia" w:ascii="宋体" w:hAnsi="宋体" w:cs="宋体"/>
          <w:sz w:val="24"/>
          <w:szCs w:val="32"/>
          <w:u w:val="single"/>
        </w:rPr>
        <w:t xml:space="preserve"> </w:t>
      </w:r>
      <w:r>
        <w:rPr>
          <w:rFonts w:hint="eastAsia" w:ascii="宋体" w:hAnsi="宋体" w:cs="宋体"/>
          <w:sz w:val="24"/>
          <w:u w:val="single"/>
        </w:rPr>
        <w:t xml:space="preserve">1、在各分部分项工程施工前，发包人将委托监理人审核承包人的技术交底情况，检查各项准备工作，包括但不限于操作人员的上岗证、各种材料的质保书、出厂合格证、取样复试、机械器具的准用证等。2、工程应达到工程施工质量验收规范标准，工程资料应满足职能部门的验收要求，并确保顺利通过验收。如承包人未及时提供竣工验收资料造成发包人不能及时备案而受到政府处罚的，该罚金由承包人承担，在工程结算款中扣除 </w:t>
      </w:r>
      <w:r>
        <w:rPr>
          <w:rFonts w:hint="eastAsia" w:ascii="宋体" w:hAnsi="宋体" w:cs="宋体"/>
          <w:sz w:val="24"/>
        </w:rPr>
        <w:t>。</w:t>
      </w:r>
    </w:p>
    <w:bookmarkEnd w:id="344"/>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关于工程奖项的约定：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5.3 隐蔽工程检查</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5.3.2承包人提前通知监理人隐蔽工程检查的期限的约定：</w:t>
      </w:r>
      <w:bookmarkStart w:id="345" w:name="OLE_LINK78"/>
      <w:r>
        <w:rPr>
          <w:rFonts w:hint="eastAsia" w:ascii="宋体" w:hAnsi="宋体" w:eastAsia="宋体" w:cs="宋体"/>
          <w:sz w:val="24"/>
          <w:szCs w:val="32"/>
          <w:u w:val="single"/>
        </w:rPr>
        <w:t xml:space="preserve"> </w:t>
      </w:r>
      <w:r>
        <w:rPr>
          <w:rFonts w:hint="eastAsia" w:ascii="宋体" w:hAnsi="宋体" w:eastAsia="宋体" w:cs="宋体"/>
          <w:sz w:val="24"/>
          <w:u w:val="single"/>
        </w:rPr>
        <w:t>承包人应在共同检查前48小时书面通知监理人检查，通知中应载明隐蔽检查的内容、时间和地点，并应附有自检记录和必要的检查资料</w:t>
      </w:r>
      <w:bookmarkEnd w:id="345"/>
      <w:r>
        <w:rPr>
          <w:rFonts w:hint="eastAsia" w:ascii="宋体" w:hAnsi="宋体" w:eastAsia="宋体" w:cs="宋体"/>
          <w:sz w:val="24"/>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监理人不能按时进行检查时，应提前</w:t>
      </w:r>
      <w:r>
        <w:rPr>
          <w:rFonts w:hint="eastAsia" w:ascii="宋体" w:hAnsi="宋体" w:eastAsia="宋体" w:cs="宋体"/>
          <w:sz w:val="24"/>
          <w:szCs w:val="32"/>
          <w:u w:val="single"/>
        </w:rPr>
        <w:t xml:space="preserve"> </w:t>
      </w:r>
      <w:r>
        <w:rPr>
          <w:rFonts w:hint="eastAsia" w:ascii="宋体" w:hAnsi="宋体" w:eastAsia="宋体" w:cs="宋体"/>
          <w:sz w:val="24"/>
          <w:u w:val="single"/>
        </w:rPr>
        <w:t>24</w:t>
      </w:r>
      <w:r>
        <w:rPr>
          <w:rFonts w:hint="eastAsia" w:ascii="宋体" w:hAnsi="宋体" w:eastAsia="宋体" w:cs="宋体"/>
          <w:sz w:val="24"/>
          <w:szCs w:val="32"/>
          <w:u w:val="single"/>
        </w:rPr>
        <w:t xml:space="preserve"> </w:t>
      </w:r>
      <w:r>
        <w:rPr>
          <w:rFonts w:hint="eastAsia" w:ascii="宋体" w:hAnsi="宋体" w:eastAsia="宋体" w:cs="宋体"/>
          <w:sz w:val="24"/>
          <w:szCs w:val="32"/>
        </w:rPr>
        <w:t>小时提交书面延期要求。</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关于延期最长不得超过：</w:t>
      </w:r>
      <w:r>
        <w:rPr>
          <w:rFonts w:hint="eastAsia" w:ascii="宋体" w:hAnsi="宋体" w:eastAsia="宋体" w:cs="宋体"/>
          <w:sz w:val="24"/>
          <w:szCs w:val="32"/>
          <w:u w:val="single"/>
        </w:rPr>
        <w:t xml:space="preserve"> 48 </w:t>
      </w:r>
      <w:r>
        <w:rPr>
          <w:rFonts w:hint="eastAsia" w:ascii="宋体" w:hAnsi="宋体" w:eastAsia="宋体" w:cs="宋体"/>
          <w:sz w:val="24"/>
          <w:szCs w:val="32"/>
        </w:rPr>
        <w:t>小时。</w:t>
      </w:r>
    </w:p>
    <w:p>
      <w:pPr>
        <w:pStyle w:val="6"/>
        <w:spacing w:before="120" w:after="120" w:line="460" w:lineRule="exact"/>
        <w:rPr>
          <w:rFonts w:ascii="宋体" w:hAnsi="宋体" w:eastAsia="宋体" w:cs="宋体"/>
          <w:b w:val="0"/>
          <w:sz w:val="24"/>
          <w:szCs w:val="32"/>
        </w:rPr>
      </w:pPr>
      <w:bookmarkStart w:id="346" w:name="_Toc351203638"/>
      <w:r>
        <w:rPr>
          <w:rFonts w:hint="eastAsia" w:ascii="宋体" w:hAnsi="宋体" w:eastAsia="宋体" w:cs="宋体"/>
          <w:b w:val="0"/>
          <w:sz w:val="24"/>
          <w:szCs w:val="32"/>
        </w:rPr>
        <w:t>6. 安全文明施工与环境保护</w:t>
      </w:r>
      <w:bookmarkEnd w:id="346"/>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6.1安全文明施工</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6.1.1 项目安全生产的达标目标及相应事项的约定：</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施工现场按照《建筑施工安全检查标准》（JGJ59-2011）评定达到“合格”标准 </w:t>
      </w:r>
      <w:r>
        <w:rPr>
          <w:rFonts w:hint="eastAsia" w:ascii="宋体" w:hAnsi="宋体" w:eastAsia="宋体" w:cs="宋体"/>
          <w:sz w:val="24"/>
          <w:szCs w:val="32"/>
        </w:rPr>
        <w:t>。</w:t>
      </w:r>
    </w:p>
    <w:p>
      <w:pPr>
        <w:spacing w:line="440" w:lineRule="exact"/>
        <w:ind w:firstLine="480" w:firstLineChars="200"/>
        <w:rPr>
          <w:rFonts w:ascii="宋体" w:hAnsi="宋体" w:eastAsia="宋体" w:cs="宋体"/>
          <w:kern w:val="0"/>
          <w:sz w:val="24"/>
          <w:u w:val="single"/>
        </w:rPr>
      </w:pPr>
      <w:r>
        <w:rPr>
          <w:rFonts w:hint="eastAsia" w:ascii="宋体" w:hAnsi="宋体" w:eastAsia="宋体" w:cs="宋体"/>
          <w:sz w:val="24"/>
          <w:szCs w:val="32"/>
        </w:rPr>
        <w:t>6.1.4 关于治安保卫的特别约定：</w:t>
      </w:r>
      <w:r>
        <w:rPr>
          <w:rFonts w:hint="eastAsia" w:ascii="宋体" w:hAnsi="宋体" w:eastAsia="宋体" w:cs="宋体"/>
          <w:sz w:val="24"/>
          <w:szCs w:val="32"/>
          <w:u w:val="single"/>
        </w:rPr>
        <w:t xml:space="preserve"> </w:t>
      </w:r>
      <w:r>
        <w:rPr>
          <w:rFonts w:hint="eastAsia" w:ascii="宋体" w:hAnsi="宋体" w:eastAsia="宋体" w:cs="宋体"/>
          <w:sz w:val="24"/>
          <w:u w:val="single"/>
        </w:rPr>
        <w:t>按照</w:t>
      </w:r>
      <w:r>
        <w:rPr>
          <w:rFonts w:hint="eastAsia" w:ascii="宋体" w:hAnsi="宋体" w:eastAsia="宋体" w:cs="宋体"/>
          <w:kern w:val="0"/>
          <w:sz w:val="24"/>
          <w:u w:val="single"/>
        </w:rPr>
        <w:t>《浙江大学校园治安管理规定》浙大发保</w:t>
      </w:r>
      <w:r>
        <w:rPr>
          <w:rFonts w:hint="eastAsia" w:ascii="宋体" w:hAnsi="宋体" w:eastAsia="宋体" w:cs="宋体"/>
          <w:kern w:val="0"/>
          <w:sz w:val="24"/>
          <w:szCs w:val="32"/>
          <w:u w:val="single"/>
        </w:rPr>
        <w:t>〔2012〕</w:t>
      </w:r>
      <w:r>
        <w:rPr>
          <w:rFonts w:hint="eastAsia" w:ascii="宋体" w:hAnsi="宋体" w:eastAsia="宋体" w:cs="宋体"/>
          <w:kern w:val="0"/>
          <w:sz w:val="24"/>
          <w:u w:val="single"/>
        </w:rPr>
        <w:t>2号文件执行</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关于编制施工场地治安管理计划的约定：</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由承包人在工程开工后7天内编制施工场地治安管理计划，并制定应对突发治安事件的紧急预案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6.1.5 文明施工</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合同当事人对文明施工的要求：</w:t>
      </w:r>
      <w:r>
        <w:rPr>
          <w:rFonts w:hint="eastAsia" w:ascii="宋体" w:hAnsi="宋体" w:eastAsia="宋体" w:cs="宋体"/>
          <w:sz w:val="24"/>
          <w:szCs w:val="32"/>
          <w:u w:val="single"/>
        </w:rPr>
        <w:t xml:space="preserve"> </w:t>
      </w:r>
      <w:r>
        <w:rPr>
          <w:rFonts w:hint="eastAsia" w:ascii="宋体" w:hAnsi="宋体" w:eastAsia="宋体" w:cs="宋体"/>
          <w:sz w:val="24"/>
          <w:u w:val="single"/>
        </w:rPr>
        <w:t>按照《杭州市建筑工程施工场地文明管理规定》要求执行</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6.1.6 关于安全文明施工费支付比例和支付期限的约定：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bookmarkEnd w:id="337"/>
    <w:bookmarkEnd w:id="338"/>
    <w:bookmarkEnd w:id="339"/>
    <w:bookmarkEnd w:id="340"/>
    <w:bookmarkEnd w:id="341"/>
    <w:bookmarkEnd w:id="342"/>
    <w:bookmarkEnd w:id="343"/>
    <w:p>
      <w:pPr>
        <w:pStyle w:val="6"/>
        <w:spacing w:before="120" w:after="120" w:line="460" w:lineRule="exact"/>
        <w:rPr>
          <w:rFonts w:ascii="宋体" w:hAnsi="宋体" w:eastAsia="宋体" w:cs="宋体"/>
          <w:b w:val="0"/>
          <w:sz w:val="24"/>
          <w:szCs w:val="32"/>
        </w:rPr>
      </w:pPr>
      <w:bookmarkStart w:id="347" w:name="_Toc351203639"/>
      <w:r>
        <w:rPr>
          <w:rFonts w:hint="eastAsia" w:ascii="宋体" w:hAnsi="宋体" w:eastAsia="宋体" w:cs="宋体"/>
          <w:b w:val="0"/>
          <w:sz w:val="24"/>
          <w:szCs w:val="32"/>
        </w:rPr>
        <w:t>7. 工期和进度</w:t>
      </w:r>
      <w:bookmarkEnd w:id="347"/>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7.1 施工组织设计</w:t>
      </w:r>
    </w:p>
    <w:p>
      <w:pPr>
        <w:autoSpaceDE w:val="0"/>
        <w:autoSpaceDN w:val="0"/>
        <w:spacing w:line="460" w:lineRule="exact"/>
        <w:ind w:firstLine="480" w:firstLineChars="200"/>
        <w:jc w:val="left"/>
        <w:rPr>
          <w:rFonts w:ascii="宋体" w:hAnsi="宋体" w:eastAsia="宋体" w:cs="宋体"/>
          <w:kern w:val="0"/>
          <w:sz w:val="24"/>
          <w:szCs w:val="32"/>
        </w:rPr>
      </w:pPr>
      <w:r>
        <w:rPr>
          <w:rFonts w:hint="eastAsia" w:ascii="宋体" w:hAnsi="宋体" w:eastAsia="宋体" w:cs="宋体"/>
          <w:sz w:val="24"/>
          <w:szCs w:val="32"/>
        </w:rPr>
        <w:t>7.1.1 合</w:t>
      </w:r>
      <w:r>
        <w:rPr>
          <w:rFonts w:hint="eastAsia" w:ascii="宋体" w:hAnsi="宋体" w:eastAsia="宋体" w:cs="宋体"/>
          <w:kern w:val="0"/>
          <w:sz w:val="24"/>
          <w:szCs w:val="32"/>
        </w:rPr>
        <w:t>同当事人约定的施工组织设计应包括的其他内容：</w:t>
      </w:r>
      <w:r>
        <w:rPr>
          <w:rFonts w:hint="eastAsia" w:ascii="宋体" w:hAnsi="宋体" w:eastAsia="宋体" w:cs="宋体"/>
          <w:sz w:val="24"/>
          <w:szCs w:val="32"/>
          <w:u w:val="single"/>
        </w:rPr>
        <w:t xml:space="preserve"> 专项施工方案等 </w:t>
      </w:r>
      <w:r>
        <w:rPr>
          <w:rFonts w:hint="eastAsia" w:ascii="宋体" w:hAnsi="宋体" w:eastAsia="宋体" w:cs="宋体"/>
          <w:sz w:val="24"/>
          <w:szCs w:val="32"/>
        </w:rPr>
        <w:t>。</w:t>
      </w:r>
    </w:p>
    <w:p>
      <w:pPr>
        <w:autoSpaceDE w:val="0"/>
        <w:autoSpaceDN w:val="0"/>
        <w:spacing w:line="460" w:lineRule="exact"/>
        <w:ind w:firstLine="480" w:firstLineChars="200"/>
        <w:jc w:val="left"/>
        <w:rPr>
          <w:rFonts w:ascii="宋体" w:hAnsi="宋体" w:eastAsia="宋体" w:cs="宋体"/>
          <w:kern w:val="0"/>
          <w:sz w:val="24"/>
          <w:szCs w:val="32"/>
        </w:rPr>
      </w:pPr>
      <w:r>
        <w:rPr>
          <w:rFonts w:hint="eastAsia" w:ascii="宋体" w:hAnsi="宋体" w:eastAsia="宋体" w:cs="宋体"/>
          <w:sz w:val="24"/>
          <w:szCs w:val="32"/>
        </w:rPr>
        <w:t xml:space="preserve">7.1.2 </w:t>
      </w:r>
      <w:r>
        <w:rPr>
          <w:rFonts w:hint="eastAsia" w:ascii="宋体" w:hAnsi="宋体" w:eastAsia="宋体" w:cs="宋体"/>
          <w:kern w:val="0"/>
          <w:sz w:val="24"/>
          <w:szCs w:val="32"/>
        </w:rPr>
        <w:t>施工组织设计的提交和修改</w:t>
      </w:r>
    </w:p>
    <w:p>
      <w:pPr>
        <w:autoSpaceDE w:val="0"/>
        <w:autoSpaceDN w:val="0"/>
        <w:spacing w:line="460" w:lineRule="exact"/>
        <w:ind w:firstLine="480" w:firstLineChars="200"/>
        <w:jc w:val="left"/>
        <w:rPr>
          <w:rFonts w:ascii="宋体" w:hAnsi="宋体" w:eastAsia="宋体" w:cs="宋体"/>
          <w:sz w:val="24"/>
          <w:szCs w:val="32"/>
        </w:rPr>
      </w:pPr>
      <w:r>
        <w:rPr>
          <w:rFonts w:hint="eastAsia" w:ascii="宋体" w:hAnsi="宋体" w:eastAsia="宋体" w:cs="宋体"/>
          <w:kern w:val="0"/>
          <w:sz w:val="24"/>
          <w:szCs w:val="32"/>
        </w:rPr>
        <w:t>承包人提交详细施工组织设计的期限的约定：</w:t>
      </w:r>
      <w:r>
        <w:rPr>
          <w:rFonts w:hint="eastAsia" w:ascii="宋体" w:hAnsi="宋体" w:eastAsia="宋体" w:cs="宋体"/>
          <w:sz w:val="24"/>
          <w:szCs w:val="32"/>
          <w:u w:val="single"/>
        </w:rPr>
        <w:t xml:space="preserve"> </w:t>
      </w:r>
      <w:r>
        <w:rPr>
          <w:rFonts w:hint="eastAsia" w:ascii="宋体" w:hAnsi="宋体" w:eastAsia="宋体" w:cs="宋体"/>
          <w:kern w:val="0"/>
          <w:sz w:val="24"/>
          <w:u w:val="single"/>
        </w:rPr>
        <w:t xml:space="preserve">开工日期前7天，向监理人提交详细的施工组织设计，并由监理人报送发包人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发包人和监理人在收到详细的施工组织设计后确认或提出修改意见的期限：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收到后7天内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7</w:t>
      </w:r>
      <w:bookmarkStart w:id="348" w:name="_Toc300934966"/>
      <w:bookmarkStart w:id="349" w:name="_Toc312678005"/>
      <w:bookmarkStart w:id="350" w:name="_Toc297216173"/>
      <w:bookmarkStart w:id="351" w:name="_Toc312677479"/>
      <w:bookmarkStart w:id="352" w:name="_Toc303539123"/>
      <w:bookmarkStart w:id="353" w:name="_Toc297123514"/>
      <w:bookmarkStart w:id="354" w:name="_Toc304295541"/>
      <w:r>
        <w:rPr>
          <w:rFonts w:hint="eastAsia" w:ascii="宋体" w:hAnsi="宋体" w:eastAsia="宋体" w:cs="宋体"/>
          <w:sz w:val="24"/>
          <w:szCs w:val="32"/>
        </w:rPr>
        <w:t>.2 施工进度计划</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7.2.2 施工进度计划的修订</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发包人和监理人在收到修订的施工进度计划后确认或提出修改意见的期限：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收到后7天内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7.3 开工</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7.3.1 开工准备</w:t>
      </w:r>
    </w:p>
    <w:p>
      <w:pPr>
        <w:spacing w:line="460" w:lineRule="exact"/>
        <w:ind w:firstLine="480" w:firstLineChars="200"/>
        <w:jc w:val="left"/>
        <w:rPr>
          <w:rFonts w:ascii="宋体" w:hAnsi="宋体" w:eastAsia="宋体" w:cs="宋体"/>
          <w:sz w:val="24"/>
          <w:szCs w:val="32"/>
          <w:u w:val="single"/>
        </w:rPr>
      </w:pPr>
      <w:r>
        <w:rPr>
          <w:rFonts w:hint="eastAsia" w:ascii="宋体" w:hAnsi="宋体" w:eastAsia="宋体" w:cs="宋体"/>
          <w:sz w:val="24"/>
          <w:szCs w:val="32"/>
        </w:rPr>
        <w:t>关于承包人提交</w:t>
      </w:r>
      <w:r>
        <w:rPr>
          <w:rFonts w:hint="eastAsia" w:ascii="宋体" w:hAnsi="宋体" w:eastAsia="宋体" w:cs="宋体"/>
          <w:kern w:val="0"/>
          <w:sz w:val="24"/>
          <w:szCs w:val="32"/>
        </w:rPr>
        <w:t>工程开工报审表的期限：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开工前3天</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关于发包人应完成的其他开工准备工作及期限：</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开工前7天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关于承包人应完成的其他开工准备工作及期限：</w:t>
      </w:r>
      <w:r>
        <w:rPr>
          <w:rFonts w:hint="eastAsia" w:ascii="宋体" w:hAnsi="宋体" w:eastAsia="宋体" w:cs="宋体"/>
          <w:sz w:val="24"/>
          <w:szCs w:val="32"/>
          <w:u w:val="single"/>
        </w:rPr>
        <w:t xml:space="preserve"> </w:t>
      </w:r>
      <w:r>
        <w:rPr>
          <w:rFonts w:hint="eastAsia" w:ascii="宋体" w:hAnsi="宋体" w:eastAsia="宋体" w:cs="宋体"/>
          <w:sz w:val="24"/>
          <w:u w:val="single"/>
        </w:rPr>
        <w:t>开工前7天</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7.3.2开工通知</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因发包人原因造成监理人未能在计划开工日期之日起</w:t>
      </w:r>
      <w:r>
        <w:rPr>
          <w:rFonts w:hint="eastAsia" w:ascii="宋体" w:hAnsi="宋体" w:eastAsia="宋体" w:cs="宋体"/>
          <w:sz w:val="24"/>
          <w:szCs w:val="32"/>
          <w:u w:val="single"/>
        </w:rPr>
        <w:t xml:space="preserve"> 180 </w:t>
      </w:r>
      <w:r>
        <w:rPr>
          <w:rFonts w:hint="eastAsia" w:ascii="宋体" w:hAnsi="宋体" w:eastAsia="宋体" w:cs="宋体"/>
          <w:sz w:val="24"/>
          <w:szCs w:val="32"/>
        </w:rPr>
        <w:t>天内发出开工通知的，承包人有权提出价格调整要求，或者解除合同。</w:t>
      </w:r>
    </w:p>
    <w:bookmarkEnd w:id="348"/>
    <w:bookmarkEnd w:id="349"/>
    <w:bookmarkEnd w:id="350"/>
    <w:bookmarkEnd w:id="351"/>
    <w:bookmarkEnd w:id="352"/>
    <w:bookmarkEnd w:id="353"/>
    <w:bookmarkEnd w:id="354"/>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7.4 测量放线</w:t>
      </w:r>
    </w:p>
    <w:p>
      <w:pPr>
        <w:spacing w:line="460" w:lineRule="exact"/>
        <w:ind w:firstLine="480" w:firstLineChars="200"/>
        <w:jc w:val="left"/>
        <w:rPr>
          <w:rFonts w:ascii="宋体" w:hAnsi="宋体" w:eastAsia="宋体" w:cs="宋体"/>
          <w:sz w:val="24"/>
          <w:szCs w:val="32"/>
          <w:u w:val="single"/>
        </w:rPr>
      </w:pPr>
      <w:r>
        <w:rPr>
          <w:rFonts w:hint="eastAsia" w:ascii="宋体" w:hAnsi="宋体" w:eastAsia="宋体" w:cs="宋体"/>
          <w:sz w:val="24"/>
          <w:szCs w:val="32"/>
        </w:rPr>
        <w:t>7.4.1发包人通过监理人向承包人提供测量基准点、基准线和水准点及其书面资料的期限：</w:t>
      </w:r>
      <w:r>
        <w:rPr>
          <w:rFonts w:hint="eastAsia" w:ascii="宋体" w:hAnsi="宋体" w:eastAsia="宋体" w:cs="宋体"/>
          <w:sz w:val="24"/>
          <w:szCs w:val="32"/>
          <w:u w:val="single"/>
        </w:rPr>
        <w:t xml:space="preserve"> </w:t>
      </w:r>
      <w:r>
        <w:rPr>
          <w:rFonts w:hint="eastAsia" w:ascii="宋体" w:hAnsi="宋体" w:eastAsia="宋体" w:cs="宋体"/>
          <w:kern w:val="0"/>
          <w:sz w:val="24"/>
          <w:u w:val="single"/>
        </w:rPr>
        <w:t xml:space="preserve">按通用合同条款第7.4.1项执行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7</w:t>
      </w:r>
      <w:bookmarkStart w:id="355" w:name="_Toc304295546"/>
      <w:bookmarkStart w:id="356" w:name="_Toc312678010"/>
      <w:bookmarkStart w:id="357" w:name="_Toc300934968"/>
      <w:bookmarkStart w:id="358" w:name="_Toc312677484"/>
      <w:bookmarkStart w:id="359" w:name="_Toc303539125"/>
      <w:bookmarkStart w:id="360" w:name="_Toc297123516"/>
      <w:bookmarkStart w:id="361" w:name="_Toc297216175"/>
      <w:r>
        <w:rPr>
          <w:rFonts w:hint="eastAsia" w:ascii="宋体" w:hAnsi="宋体" w:eastAsia="宋体" w:cs="宋体"/>
          <w:sz w:val="24"/>
          <w:szCs w:val="32"/>
        </w:rPr>
        <w:t>.5 工期延误</w:t>
      </w:r>
    </w:p>
    <w:bookmarkEnd w:id="355"/>
    <w:bookmarkEnd w:id="356"/>
    <w:bookmarkEnd w:id="357"/>
    <w:bookmarkEnd w:id="358"/>
    <w:bookmarkEnd w:id="359"/>
    <w:bookmarkEnd w:id="360"/>
    <w:bookmarkEnd w:id="361"/>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7.5.1 因发包人原因导致工期延误</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（7）因发包人原因导致工期延误的其他情形：</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7</w:t>
      </w:r>
      <w:bookmarkStart w:id="362" w:name="_Toc312678012"/>
      <w:bookmarkStart w:id="363" w:name="_Toc312677486"/>
      <w:bookmarkStart w:id="364" w:name="_Toc318581169"/>
      <w:bookmarkStart w:id="365" w:name="_Toc297216177"/>
      <w:bookmarkStart w:id="366" w:name="_Toc297123518"/>
      <w:bookmarkStart w:id="367" w:name="_Toc303539127"/>
      <w:bookmarkStart w:id="368" w:name="_Toc304295548"/>
      <w:bookmarkStart w:id="369" w:name="_Toc300934970"/>
      <w:r>
        <w:rPr>
          <w:rFonts w:hint="eastAsia" w:ascii="宋体" w:hAnsi="宋体" w:eastAsia="宋体" w:cs="宋体"/>
          <w:sz w:val="24"/>
          <w:szCs w:val="32"/>
        </w:rPr>
        <w:t>.5.2 因承包人原因导致工期延误</w:t>
      </w:r>
    </w:p>
    <w:bookmarkEnd w:id="362"/>
    <w:bookmarkEnd w:id="363"/>
    <w:bookmarkEnd w:id="364"/>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因</w:t>
      </w:r>
      <w:bookmarkStart w:id="370" w:name="_Toc312678013"/>
      <w:bookmarkStart w:id="371" w:name="_Toc312677487"/>
      <w:bookmarkStart w:id="372" w:name="_Toc318581170"/>
      <w:r>
        <w:rPr>
          <w:rFonts w:hint="eastAsia" w:ascii="宋体" w:hAnsi="宋体" w:eastAsia="宋体" w:cs="宋体"/>
          <w:sz w:val="24"/>
          <w:szCs w:val="32"/>
        </w:rPr>
        <w:t>承包人原因造成工期延误，逾期竣工违约金的计算方法为：</w:t>
      </w:r>
      <w:r>
        <w:rPr>
          <w:rFonts w:hint="eastAsia" w:ascii="宋体" w:hAnsi="宋体" w:eastAsia="宋体" w:cs="宋体"/>
          <w:sz w:val="24"/>
          <w:szCs w:val="32"/>
          <w:u w:val="single"/>
        </w:rPr>
        <w:t xml:space="preserve"> </w:t>
      </w:r>
      <w:r>
        <w:rPr>
          <w:rFonts w:hint="eastAsia" w:ascii="宋体" w:hAnsi="宋体" w:eastAsia="宋体" w:cs="宋体"/>
          <w:sz w:val="24"/>
          <w:u w:val="single"/>
        </w:rPr>
        <w:t>每延期一天，按签约合同价的千分之一支付违约金</w:t>
      </w:r>
      <w:r>
        <w:rPr>
          <w:rFonts w:hint="eastAsia" w:ascii="宋体" w:hAnsi="宋体" w:eastAsia="宋体" w:cs="宋体"/>
          <w:sz w:val="24"/>
          <w:szCs w:val="32"/>
          <w:u w:val="single"/>
        </w:rPr>
        <w:t xml:space="preserve"> </w:t>
      </w:r>
      <w:r>
        <w:rPr>
          <w:rFonts w:hint="eastAsia" w:ascii="宋体" w:hAnsi="宋体" w:eastAsia="宋体" w:cs="宋体"/>
          <w:sz w:val="24"/>
          <w:szCs w:val="32"/>
        </w:rPr>
        <w:t>。</w:t>
      </w:r>
      <w:bookmarkEnd w:id="365"/>
      <w:bookmarkEnd w:id="366"/>
      <w:bookmarkEnd w:id="367"/>
      <w:bookmarkEnd w:id="368"/>
      <w:bookmarkEnd w:id="369"/>
      <w:bookmarkEnd w:id="370"/>
      <w:bookmarkEnd w:id="371"/>
    </w:p>
    <w:bookmarkEnd w:id="372"/>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因承包人原因造成工期延误，逾</w:t>
      </w:r>
      <w:bookmarkStart w:id="373" w:name="_Toc318581171"/>
      <w:bookmarkStart w:id="374" w:name="_Toc312678014"/>
      <w:r>
        <w:rPr>
          <w:rFonts w:hint="eastAsia" w:ascii="宋体" w:hAnsi="宋体" w:eastAsia="宋体" w:cs="宋体"/>
          <w:sz w:val="24"/>
          <w:szCs w:val="32"/>
        </w:rPr>
        <w:t>期竣工违约金的上限：</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逾期竣工违约金总额不超过签约合同价的5%  </w:t>
      </w:r>
      <w:r>
        <w:rPr>
          <w:rFonts w:hint="eastAsia" w:ascii="宋体" w:hAnsi="宋体" w:eastAsia="宋体" w:cs="宋体"/>
          <w:sz w:val="24"/>
          <w:szCs w:val="32"/>
        </w:rPr>
        <w:t>。</w:t>
      </w:r>
    </w:p>
    <w:bookmarkEnd w:id="373"/>
    <w:bookmarkEnd w:id="374"/>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7</w:t>
      </w:r>
      <w:bookmarkStart w:id="375" w:name="_Toc300934971"/>
      <w:bookmarkStart w:id="376" w:name="_Toc297216178"/>
      <w:bookmarkStart w:id="377" w:name="_Toc312678015"/>
      <w:bookmarkStart w:id="378" w:name="_Toc303539128"/>
      <w:bookmarkStart w:id="379" w:name="_Toc304295549"/>
      <w:bookmarkStart w:id="380" w:name="_Toc297123519"/>
      <w:r>
        <w:rPr>
          <w:rFonts w:hint="eastAsia" w:ascii="宋体" w:hAnsi="宋体" w:eastAsia="宋体" w:cs="宋体"/>
          <w:sz w:val="24"/>
          <w:szCs w:val="32"/>
        </w:rPr>
        <w:t>.6 不</w:t>
      </w:r>
      <w:bookmarkEnd w:id="375"/>
      <w:bookmarkEnd w:id="376"/>
      <w:bookmarkEnd w:id="377"/>
      <w:bookmarkEnd w:id="378"/>
      <w:bookmarkEnd w:id="379"/>
      <w:bookmarkEnd w:id="380"/>
      <w:r>
        <w:rPr>
          <w:rFonts w:hint="eastAsia" w:ascii="宋体" w:hAnsi="宋体" w:eastAsia="宋体" w:cs="宋体"/>
          <w:sz w:val="24"/>
          <w:szCs w:val="32"/>
        </w:rPr>
        <w:t>利物质条件</w:t>
      </w:r>
    </w:p>
    <w:p>
      <w:pPr>
        <w:spacing w:line="460" w:lineRule="exact"/>
        <w:ind w:firstLine="480" w:firstLineChars="200"/>
        <w:jc w:val="left"/>
        <w:rPr>
          <w:rFonts w:ascii="宋体" w:hAnsi="宋体" w:eastAsia="宋体" w:cs="宋体"/>
          <w:sz w:val="24"/>
          <w:szCs w:val="32"/>
        </w:rPr>
      </w:pPr>
      <w:bookmarkStart w:id="381" w:name="_Toc318581172"/>
      <w:bookmarkStart w:id="382" w:name="_Toc297216179"/>
      <w:bookmarkStart w:id="383" w:name="_Toc300934972"/>
      <w:bookmarkStart w:id="384" w:name="_Toc304295550"/>
      <w:bookmarkStart w:id="385" w:name="_Toc297123520"/>
      <w:bookmarkStart w:id="386" w:name="_Toc312678016"/>
      <w:bookmarkStart w:id="387" w:name="_Toc303539129"/>
      <w:r>
        <w:rPr>
          <w:rFonts w:hint="eastAsia" w:ascii="宋体" w:hAnsi="宋体" w:eastAsia="宋体" w:cs="宋体"/>
          <w:sz w:val="24"/>
          <w:szCs w:val="32"/>
        </w:rPr>
        <w:t>不利物质条件的其他情形和有关约定：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bookmarkEnd w:id="381"/>
    <w:bookmarkEnd w:id="382"/>
    <w:bookmarkEnd w:id="383"/>
    <w:bookmarkEnd w:id="384"/>
    <w:bookmarkEnd w:id="385"/>
    <w:bookmarkEnd w:id="386"/>
    <w:bookmarkEnd w:id="387"/>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7</w:t>
      </w:r>
      <w:bookmarkStart w:id="388" w:name="_Toc303539130"/>
      <w:bookmarkStart w:id="389" w:name="_Toc300934973"/>
      <w:bookmarkStart w:id="390" w:name="_Toc297216180"/>
      <w:bookmarkStart w:id="391" w:name="_Toc304295551"/>
      <w:bookmarkStart w:id="392" w:name="_Toc312678017"/>
      <w:bookmarkStart w:id="393" w:name="_Toc297123521"/>
      <w:r>
        <w:rPr>
          <w:rFonts w:hint="eastAsia" w:ascii="宋体" w:hAnsi="宋体" w:eastAsia="宋体" w:cs="宋体"/>
          <w:sz w:val="24"/>
          <w:szCs w:val="32"/>
        </w:rPr>
        <w:t>.7异常恶劣的气候条件</w:t>
      </w:r>
    </w:p>
    <w:bookmarkEnd w:id="388"/>
    <w:bookmarkEnd w:id="389"/>
    <w:bookmarkEnd w:id="390"/>
    <w:bookmarkEnd w:id="391"/>
    <w:bookmarkEnd w:id="392"/>
    <w:bookmarkEnd w:id="393"/>
    <w:p>
      <w:pPr>
        <w:spacing w:line="460" w:lineRule="exact"/>
        <w:ind w:firstLine="480" w:firstLineChars="200"/>
        <w:jc w:val="left"/>
        <w:rPr>
          <w:rFonts w:ascii="宋体" w:hAnsi="宋体" w:eastAsia="宋体" w:cs="宋体"/>
          <w:sz w:val="24"/>
          <w:szCs w:val="32"/>
          <w:u w:val="single"/>
        </w:rPr>
      </w:pPr>
      <w:r>
        <w:rPr>
          <w:rFonts w:hint="eastAsia" w:ascii="宋体" w:hAnsi="宋体" w:eastAsia="宋体" w:cs="宋体"/>
          <w:sz w:val="24"/>
          <w:szCs w:val="32"/>
        </w:rPr>
        <w:t>发包人和承包人同意以下情形视为异常恶劣的气候条件：</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7.9 提前竣工的奖励</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7.9.2提前竣工的奖励：</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pStyle w:val="6"/>
        <w:spacing w:before="120" w:after="120" w:line="460" w:lineRule="exact"/>
        <w:rPr>
          <w:rFonts w:ascii="宋体" w:hAnsi="宋体" w:eastAsia="宋体" w:cs="宋体"/>
          <w:b w:val="0"/>
          <w:sz w:val="24"/>
          <w:szCs w:val="32"/>
        </w:rPr>
      </w:pPr>
      <w:bookmarkStart w:id="394" w:name="_Toc351203640"/>
      <w:r>
        <w:rPr>
          <w:rFonts w:hint="eastAsia" w:ascii="宋体" w:hAnsi="宋体" w:eastAsia="宋体" w:cs="宋体"/>
          <w:b w:val="0"/>
          <w:sz w:val="24"/>
          <w:szCs w:val="32"/>
        </w:rPr>
        <w:t>8. 材料与设备</w:t>
      </w:r>
      <w:bookmarkEnd w:id="394"/>
    </w:p>
    <w:bookmarkEnd w:id="327"/>
    <w:bookmarkEnd w:id="328"/>
    <w:bookmarkEnd w:id="329"/>
    <w:bookmarkEnd w:id="330"/>
    <w:bookmarkEnd w:id="331"/>
    <w:bookmarkEnd w:id="332"/>
    <w:bookmarkEnd w:id="333"/>
    <w:bookmarkEnd w:id="334"/>
    <w:bookmarkEnd w:id="335"/>
    <w:bookmarkEnd w:id="336"/>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8</w:t>
      </w:r>
      <w:bookmarkStart w:id="395" w:name="_Toc303539136"/>
      <w:bookmarkStart w:id="396" w:name="_Toc297216186"/>
      <w:bookmarkStart w:id="397" w:name="_Toc297048353"/>
      <w:bookmarkStart w:id="398" w:name="_Toc296944506"/>
      <w:bookmarkStart w:id="399" w:name="_Toc296347166"/>
      <w:bookmarkStart w:id="400" w:name="_Toc280868654"/>
      <w:bookmarkStart w:id="401" w:name="_Toc312678019"/>
      <w:bookmarkStart w:id="402" w:name="_Toc296503167"/>
      <w:bookmarkStart w:id="403" w:name="_Toc297120467"/>
      <w:bookmarkStart w:id="404" w:name="_Toc296346668"/>
      <w:bookmarkStart w:id="405" w:name="_Toc296891207"/>
      <w:bookmarkStart w:id="406" w:name="_Toc304295556"/>
      <w:bookmarkStart w:id="407" w:name="_Toc300934979"/>
      <w:bookmarkStart w:id="408" w:name="_Toc297123527"/>
      <w:bookmarkStart w:id="409" w:name="_Toc312677493"/>
      <w:bookmarkStart w:id="410" w:name="_Toc292559372"/>
      <w:bookmarkStart w:id="411" w:name="_Toc296890995"/>
      <w:bookmarkStart w:id="412" w:name="_Toc292559877"/>
      <w:bookmarkStart w:id="413" w:name="_Toc280868656"/>
      <w:bookmarkStart w:id="414" w:name="_Toc280868655"/>
      <w:bookmarkStart w:id="415" w:name="_Toc267251424"/>
      <w:r>
        <w:rPr>
          <w:rFonts w:hint="eastAsia" w:ascii="宋体" w:hAnsi="宋体" w:eastAsia="宋体" w:cs="宋体"/>
          <w:sz w:val="24"/>
          <w:szCs w:val="32"/>
        </w:rPr>
        <w:t>.4材料与工程设备的保管与使用</w:t>
      </w:r>
    </w:p>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8</w:t>
      </w:r>
      <w:bookmarkStart w:id="416" w:name="_Toc292559878"/>
      <w:bookmarkStart w:id="417" w:name="_Toc292559373"/>
      <w:bookmarkStart w:id="418" w:name="_Toc296347167"/>
      <w:bookmarkStart w:id="419" w:name="_Toc297216187"/>
      <w:bookmarkStart w:id="420" w:name="_Toc296891208"/>
      <w:bookmarkStart w:id="421" w:name="_Toc303539137"/>
      <w:bookmarkStart w:id="422" w:name="_Toc312677494"/>
      <w:bookmarkStart w:id="423" w:name="_Toc312678020"/>
      <w:bookmarkStart w:id="424" w:name="_Toc296944507"/>
      <w:bookmarkStart w:id="425" w:name="_Toc297120468"/>
      <w:bookmarkStart w:id="426" w:name="_Toc297123528"/>
      <w:bookmarkStart w:id="427" w:name="_Toc318581173"/>
      <w:bookmarkStart w:id="428" w:name="_Toc296890996"/>
      <w:bookmarkStart w:id="429" w:name="_Toc304295557"/>
      <w:bookmarkStart w:id="430" w:name="_Toc300934980"/>
      <w:bookmarkStart w:id="431" w:name="_Toc297048354"/>
      <w:bookmarkStart w:id="432" w:name="_Toc296346669"/>
      <w:bookmarkStart w:id="433" w:name="_Toc296503168"/>
      <w:r>
        <w:rPr>
          <w:rFonts w:hint="eastAsia" w:ascii="宋体" w:hAnsi="宋体" w:eastAsia="宋体" w:cs="宋体"/>
          <w:sz w:val="24"/>
          <w:szCs w:val="32"/>
        </w:rPr>
        <w:t>.4.1发包人供应的材料设备的保管费用的承担：</w:t>
      </w:r>
      <w:r>
        <w:rPr>
          <w:rFonts w:hint="eastAsia" w:ascii="宋体" w:hAnsi="宋体" w:eastAsia="宋体" w:cs="宋体"/>
          <w:sz w:val="24"/>
          <w:szCs w:val="32"/>
          <w:u w:val="single"/>
        </w:rPr>
        <w:t xml:space="preserve"> </w:t>
      </w:r>
      <w:r>
        <w:rPr>
          <w:rFonts w:hint="eastAsia" w:ascii="宋体" w:hAnsi="宋体" w:eastAsia="宋体" w:cs="宋体"/>
          <w:sz w:val="24"/>
          <w:u w:val="single"/>
        </w:rPr>
        <w:t>发包人</w:t>
      </w:r>
      <w:r>
        <w:rPr>
          <w:rFonts w:hint="eastAsia" w:ascii="宋体" w:hAnsi="宋体" w:eastAsia="宋体" w:cs="宋体"/>
          <w:sz w:val="24"/>
          <w:szCs w:val="32"/>
          <w:u w:val="single"/>
        </w:rPr>
        <w:t xml:space="preserve"> </w:t>
      </w:r>
      <w:r>
        <w:rPr>
          <w:rFonts w:hint="eastAsia" w:ascii="宋体" w:hAnsi="宋体" w:eastAsia="宋体" w:cs="宋体"/>
          <w:sz w:val="24"/>
          <w:szCs w:val="32"/>
        </w:rPr>
        <w:t>。</w:t>
      </w:r>
      <w:bookmarkEnd w:id="416"/>
      <w:bookmarkEnd w:id="417"/>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8.6 样品</w:t>
      </w:r>
    </w:p>
    <w:p>
      <w:pPr>
        <w:autoSpaceDE w:val="0"/>
        <w:autoSpaceDN w:val="0"/>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8.6.1</w:t>
      </w:r>
      <w:r>
        <w:rPr>
          <w:rFonts w:hint="eastAsia" w:ascii="宋体" w:hAnsi="宋体" w:eastAsia="宋体" w:cs="宋体"/>
          <w:kern w:val="0"/>
          <w:sz w:val="24"/>
          <w:szCs w:val="32"/>
        </w:rPr>
        <w:tab/>
      </w:r>
      <w:r>
        <w:rPr>
          <w:rFonts w:hint="eastAsia" w:ascii="宋体" w:hAnsi="宋体" w:eastAsia="宋体" w:cs="宋体"/>
          <w:kern w:val="0"/>
          <w:sz w:val="24"/>
          <w:szCs w:val="32"/>
        </w:rPr>
        <w:t>样品的报送与封存</w:t>
      </w:r>
    </w:p>
    <w:p>
      <w:pPr>
        <w:autoSpaceDE w:val="0"/>
        <w:autoSpaceDN w:val="0"/>
        <w:spacing w:line="460" w:lineRule="exact"/>
        <w:ind w:firstLine="480" w:firstLineChars="200"/>
        <w:jc w:val="left"/>
        <w:rPr>
          <w:rFonts w:ascii="宋体" w:hAnsi="宋体" w:eastAsia="宋体" w:cs="宋体"/>
          <w:sz w:val="24"/>
          <w:szCs w:val="32"/>
          <w:u w:val="single"/>
        </w:rPr>
      </w:pPr>
      <w:r>
        <w:rPr>
          <w:rFonts w:hint="eastAsia" w:ascii="宋体" w:hAnsi="宋体" w:eastAsia="宋体" w:cs="宋体"/>
          <w:kern w:val="0"/>
          <w:sz w:val="24"/>
          <w:szCs w:val="32"/>
        </w:rPr>
        <w:t>需要承包人报送样品的材料或工程设备，样品的种类、名称、规格、数量要求：</w:t>
      </w:r>
    </w:p>
    <w:p>
      <w:pPr>
        <w:autoSpaceDE w:val="0"/>
        <w:autoSpaceDN w:val="0"/>
        <w:spacing w:line="460" w:lineRule="exact"/>
        <w:jc w:val="left"/>
        <w:rPr>
          <w:rFonts w:ascii="宋体" w:hAnsi="宋体" w:eastAsia="宋体" w:cs="宋体"/>
          <w:sz w:val="24"/>
          <w:szCs w:val="32"/>
        </w:rPr>
      </w:pP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按招标文件、工程量清单执行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8.8 施工设备和临时设施</w:t>
      </w:r>
    </w:p>
    <w:p>
      <w:pPr>
        <w:autoSpaceDE w:val="0"/>
        <w:autoSpaceDN w:val="0"/>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8.8.1 承包人提供的施工设备和临时设施</w:t>
      </w:r>
    </w:p>
    <w:p>
      <w:pPr>
        <w:autoSpaceDE w:val="0"/>
        <w:autoSpaceDN w:val="0"/>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关于修建临时设施费用承担的约定：</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按通用合同条款第8.8.1项执行 </w:t>
      </w:r>
      <w:r>
        <w:rPr>
          <w:rFonts w:hint="eastAsia" w:ascii="宋体" w:hAnsi="宋体" w:eastAsia="宋体" w:cs="宋体"/>
          <w:sz w:val="24"/>
          <w:szCs w:val="32"/>
        </w:rPr>
        <w:t>。</w:t>
      </w:r>
    </w:p>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Pr>
        <w:pStyle w:val="6"/>
        <w:spacing w:before="120" w:after="120" w:line="460" w:lineRule="exact"/>
        <w:rPr>
          <w:rFonts w:ascii="宋体" w:hAnsi="宋体" w:eastAsia="宋体" w:cs="宋体"/>
          <w:b w:val="0"/>
          <w:sz w:val="24"/>
          <w:szCs w:val="32"/>
        </w:rPr>
      </w:pPr>
      <w:bookmarkStart w:id="434" w:name="_Toc351203641"/>
      <w:r>
        <w:rPr>
          <w:rFonts w:hint="eastAsia" w:ascii="宋体" w:hAnsi="宋体" w:eastAsia="宋体" w:cs="宋体"/>
          <w:b w:val="0"/>
          <w:sz w:val="24"/>
          <w:szCs w:val="32"/>
        </w:rPr>
        <w:t>9</w:t>
      </w:r>
      <w:bookmarkEnd w:id="413"/>
      <w:bookmarkEnd w:id="414"/>
      <w:bookmarkEnd w:id="415"/>
      <w:bookmarkStart w:id="435" w:name="_Toc300934982"/>
      <w:bookmarkStart w:id="436" w:name="_Toc312677495"/>
      <w:bookmarkStart w:id="437" w:name="_Toc304295559"/>
      <w:bookmarkStart w:id="438" w:name="_Toc312678021"/>
      <w:bookmarkStart w:id="439" w:name="_Toc297123533"/>
      <w:bookmarkStart w:id="440" w:name="_Toc297216192"/>
      <w:bookmarkStart w:id="441" w:name="_Toc303539139"/>
      <w:bookmarkStart w:id="442" w:name="_Toc296503173"/>
      <w:bookmarkStart w:id="443" w:name="_Toc267251427"/>
      <w:bookmarkStart w:id="444" w:name="_Toc297120473"/>
      <w:bookmarkStart w:id="445" w:name="_Toc292559378"/>
      <w:bookmarkStart w:id="446" w:name="_Toc296891213"/>
      <w:bookmarkStart w:id="447" w:name="_Toc296346674"/>
      <w:bookmarkStart w:id="448" w:name="_Toc296944512"/>
      <w:bookmarkStart w:id="449" w:name="_Toc296347172"/>
      <w:bookmarkStart w:id="450" w:name="_Toc267251428"/>
      <w:bookmarkStart w:id="451" w:name="_Toc297048359"/>
      <w:bookmarkStart w:id="452" w:name="_Toc292559883"/>
      <w:bookmarkStart w:id="453" w:name="_Toc296891001"/>
      <w:r>
        <w:rPr>
          <w:rFonts w:hint="eastAsia" w:ascii="宋体" w:hAnsi="宋体" w:eastAsia="宋体" w:cs="宋体"/>
          <w:b w:val="0"/>
          <w:sz w:val="24"/>
          <w:szCs w:val="32"/>
        </w:rPr>
        <w:t>. 试验与检验</w:t>
      </w:r>
      <w:bookmarkEnd w:id="434"/>
    </w:p>
    <w:bookmarkEnd w:id="435"/>
    <w:bookmarkEnd w:id="436"/>
    <w:bookmarkEnd w:id="437"/>
    <w:bookmarkEnd w:id="438"/>
    <w:bookmarkEnd w:id="439"/>
    <w:bookmarkEnd w:id="440"/>
    <w:bookmarkEnd w:id="441"/>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9</w:t>
      </w:r>
      <w:bookmarkStart w:id="454" w:name="_Toc300934983"/>
      <w:bookmarkStart w:id="455" w:name="_Toc312677496"/>
      <w:bookmarkStart w:id="456" w:name="_Toc297216193"/>
      <w:bookmarkStart w:id="457" w:name="_Toc304295560"/>
      <w:bookmarkStart w:id="458" w:name="_Toc312678022"/>
      <w:bookmarkStart w:id="459" w:name="_Toc303539140"/>
      <w:bookmarkStart w:id="460" w:name="_Toc297123534"/>
      <w:r>
        <w:rPr>
          <w:rFonts w:hint="eastAsia" w:ascii="宋体" w:hAnsi="宋体" w:eastAsia="宋体" w:cs="宋体"/>
          <w:sz w:val="24"/>
          <w:szCs w:val="32"/>
        </w:rPr>
        <w:t>.1试验设备与试验人员</w:t>
      </w:r>
    </w:p>
    <w:bookmarkEnd w:id="454"/>
    <w:bookmarkEnd w:id="455"/>
    <w:bookmarkEnd w:id="456"/>
    <w:bookmarkEnd w:id="457"/>
    <w:bookmarkEnd w:id="458"/>
    <w:bookmarkEnd w:id="459"/>
    <w:bookmarkEnd w:id="460"/>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9</w:t>
      </w:r>
      <w:bookmarkStart w:id="461" w:name="_Toc312678023"/>
      <w:bookmarkStart w:id="462" w:name="_Toc304295561"/>
      <w:bookmarkStart w:id="463" w:name="_Toc312677497"/>
      <w:bookmarkStart w:id="464" w:name="_Toc303539141"/>
      <w:bookmarkStart w:id="465" w:name="_Toc297216194"/>
      <w:bookmarkStart w:id="466" w:name="_Toc300934984"/>
      <w:bookmarkStart w:id="467" w:name="_Toc297123535"/>
      <w:bookmarkStart w:id="468" w:name="_Toc318581174"/>
      <w:r>
        <w:rPr>
          <w:rFonts w:hint="eastAsia" w:ascii="宋体" w:hAnsi="宋体" w:eastAsia="宋体" w:cs="宋体"/>
          <w:sz w:val="24"/>
          <w:szCs w:val="32"/>
        </w:rPr>
        <w:t>.1.2 试验设备</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施工现场需要配置的试验场所：</w:t>
      </w:r>
      <w:bookmarkEnd w:id="461"/>
      <w:bookmarkEnd w:id="462"/>
      <w:bookmarkEnd w:id="463"/>
      <w:bookmarkEnd w:id="464"/>
      <w:bookmarkEnd w:id="465"/>
      <w:bookmarkEnd w:id="466"/>
      <w:bookmarkEnd w:id="467"/>
      <w:bookmarkStart w:id="469" w:name="_Toc312678024"/>
      <w:bookmarkStart w:id="470" w:name="_Toc312677498"/>
      <w:bookmarkStart w:id="471" w:name="_Toc303539142"/>
      <w:bookmarkStart w:id="472" w:name="_Toc297123536"/>
      <w:bookmarkStart w:id="473" w:name="_Toc297216195"/>
      <w:bookmarkStart w:id="474" w:name="_Toc304295562"/>
      <w:bookmarkStart w:id="475" w:name="_Toc300934985"/>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施工现场需要配备的试验设备：</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施工现场需要具备的其他试验条件：</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 xml:space="preserve">9.4 现场工艺试验 </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现场工艺试验的有关约定：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bookmarkEnd w:id="468"/>
    <w:bookmarkEnd w:id="469"/>
    <w:bookmarkEnd w:id="470"/>
    <w:bookmarkEnd w:id="471"/>
    <w:bookmarkEnd w:id="472"/>
    <w:bookmarkEnd w:id="473"/>
    <w:bookmarkEnd w:id="474"/>
    <w:bookmarkEnd w:id="475"/>
    <w:p>
      <w:pPr>
        <w:pStyle w:val="6"/>
        <w:spacing w:before="120" w:after="120" w:line="460" w:lineRule="exact"/>
        <w:rPr>
          <w:rFonts w:ascii="宋体" w:hAnsi="宋体" w:eastAsia="宋体" w:cs="宋体"/>
          <w:b w:val="0"/>
          <w:sz w:val="24"/>
          <w:szCs w:val="32"/>
        </w:rPr>
      </w:pPr>
      <w:bookmarkStart w:id="476" w:name="_Toc351203642"/>
      <w:r>
        <w:rPr>
          <w:rFonts w:hint="eastAsia" w:ascii="宋体" w:hAnsi="宋体" w:eastAsia="宋体" w:cs="宋体"/>
          <w:b w:val="0"/>
          <w:sz w:val="24"/>
          <w:szCs w:val="32"/>
        </w:rPr>
        <w:t>1</w:t>
      </w:r>
      <w:bookmarkEnd w:id="442"/>
      <w:bookmarkEnd w:id="443"/>
      <w:bookmarkEnd w:id="444"/>
      <w:bookmarkEnd w:id="445"/>
      <w:bookmarkEnd w:id="446"/>
      <w:bookmarkEnd w:id="447"/>
      <w:bookmarkEnd w:id="448"/>
      <w:bookmarkEnd w:id="449"/>
      <w:bookmarkEnd w:id="450"/>
      <w:bookmarkEnd w:id="451"/>
      <w:bookmarkEnd w:id="452"/>
      <w:bookmarkEnd w:id="453"/>
      <w:bookmarkStart w:id="477" w:name="_Toc296891233"/>
      <w:bookmarkStart w:id="478" w:name="_Toc296503193"/>
      <w:bookmarkStart w:id="479" w:name="_Toc296891021"/>
      <w:bookmarkStart w:id="480" w:name="_Toc292559398"/>
      <w:bookmarkStart w:id="481" w:name="_Toc297216199"/>
      <w:bookmarkStart w:id="482" w:name="_Toc297048379"/>
      <w:bookmarkStart w:id="483" w:name="_Toc303539146"/>
      <w:bookmarkStart w:id="484" w:name="_Toc304295566"/>
      <w:bookmarkStart w:id="485" w:name="_Toc296347192"/>
      <w:bookmarkStart w:id="486" w:name="_Toc297123540"/>
      <w:bookmarkStart w:id="487" w:name="_Toc296944532"/>
      <w:bookmarkStart w:id="488" w:name="_Toc300934989"/>
      <w:bookmarkStart w:id="489" w:name="_Toc297120493"/>
      <w:bookmarkStart w:id="490" w:name="_Toc296346694"/>
      <w:bookmarkStart w:id="491" w:name="_Toc292559903"/>
      <w:bookmarkStart w:id="492" w:name="_Toc312678025"/>
      <w:bookmarkStart w:id="493" w:name="_Toc312677499"/>
      <w:bookmarkStart w:id="494" w:name="_Toc267251440"/>
      <w:bookmarkStart w:id="495" w:name="_Toc267251441"/>
      <w:bookmarkStart w:id="496" w:name="_Toc267251435"/>
      <w:bookmarkStart w:id="497" w:name="_Toc267251439"/>
      <w:bookmarkStart w:id="498" w:name="_Toc267251437"/>
      <w:bookmarkStart w:id="499" w:name="_Toc267251433"/>
      <w:bookmarkStart w:id="500" w:name="_Toc267251442"/>
      <w:r>
        <w:rPr>
          <w:rFonts w:hint="eastAsia" w:ascii="宋体" w:hAnsi="宋体" w:eastAsia="宋体" w:cs="宋体"/>
          <w:b w:val="0"/>
          <w:sz w:val="24"/>
          <w:szCs w:val="32"/>
        </w:rPr>
        <w:t>0. 变更</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bookmarkEnd w:id="492"/>
    <w:bookmarkEnd w:id="493"/>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w:t>
      </w:r>
      <w:bookmarkStart w:id="501" w:name="_Toc296347193"/>
      <w:bookmarkStart w:id="502" w:name="_Toc296346695"/>
      <w:bookmarkStart w:id="503" w:name="_Toc296944533"/>
      <w:bookmarkStart w:id="504" w:name="_Toc292559399"/>
      <w:bookmarkStart w:id="505" w:name="_Toc300934990"/>
      <w:bookmarkStart w:id="506" w:name="_Toc296503194"/>
      <w:bookmarkStart w:id="507" w:name="_Toc297216200"/>
      <w:bookmarkStart w:id="508" w:name="_Toc292559904"/>
      <w:bookmarkStart w:id="509" w:name="_Toc312677500"/>
      <w:bookmarkStart w:id="510" w:name="_Toc297120494"/>
      <w:bookmarkStart w:id="511" w:name="_Toc296891022"/>
      <w:bookmarkStart w:id="512" w:name="_Toc312678026"/>
      <w:bookmarkStart w:id="513" w:name="_Toc296891234"/>
      <w:bookmarkStart w:id="514" w:name="_Toc297048380"/>
      <w:bookmarkStart w:id="515" w:name="_Toc304295567"/>
      <w:bookmarkStart w:id="516" w:name="_Toc303539147"/>
      <w:bookmarkStart w:id="517" w:name="_Toc297123541"/>
      <w:r>
        <w:rPr>
          <w:rFonts w:hint="eastAsia" w:ascii="宋体" w:hAnsi="宋体" w:eastAsia="宋体" w:cs="宋体"/>
          <w:sz w:val="24"/>
          <w:szCs w:val="32"/>
        </w:rPr>
        <w:t>0.1变更的范围</w:t>
      </w:r>
    </w:p>
    <w:p>
      <w:pPr>
        <w:spacing w:line="460" w:lineRule="exact"/>
        <w:ind w:firstLine="600"/>
        <w:jc w:val="left"/>
        <w:rPr>
          <w:rFonts w:ascii="宋体" w:hAnsi="宋体" w:eastAsia="宋体" w:cs="宋体"/>
          <w:sz w:val="24"/>
          <w:szCs w:val="32"/>
        </w:rPr>
      </w:pPr>
      <w:r>
        <w:rPr>
          <w:rFonts w:hint="eastAsia" w:ascii="宋体" w:hAnsi="宋体" w:eastAsia="宋体" w:cs="宋体"/>
          <w:sz w:val="24"/>
          <w:szCs w:val="32"/>
        </w:rPr>
        <w:t>关于变更的范围的约定：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10.4 变更估价</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10.4.1 变更估价原则</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 xml:space="preserve">关于变更估价的约定: </w:t>
      </w:r>
      <w:r>
        <w:rPr>
          <w:rFonts w:hint="eastAsia" w:ascii="宋体" w:hAnsi="宋体" w:eastAsia="宋体" w:cs="宋体"/>
          <w:sz w:val="24"/>
          <w:szCs w:val="32"/>
          <w:u w:val="single"/>
        </w:rPr>
        <w:t xml:space="preserve"> </w:t>
      </w:r>
      <w:r>
        <w:rPr>
          <w:rFonts w:hint="eastAsia" w:ascii="宋体" w:hAnsi="宋体" w:eastAsia="宋体" w:cs="宋体"/>
          <w:sz w:val="24"/>
          <w:u w:val="single"/>
        </w:rPr>
        <w:t>工程设计变更须经设计及发包方共同书面签证；其它工程变更及工程联系单须经发包方书面签证，并按顺序编号。上述变更手续不完整，视为无效变更</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合同价款外调整方法：</w:t>
      </w:r>
      <w:r>
        <w:rPr>
          <w:rFonts w:hint="eastAsia" w:ascii="宋体" w:hAnsi="宋体" w:eastAsia="宋体" w:cs="宋体"/>
          <w:sz w:val="24"/>
          <w:u w:val="single"/>
        </w:rPr>
        <w:t xml:space="preserve"> 1、本工程结算时根据施工要求工作内容、工程量按设计变更和其它工程联系单实际发生调整，单价按中标时的投标单价结算。2、新增的工作内容单价，中标时有相应或相似投标单价的按此单价结算，无相应或相似投标单价时，按2010版工程预算定额，参照投标口径重新组价。3、无信息价材料，参照施工期市场价，特殊材料须经发包方签证认可 </w:t>
      </w:r>
      <w:r>
        <w:rPr>
          <w:rFonts w:hint="eastAsia" w:ascii="宋体" w:hAnsi="宋体" w:eastAsia="宋体" w:cs="宋体"/>
          <w:sz w:val="24"/>
        </w:rPr>
        <w:t>。</w:t>
      </w:r>
    </w:p>
    <w:p>
      <w:pPr>
        <w:spacing w:line="460" w:lineRule="exact"/>
        <w:ind w:firstLine="480" w:firstLineChars="200"/>
        <w:jc w:val="left"/>
        <w:rPr>
          <w:rFonts w:ascii="宋体" w:hAnsi="宋体" w:eastAsia="宋体" w:cs="宋体"/>
          <w:sz w:val="24"/>
          <w:szCs w:val="32"/>
          <w:u w:val="single"/>
        </w:rPr>
      </w:pP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Start w:id="518" w:name="_Toc296944536"/>
      <w:bookmarkStart w:id="519" w:name="_Toc297120497"/>
      <w:bookmarkStart w:id="520" w:name="_Toc297048383"/>
      <w:bookmarkStart w:id="521" w:name="_Toc303539150"/>
      <w:bookmarkStart w:id="522" w:name="_Toc300934993"/>
      <w:bookmarkStart w:id="523" w:name="_Toc296346698"/>
      <w:bookmarkStart w:id="524" w:name="_Toc292559907"/>
      <w:bookmarkStart w:id="525" w:name="_Toc297123544"/>
      <w:bookmarkStart w:id="526" w:name="_Toc292559402"/>
      <w:bookmarkStart w:id="527" w:name="_Toc296347196"/>
      <w:bookmarkStart w:id="528" w:name="_Toc297216203"/>
      <w:bookmarkStart w:id="529" w:name="_Toc296891237"/>
      <w:bookmarkStart w:id="530" w:name="_Toc296503197"/>
      <w:bookmarkStart w:id="531" w:name="_Toc296891025"/>
      <w:bookmarkStart w:id="532" w:name="_Toc312678029"/>
      <w:bookmarkStart w:id="533" w:name="_Toc312677503"/>
      <w:bookmarkStart w:id="534" w:name="_Toc304295570"/>
      <w:r>
        <w:rPr>
          <w:rFonts w:hint="eastAsia" w:ascii="宋体" w:hAnsi="宋体" w:eastAsia="宋体" w:cs="宋体"/>
          <w:sz w:val="24"/>
          <w:szCs w:val="32"/>
        </w:rPr>
        <w:t>0.5承</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Start w:id="535" w:name="_Toc292559913"/>
      <w:bookmarkStart w:id="536" w:name="_Toc297123545"/>
      <w:bookmarkStart w:id="537" w:name="_Toc303539151"/>
      <w:bookmarkStart w:id="538" w:name="_Toc296346704"/>
      <w:bookmarkStart w:id="539" w:name="_Toc297120503"/>
      <w:bookmarkStart w:id="540" w:name="_Toc296347202"/>
      <w:bookmarkStart w:id="541" w:name="_Toc297216204"/>
      <w:bookmarkStart w:id="542" w:name="_Toc296944542"/>
      <w:bookmarkStart w:id="543" w:name="_Toc297048389"/>
      <w:bookmarkStart w:id="544" w:name="_Toc296503203"/>
      <w:bookmarkStart w:id="545" w:name="_Toc296891031"/>
      <w:bookmarkStart w:id="546" w:name="_Toc292559408"/>
      <w:bookmarkStart w:id="547" w:name="_Toc296891243"/>
      <w:bookmarkStart w:id="548" w:name="_Toc300934994"/>
      <w:r>
        <w:rPr>
          <w:rFonts w:hint="eastAsia" w:ascii="宋体" w:hAnsi="宋体" w:eastAsia="宋体" w:cs="宋体"/>
          <w:sz w:val="24"/>
          <w:szCs w:val="32"/>
        </w:rPr>
        <w:t>包人的合理化建议</w:t>
      </w:r>
    </w:p>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监理人审查承包人合理化建议的期限：</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发包人审批承包人合理化建议的期限：</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u w:val="single"/>
        </w:rPr>
      </w:pPr>
      <w:r>
        <w:rPr>
          <w:rFonts w:hint="eastAsia" w:ascii="宋体" w:hAnsi="宋体" w:eastAsia="宋体" w:cs="宋体"/>
          <w:sz w:val="24"/>
          <w:szCs w:val="32"/>
        </w:rPr>
        <w:t>承</w:t>
      </w:r>
      <w:bookmarkStart w:id="549" w:name="_Toc312678030"/>
      <w:bookmarkStart w:id="550" w:name="_Toc297216205"/>
      <w:bookmarkStart w:id="551" w:name="_Toc296346705"/>
      <w:bookmarkStart w:id="552" w:name="_Toc292559409"/>
      <w:bookmarkStart w:id="553" w:name="_Toc296944543"/>
      <w:bookmarkStart w:id="554" w:name="_Toc304295571"/>
      <w:bookmarkStart w:id="555" w:name="_Toc296891032"/>
      <w:bookmarkStart w:id="556" w:name="_Toc296347203"/>
      <w:bookmarkStart w:id="557" w:name="_Toc318581175"/>
      <w:bookmarkStart w:id="558" w:name="_Toc296891244"/>
      <w:bookmarkStart w:id="559" w:name="_Toc297048390"/>
      <w:bookmarkStart w:id="560" w:name="_Toc297123546"/>
      <w:bookmarkStart w:id="561" w:name="_Toc303539152"/>
      <w:bookmarkStart w:id="562" w:name="_Toc297120504"/>
      <w:bookmarkStart w:id="563" w:name="_Toc296503204"/>
      <w:bookmarkStart w:id="564" w:name="_Toc292559914"/>
      <w:bookmarkStart w:id="565" w:name="_Toc312677504"/>
      <w:bookmarkStart w:id="566" w:name="_Toc300934995"/>
      <w:r>
        <w:rPr>
          <w:rFonts w:hint="eastAsia" w:ascii="宋体" w:hAnsi="宋体" w:eastAsia="宋体" w:cs="宋体"/>
          <w:sz w:val="24"/>
          <w:szCs w:val="32"/>
        </w:rPr>
        <w:t>包人提出的合理化建议降低了合同价格或者提高了工程经济效益的奖励的方法和金额为：</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w:t>
      </w:r>
      <w:bookmarkStart w:id="567" w:name="_Toc312677507"/>
      <w:bookmarkStart w:id="568" w:name="_Toc296347198"/>
      <w:bookmarkStart w:id="569" w:name="_Toc303539154"/>
      <w:bookmarkStart w:id="570" w:name="_Toc297123548"/>
      <w:bookmarkStart w:id="571" w:name="_Toc304295574"/>
      <w:bookmarkStart w:id="572" w:name="_Toc296891239"/>
      <w:bookmarkStart w:id="573" w:name="_Toc292559404"/>
      <w:bookmarkStart w:id="574" w:name="_Toc292559909"/>
      <w:bookmarkStart w:id="575" w:name="_Toc296503199"/>
      <w:bookmarkStart w:id="576" w:name="_Toc297120499"/>
      <w:bookmarkStart w:id="577" w:name="_Toc300934997"/>
      <w:bookmarkStart w:id="578" w:name="_Toc296346700"/>
      <w:bookmarkStart w:id="579" w:name="_Toc296944538"/>
      <w:bookmarkStart w:id="580" w:name="_Toc296891027"/>
      <w:bookmarkStart w:id="581" w:name="_Toc312678033"/>
      <w:bookmarkStart w:id="582" w:name="_Toc297048385"/>
      <w:bookmarkStart w:id="583" w:name="_Toc297216207"/>
      <w:r>
        <w:rPr>
          <w:rFonts w:hint="eastAsia" w:ascii="宋体" w:hAnsi="宋体" w:eastAsia="宋体" w:cs="宋体"/>
          <w:sz w:val="24"/>
          <w:szCs w:val="32"/>
        </w:rPr>
        <w:t>0.7 暂估价</w:t>
      </w:r>
    </w:p>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Pr>
        <w:spacing w:line="460" w:lineRule="exact"/>
        <w:ind w:firstLine="480" w:firstLineChars="200"/>
        <w:jc w:val="left"/>
        <w:rPr>
          <w:rFonts w:ascii="宋体" w:hAnsi="宋体" w:eastAsia="宋体" w:cs="宋体"/>
          <w:sz w:val="24"/>
          <w:szCs w:val="32"/>
        </w:rPr>
      </w:pPr>
      <w:r>
        <w:rPr>
          <w:rFonts w:hint="eastAsia" w:ascii="宋体" w:hAnsi="宋体" w:eastAsia="宋体" w:cs="宋体"/>
          <w:kern w:val="0"/>
          <w:sz w:val="24"/>
          <w:szCs w:val="32"/>
        </w:rPr>
        <w:t>暂</w:t>
      </w:r>
      <w:bookmarkStart w:id="584" w:name="_Toc318581176"/>
      <w:bookmarkStart w:id="585" w:name="_Toc312677508"/>
      <w:bookmarkStart w:id="586" w:name="_Toc312678034"/>
      <w:r>
        <w:rPr>
          <w:rFonts w:hint="eastAsia" w:ascii="宋体" w:hAnsi="宋体" w:eastAsia="宋体" w:cs="宋体"/>
          <w:kern w:val="0"/>
          <w:sz w:val="24"/>
          <w:szCs w:val="32"/>
        </w:rPr>
        <w:t>估价材料和工程设备的明细详见附件11：《</w:t>
      </w:r>
      <w:r>
        <w:rPr>
          <w:rFonts w:hint="eastAsia" w:ascii="宋体" w:hAnsi="宋体" w:eastAsia="宋体" w:cs="宋体"/>
          <w:sz w:val="24"/>
          <w:szCs w:val="32"/>
        </w:rPr>
        <w:t>暂估价一览表》</w:t>
      </w:r>
      <w:r>
        <w:rPr>
          <w:rFonts w:hint="eastAsia" w:ascii="宋体" w:hAnsi="宋体" w:eastAsia="宋体" w:cs="宋体"/>
          <w:kern w:val="0"/>
          <w:sz w:val="24"/>
          <w:szCs w:val="32"/>
        </w:rPr>
        <w:t>。</w:t>
      </w:r>
    </w:p>
    <w:bookmarkEnd w:id="584"/>
    <w:bookmarkEnd w:id="585"/>
    <w:bookmarkEnd w:id="586"/>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w:t>
      </w:r>
      <w:bookmarkStart w:id="587" w:name="_Toc312677509"/>
      <w:bookmarkStart w:id="588" w:name="_Toc318581177"/>
      <w:bookmarkStart w:id="589" w:name="_Toc312678035"/>
      <w:r>
        <w:rPr>
          <w:rFonts w:hint="eastAsia" w:ascii="宋体" w:hAnsi="宋体" w:eastAsia="宋体" w:cs="宋体"/>
          <w:sz w:val="24"/>
          <w:szCs w:val="32"/>
        </w:rPr>
        <w:t>0.7.1 依法必须招标的暂估价项目</w:t>
      </w:r>
    </w:p>
    <w:bookmarkEnd w:id="587"/>
    <w:bookmarkEnd w:id="588"/>
    <w:bookmarkEnd w:id="589"/>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对于依法必须招标的暂估价项目的确认和批准采取第</w:t>
      </w:r>
      <w:r>
        <w:rPr>
          <w:rFonts w:hint="eastAsia" w:ascii="宋体" w:hAnsi="宋体" w:eastAsia="宋体" w:cs="宋体"/>
          <w:sz w:val="24"/>
          <w:szCs w:val="32"/>
          <w:u w:val="single"/>
        </w:rPr>
        <w:t xml:space="preserve"> / </w:t>
      </w:r>
      <w:r>
        <w:rPr>
          <w:rFonts w:hint="eastAsia" w:ascii="宋体" w:hAnsi="宋体" w:eastAsia="宋体" w:cs="宋体"/>
          <w:sz w:val="24"/>
          <w:szCs w:val="32"/>
        </w:rPr>
        <w:t>种方式确定。</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10.7.2 不属于依法必须招标的暂估价项目</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对于不属于依法必须招标的暂估价项目的确认和批准采取第</w:t>
      </w:r>
      <w:r>
        <w:rPr>
          <w:rFonts w:hint="eastAsia" w:ascii="宋体" w:hAnsi="宋体" w:eastAsia="宋体" w:cs="宋体"/>
          <w:sz w:val="24"/>
          <w:szCs w:val="32"/>
          <w:u w:val="single"/>
        </w:rPr>
        <w:t xml:space="preserve"> / </w:t>
      </w:r>
      <w:r>
        <w:rPr>
          <w:rFonts w:hint="eastAsia" w:ascii="宋体" w:hAnsi="宋体" w:eastAsia="宋体" w:cs="宋体"/>
          <w:sz w:val="24"/>
          <w:szCs w:val="32"/>
        </w:rPr>
        <w:t>种方式确定。</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sz w:val="24"/>
          <w:szCs w:val="32"/>
        </w:rPr>
        <w:t>第3种方式：</w:t>
      </w:r>
      <w:r>
        <w:rPr>
          <w:rFonts w:hint="eastAsia" w:ascii="宋体" w:hAnsi="宋体" w:eastAsia="宋体" w:cs="宋体"/>
          <w:kern w:val="0"/>
          <w:sz w:val="24"/>
          <w:szCs w:val="32"/>
        </w:rPr>
        <w:t>承包人直接实施的暂估价项目</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承包人直接实施的暂估价项目的约定：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10.8 暂列金额</w:t>
      </w:r>
    </w:p>
    <w:p>
      <w:pPr>
        <w:autoSpaceDE w:val="0"/>
        <w:autoSpaceDN w:val="0"/>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合同当事人关于暂列金额使用的约定：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pStyle w:val="6"/>
        <w:spacing w:before="120" w:after="120" w:line="460" w:lineRule="exact"/>
        <w:rPr>
          <w:rFonts w:ascii="宋体" w:hAnsi="宋体" w:eastAsia="宋体" w:cs="宋体"/>
          <w:b w:val="0"/>
          <w:sz w:val="24"/>
          <w:szCs w:val="32"/>
        </w:rPr>
      </w:pPr>
      <w:bookmarkStart w:id="590" w:name="_Toc351203643"/>
      <w:r>
        <w:rPr>
          <w:rFonts w:hint="eastAsia" w:ascii="宋体" w:hAnsi="宋体" w:eastAsia="宋体" w:cs="宋体"/>
          <w:b w:val="0"/>
          <w:sz w:val="24"/>
          <w:szCs w:val="32"/>
        </w:rPr>
        <w:t>11. 价格调整</w:t>
      </w:r>
      <w:bookmarkEnd w:id="590"/>
    </w:p>
    <w:p>
      <w:pPr>
        <w:spacing w:after="120" w:line="460" w:lineRule="exact"/>
        <w:ind w:firstLine="480" w:firstLineChars="200"/>
        <w:rPr>
          <w:rFonts w:ascii="宋体" w:hAnsi="宋体" w:eastAsia="宋体" w:cs="宋体"/>
          <w:sz w:val="24"/>
          <w:szCs w:val="32"/>
        </w:rPr>
      </w:pPr>
      <w:bookmarkStart w:id="591" w:name="_Toc297048387"/>
      <w:bookmarkStart w:id="592" w:name="_Toc296347200"/>
      <w:bookmarkStart w:id="593" w:name="_Toc296891241"/>
      <w:bookmarkStart w:id="594" w:name="_Toc296346702"/>
      <w:bookmarkStart w:id="595" w:name="_Toc292559406"/>
      <w:bookmarkStart w:id="596" w:name="_Toc297123550"/>
      <w:bookmarkStart w:id="597" w:name="_Toc297216209"/>
      <w:bookmarkStart w:id="598" w:name="_Toc300935000"/>
      <w:bookmarkStart w:id="599" w:name="_Toc312678039"/>
      <w:bookmarkStart w:id="600" w:name="_Toc296503201"/>
      <w:bookmarkStart w:id="601" w:name="_Toc296891029"/>
      <w:bookmarkStart w:id="602" w:name="_Toc296944540"/>
      <w:bookmarkStart w:id="603" w:name="_Toc297120501"/>
      <w:bookmarkStart w:id="604" w:name="_Toc304295577"/>
      <w:bookmarkStart w:id="605" w:name="_Toc303539157"/>
      <w:bookmarkStart w:id="606" w:name="_Toc292559911"/>
      <w:r>
        <w:rPr>
          <w:rFonts w:hint="eastAsia" w:ascii="宋体" w:hAnsi="宋体" w:eastAsia="宋体" w:cs="宋体"/>
          <w:sz w:val="24"/>
          <w:szCs w:val="32"/>
        </w:rPr>
        <w:t>11.1 市场价格波动引起的调整</w:t>
      </w:r>
    </w:p>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Pr>
        <w:spacing w:line="460" w:lineRule="exact"/>
        <w:ind w:firstLine="480" w:firstLineChars="200"/>
        <w:jc w:val="left"/>
        <w:rPr>
          <w:rFonts w:ascii="宋体" w:hAnsi="宋体" w:eastAsia="宋体" w:cs="宋体"/>
          <w:sz w:val="24"/>
          <w:szCs w:val="32"/>
        </w:rPr>
      </w:pPr>
      <w:r>
        <w:rPr>
          <w:rFonts w:hint="eastAsia" w:ascii="宋体" w:hAnsi="宋体" w:eastAsia="宋体" w:cs="宋体"/>
          <w:kern w:val="0"/>
          <w:sz w:val="24"/>
          <w:szCs w:val="32"/>
        </w:rPr>
        <w:t>市场价格波动是否调整合同价格的约定：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因市场价格波动调整合同价格，采用以下第</w:t>
      </w:r>
      <w:r>
        <w:rPr>
          <w:rFonts w:hint="eastAsia" w:ascii="宋体" w:hAnsi="宋体" w:eastAsia="宋体" w:cs="宋体"/>
          <w:sz w:val="24"/>
          <w:szCs w:val="32"/>
          <w:u w:val="single"/>
        </w:rPr>
        <w:t xml:space="preserve"> / </w:t>
      </w:r>
      <w:r>
        <w:rPr>
          <w:rFonts w:hint="eastAsia" w:ascii="宋体" w:hAnsi="宋体" w:eastAsia="宋体" w:cs="宋体"/>
          <w:sz w:val="24"/>
          <w:szCs w:val="32"/>
        </w:rPr>
        <w:t>种方式对合同价格进行调整：</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第1种方式：采用价格指数进行价格调整。</w:t>
      </w:r>
    </w:p>
    <w:p>
      <w:pPr>
        <w:spacing w:line="460" w:lineRule="exact"/>
        <w:ind w:firstLine="480" w:firstLineChars="200"/>
        <w:jc w:val="left"/>
        <w:rPr>
          <w:rFonts w:ascii="宋体" w:hAnsi="宋体" w:eastAsia="宋体" w:cs="宋体"/>
          <w:sz w:val="24"/>
          <w:szCs w:val="32"/>
          <w:u w:val="single"/>
        </w:rPr>
      </w:pPr>
      <w:r>
        <w:rPr>
          <w:rFonts w:hint="eastAsia" w:ascii="宋体" w:hAnsi="宋体" w:eastAsia="宋体" w:cs="宋体"/>
          <w:sz w:val="24"/>
          <w:szCs w:val="32"/>
        </w:rPr>
        <w:t>关于各可调因子、定值和变值权重，以及基本价格指数及其来源的约定：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 xml:space="preserve">； </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第2种方式：采用造价信息进行价格调整。</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（2）关于基准价格的约定：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32"/>
          <w:u w:val="single"/>
        </w:rPr>
        <w:t xml:space="preserve"> / </w:t>
      </w:r>
      <w:r>
        <w:rPr>
          <w:rFonts w:hint="eastAsia" w:ascii="宋体" w:hAnsi="宋体" w:eastAsia="宋体" w:cs="宋体"/>
          <w:sz w:val="24"/>
          <w:szCs w:val="32"/>
        </w:rPr>
        <w:t>%时，或材料单价跌幅以已标价工程量清单或预算书中载明材料单价为基础超过</w:t>
      </w:r>
      <w:r>
        <w:rPr>
          <w:rFonts w:hint="eastAsia" w:ascii="宋体" w:hAnsi="宋体" w:eastAsia="宋体" w:cs="宋体"/>
          <w:sz w:val="24"/>
          <w:szCs w:val="32"/>
          <w:u w:val="single"/>
        </w:rPr>
        <w:t xml:space="preserve"> / </w:t>
      </w:r>
      <w:r>
        <w:rPr>
          <w:rFonts w:hint="eastAsia" w:ascii="宋体" w:hAnsi="宋体" w:eastAsia="宋体" w:cs="宋体"/>
          <w:sz w:val="24"/>
          <w:szCs w:val="32"/>
        </w:rPr>
        <w:t>%时，其超过部分据实调整。</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32"/>
          <w:u w:val="single"/>
        </w:rPr>
        <w:t xml:space="preserve"> / </w:t>
      </w:r>
      <w:r>
        <w:rPr>
          <w:rFonts w:hint="eastAsia" w:ascii="宋体" w:hAnsi="宋体" w:eastAsia="宋体" w:cs="宋体"/>
          <w:sz w:val="24"/>
          <w:szCs w:val="32"/>
        </w:rPr>
        <w:t>%时，材料单价涨幅以已标价工程量清单或预算书中载明材料单价为基础超过</w:t>
      </w:r>
      <w:r>
        <w:rPr>
          <w:rFonts w:hint="eastAsia" w:ascii="宋体" w:hAnsi="宋体" w:eastAsia="宋体" w:cs="宋体"/>
          <w:sz w:val="24"/>
          <w:szCs w:val="32"/>
          <w:u w:val="single"/>
        </w:rPr>
        <w:t xml:space="preserve"> / </w:t>
      </w:r>
      <w:r>
        <w:rPr>
          <w:rFonts w:hint="eastAsia" w:ascii="宋体" w:hAnsi="宋体" w:eastAsia="宋体" w:cs="宋体"/>
          <w:sz w:val="24"/>
          <w:szCs w:val="32"/>
        </w:rPr>
        <w:t>%时，其超过部分据实调整。</w:t>
      </w:r>
    </w:p>
    <w:p>
      <w:pPr>
        <w:spacing w:line="460" w:lineRule="exact"/>
        <w:ind w:firstLine="645"/>
        <w:jc w:val="left"/>
        <w:rPr>
          <w:rFonts w:ascii="宋体" w:hAnsi="宋体" w:eastAsia="宋体" w:cs="宋体"/>
          <w:sz w:val="24"/>
          <w:szCs w:val="32"/>
        </w:rPr>
      </w:pPr>
      <w:r>
        <w:rPr>
          <w:rFonts w:hint="eastAsia" w:ascii="宋体" w:hAnsi="宋体" w:eastAsia="宋体" w:cs="宋体"/>
          <w:sz w:val="24"/>
          <w:szCs w:val="32"/>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32"/>
          <w:u w:val="single"/>
        </w:rPr>
        <w:t xml:space="preserve"> / </w:t>
      </w:r>
      <w:r>
        <w:rPr>
          <w:rFonts w:hint="eastAsia" w:ascii="宋体" w:hAnsi="宋体" w:eastAsia="宋体" w:cs="宋体"/>
          <w:sz w:val="24"/>
          <w:szCs w:val="32"/>
        </w:rPr>
        <w:t>%时，其超过部分据实调整。</w:t>
      </w:r>
    </w:p>
    <w:p>
      <w:pPr>
        <w:spacing w:line="460" w:lineRule="exact"/>
        <w:ind w:firstLine="645"/>
        <w:jc w:val="left"/>
        <w:rPr>
          <w:rFonts w:ascii="宋体" w:hAnsi="宋体" w:eastAsia="宋体" w:cs="宋体"/>
          <w:sz w:val="24"/>
          <w:szCs w:val="32"/>
        </w:rPr>
      </w:pPr>
      <w:r>
        <w:rPr>
          <w:rFonts w:hint="eastAsia" w:ascii="宋体" w:hAnsi="宋体" w:eastAsia="宋体" w:cs="宋体"/>
          <w:sz w:val="24"/>
          <w:szCs w:val="32"/>
        </w:rPr>
        <w:t>第3种方式：其他价格调整方式：</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bookmarkEnd w:id="494"/>
    <w:bookmarkEnd w:id="495"/>
    <w:bookmarkEnd w:id="496"/>
    <w:bookmarkEnd w:id="497"/>
    <w:bookmarkEnd w:id="498"/>
    <w:bookmarkEnd w:id="499"/>
    <w:p>
      <w:pPr>
        <w:pStyle w:val="6"/>
        <w:spacing w:before="120" w:after="120" w:line="460" w:lineRule="exact"/>
        <w:rPr>
          <w:rFonts w:ascii="宋体" w:hAnsi="宋体" w:eastAsia="宋体" w:cs="宋体"/>
          <w:b w:val="0"/>
          <w:sz w:val="24"/>
          <w:szCs w:val="32"/>
        </w:rPr>
      </w:pPr>
      <w:bookmarkStart w:id="607" w:name="_Toc297120505"/>
      <w:bookmarkStart w:id="608" w:name="_Toc296346706"/>
      <w:bookmarkStart w:id="609" w:name="_Toc296347204"/>
      <w:bookmarkStart w:id="610" w:name="_Toc292559915"/>
      <w:bookmarkStart w:id="611" w:name="_Toc296891033"/>
      <w:bookmarkStart w:id="612" w:name="_Toc296891245"/>
      <w:bookmarkStart w:id="613" w:name="_Toc296944544"/>
      <w:bookmarkStart w:id="614" w:name="_Toc292559410"/>
      <w:bookmarkStart w:id="615" w:name="_Toc297048391"/>
      <w:bookmarkStart w:id="616" w:name="_Toc296503205"/>
      <w:bookmarkStart w:id="617" w:name="_Toc351203644"/>
      <w:bookmarkStart w:id="618" w:name="_Toc300935002"/>
      <w:bookmarkStart w:id="619" w:name="_Toc297123552"/>
      <w:bookmarkStart w:id="620" w:name="_Toc303539159"/>
      <w:bookmarkStart w:id="621" w:name="_Toc312678040"/>
      <w:bookmarkStart w:id="622" w:name="_Toc304295579"/>
      <w:bookmarkStart w:id="623" w:name="_Toc297216211"/>
      <w:r>
        <w:rPr>
          <w:rFonts w:hint="eastAsia" w:ascii="宋体" w:hAnsi="宋体" w:eastAsia="宋体" w:cs="宋体"/>
          <w:b w:val="0"/>
          <w:sz w:val="24"/>
          <w:szCs w:val="32"/>
        </w:rPr>
        <w:t xml:space="preserve">12. </w:t>
      </w:r>
      <w:bookmarkEnd w:id="607"/>
      <w:bookmarkEnd w:id="608"/>
      <w:bookmarkEnd w:id="609"/>
      <w:bookmarkEnd w:id="610"/>
      <w:bookmarkEnd w:id="611"/>
      <w:bookmarkEnd w:id="612"/>
      <w:bookmarkEnd w:id="613"/>
      <w:bookmarkEnd w:id="614"/>
      <w:bookmarkEnd w:id="615"/>
      <w:bookmarkEnd w:id="616"/>
      <w:r>
        <w:rPr>
          <w:rFonts w:hint="eastAsia" w:ascii="宋体" w:hAnsi="宋体" w:eastAsia="宋体" w:cs="宋体"/>
          <w:b w:val="0"/>
          <w:sz w:val="24"/>
          <w:szCs w:val="32"/>
        </w:rPr>
        <w:t>合同价格、计量与支付</w:t>
      </w:r>
      <w:bookmarkEnd w:id="617"/>
    </w:p>
    <w:bookmarkEnd w:id="618"/>
    <w:bookmarkEnd w:id="619"/>
    <w:bookmarkEnd w:id="620"/>
    <w:bookmarkEnd w:id="621"/>
    <w:bookmarkEnd w:id="622"/>
    <w:bookmarkEnd w:id="623"/>
    <w:p>
      <w:pPr>
        <w:spacing w:after="120" w:line="460" w:lineRule="exact"/>
        <w:ind w:firstLine="480" w:firstLineChars="200"/>
        <w:rPr>
          <w:rFonts w:ascii="宋体" w:hAnsi="宋体" w:eastAsia="宋体" w:cs="宋体"/>
          <w:sz w:val="24"/>
          <w:szCs w:val="32"/>
        </w:rPr>
      </w:pPr>
      <w:bookmarkStart w:id="624" w:name="_Toc292559916"/>
      <w:bookmarkStart w:id="625" w:name="_Toc267251461"/>
      <w:bookmarkStart w:id="626" w:name="_Toc292559411"/>
      <w:bookmarkStart w:id="627" w:name="_Toc296503206"/>
      <w:bookmarkStart w:id="628" w:name="_Toc296347205"/>
      <w:bookmarkStart w:id="629" w:name="_Toc296944545"/>
      <w:bookmarkStart w:id="630" w:name="_Toc297048392"/>
      <w:bookmarkStart w:id="631" w:name="_Toc296891034"/>
      <w:bookmarkStart w:id="632" w:name="_Toc296891246"/>
      <w:bookmarkStart w:id="633" w:name="_Toc296346707"/>
      <w:bookmarkStart w:id="634" w:name="_Toc297120506"/>
      <w:bookmarkStart w:id="635" w:name="_Toc303539160"/>
      <w:bookmarkStart w:id="636" w:name="_Toc312678041"/>
      <w:bookmarkStart w:id="637" w:name="_Toc304295580"/>
      <w:bookmarkStart w:id="638" w:name="_Toc300935003"/>
      <w:bookmarkStart w:id="639" w:name="_Toc297123553"/>
      <w:bookmarkStart w:id="640" w:name="_Toc297216212"/>
      <w:r>
        <w:rPr>
          <w:rFonts w:hint="eastAsia" w:ascii="宋体" w:hAnsi="宋体" w:eastAsia="宋体" w:cs="宋体"/>
          <w:sz w:val="24"/>
          <w:szCs w:val="32"/>
        </w:rPr>
        <w:t>12.1 合</w:t>
      </w:r>
      <w:bookmarkEnd w:id="624"/>
      <w:bookmarkEnd w:id="625"/>
      <w:bookmarkEnd w:id="626"/>
      <w:r>
        <w:rPr>
          <w:rFonts w:hint="eastAsia" w:ascii="宋体" w:hAnsi="宋体" w:eastAsia="宋体" w:cs="宋体"/>
          <w:sz w:val="24"/>
          <w:szCs w:val="32"/>
        </w:rPr>
        <w:t>同价</w:t>
      </w:r>
      <w:bookmarkEnd w:id="627"/>
      <w:bookmarkEnd w:id="628"/>
      <w:bookmarkEnd w:id="629"/>
      <w:bookmarkEnd w:id="630"/>
      <w:bookmarkEnd w:id="631"/>
      <w:bookmarkEnd w:id="632"/>
      <w:bookmarkEnd w:id="633"/>
      <w:bookmarkEnd w:id="634"/>
      <w:r>
        <w:rPr>
          <w:rFonts w:hint="eastAsia" w:ascii="宋体" w:hAnsi="宋体" w:eastAsia="宋体" w:cs="宋体"/>
          <w:sz w:val="24"/>
          <w:szCs w:val="32"/>
        </w:rPr>
        <w:t>格形式</w:t>
      </w:r>
    </w:p>
    <w:bookmarkEnd w:id="635"/>
    <w:bookmarkEnd w:id="636"/>
    <w:bookmarkEnd w:id="637"/>
    <w:bookmarkEnd w:id="638"/>
    <w:bookmarkEnd w:id="639"/>
    <w:bookmarkEnd w:id="640"/>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w:t>
      </w:r>
      <w:r>
        <w:rPr>
          <w:rFonts w:hint="eastAsia" w:ascii="宋体" w:hAnsi="宋体" w:eastAsia="宋体" w:cs="宋体"/>
          <w:sz w:val="24"/>
          <w:szCs w:val="32"/>
          <w:u w:val="single"/>
        </w:rPr>
        <w:t xml:space="preserve"> 采用固定单价合同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综合单价包含的风险范围：</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风险费用的计算方法：</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风险范围以外合同价格的调整方法：</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2、总价合同。</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总价包含的风险范围：</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风险费用的计算方法：</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风险范围以外合同价格的调整方法：</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3、其他价格方式：</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bookmarkStart w:id="641" w:name="_Toc312678042"/>
      <w:bookmarkStart w:id="642" w:name="_Toc303539161"/>
      <w:bookmarkStart w:id="643" w:name="_Toc300935004"/>
      <w:bookmarkStart w:id="644" w:name="_Toc297123554"/>
      <w:bookmarkStart w:id="645" w:name="_Toc304295581"/>
      <w:bookmarkStart w:id="646" w:name="_Toc297216213"/>
      <w:bookmarkStart w:id="647" w:name="_Toc296347206"/>
      <w:bookmarkStart w:id="648" w:name="_Toc296346708"/>
      <w:bookmarkStart w:id="649" w:name="_Toc296891035"/>
      <w:bookmarkStart w:id="650" w:name="_Toc297048393"/>
      <w:bookmarkStart w:id="651" w:name="_Toc297120507"/>
      <w:bookmarkStart w:id="652" w:name="_Toc296944546"/>
      <w:bookmarkStart w:id="653" w:name="_Toc296503207"/>
      <w:bookmarkStart w:id="654" w:name="_Toc292559917"/>
      <w:bookmarkStart w:id="655" w:name="_Toc292559412"/>
      <w:bookmarkStart w:id="656" w:name="_Toc296891247"/>
      <w:r>
        <w:rPr>
          <w:rFonts w:hint="eastAsia" w:ascii="宋体" w:hAnsi="宋体" w:eastAsia="宋体" w:cs="宋体"/>
          <w:sz w:val="24"/>
          <w:szCs w:val="32"/>
        </w:rPr>
        <w:t>12.2 预付款</w:t>
      </w:r>
    </w:p>
    <w:bookmarkEnd w:id="641"/>
    <w:bookmarkEnd w:id="642"/>
    <w:bookmarkEnd w:id="643"/>
    <w:bookmarkEnd w:id="644"/>
    <w:bookmarkEnd w:id="645"/>
    <w:bookmarkEnd w:id="646"/>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12.2.1 预付款的支付</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预付款支付比例或金额：</w:t>
      </w:r>
      <w:r>
        <w:rPr>
          <w:rFonts w:hint="eastAsia" w:ascii="宋体" w:hAnsi="宋体" w:eastAsia="宋体" w:cs="宋体"/>
          <w:sz w:val="24"/>
          <w:szCs w:val="32"/>
          <w:u w:val="single"/>
        </w:rPr>
        <w:t xml:space="preserve"> </w:t>
      </w:r>
      <w:r>
        <w:rPr>
          <w:rFonts w:hint="eastAsia" w:ascii="宋体" w:hAnsi="宋体" w:eastAsia="宋体" w:cs="宋体"/>
          <w:sz w:val="24"/>
          <w:u w:val="single"/>
        </w:rPr>
        <w:t>签约合同价的30%</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预付款支付期限：</w:t>
      </w:r>
      <w:r>
        <w:rPr>
          <w:rFonts w:hint="eastAsia" w:ascii="宋体" w:hAnsi="宋体" w:eastAsia="宋体" w:cs="宋体"/>
          <w:sz w:val="24"/>
          <w:szCs w:val="32"/>
          <w:u w:val="single"/>
        </w:rPr>
        <w:t xml:space="preserve"> </w:t>
      </w:r>
      <w:r>
        <w:rPr>
          <w:rFonts w:hint="eastAsia" w:ascii="宋体" w:hAnsi="宋体" w:eastAsia="宋体" w:cs="宋体"/>
          <w:sz w:val="24"/>
          <w:u w:val="single"/>
        </w:rPr>
        <w:t>合同签订后14天内</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预付款扣回的方式：</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12.2.2 预付款担保</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承包人提交预付款担保的期限：</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预付款担保的形式为：</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bookmarkEnd w:id="647"/>
    <w:bookmarkEnd w:id="648"/>
    <w:bookmarkEnd w:id="649"/>
    <w:bookmarkEnd w:id="650"/>
    <w:bookmarkEnd w:id="651"/>
    <w:bookmarkEnd w:id="652"/>
    <w:bookmarkEnd w:id="653"/>
    <w:bookmarkEnd w:id="654"/>
    <w:bookmarkEnd w:id="655"/>
    <w:bookmarkEnd w:id="656"/>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12.3 计量</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12.3.1 计量原则</w:t>
      </w:r>
    </w:p>
    <w:p>
      <w:pPr>
        <w:pStyle w:val="40"/>
        <w:spacing w:after="120" w:line="360" w:lineRule="auto"/>
        <w:ind w:firstLine="480" w:firstLineChars="200"/>
        <w:rPr>
          <w:rFonts w:ascii="宋体" w:hAnsi="宋体" w:cs="宋体"/>
          <w:sz w:val="24"/>
          <w:u w:val="single"/>
        </w:rPr>
      </w:pPr>
      <w:r>
        <w:rPr>
          <w:rFonts w:hint="eastAsia" w:ascii="宋体" w:hAnsi="宋体" w:cs="宋体"/>
          <w:sz w:val="24"/>
          <w:szCs w:val="32"/>
        </w:rPr>
        <w:t>工程量计算规则：</w:t>
      </w:r>
      <w:r>
        <w:rPr>
          <w:rFonts w:hint="eastAsia" w:ascii="宋体" w:hAnsi="宋体" w:cs="宋体"/>
          <w:sz w:val="24"/>
          <w:u w:val="single"/>
        </w:rPr>
        <w:t xml:space="preserve"> 1、实行工程量清单计价的工程项目，其工程量的计算规则应按国家标准工程量计算规范及省级行业主管部门颁布的补充规定执行。2、不实行工程量清单计价的工程项目，工程量的计算规则应按省、市行业主管部门颁布的各专业工程定额的工程量计算规则执行 </w:t>
      </w:r>
      <w:r>
        <w:rPr>
          <w:rFonts w:hint="eastAsia" w:ascii="宋体" w:hAnsi="宋体" w:cs="宋体"/>
          <w:sz w:val="24"/>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12.3.2 计量周期</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关于计量周期的约定：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12.3.3 单价合同的计量</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关于单价合同计量的约定：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12.3.4 总价合同的计量</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关于总价合同计量的约定：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12.3.5总价合同采用支付分解表计量支付的，是否适用第</w:t>
      </w:r>
      <w:r>
        <w:rPr>
          <w:rFonts w:hint="eastAsia" w:ascii="宋体" w:hAnsi="宋体" w:eastAsia="宋体" w:cs="宋体"/>
          <w:kern w:val="0"/>
          <w:sz w:val="24"/>
          <w:szCs w:val="32"/>
        </w:rPr>
        <w:t xml:space="preserve">12.3.4 </w:t>
      </w:r>
      <w:r>
        <w:rPr>
          <w:rFonts w:hint="eastAsia" w:ascii="宋体" w:hAnsi="宋体" w:eastAsia="宋体" w:cs="宋体"/>
          <w:sz w:val="24"/>
          <w:szCs w:val="32"/>
        </w:rPr>
        <w:t>项</w:t>
      </w:r>
      <w:r>
        <w:rPr>
          <w:rFonts w:hint="eastAsia" w:ascii="宋体" w:hAnsi="宋体" w:eastAsia="宋体" w:cs="宋体"/>
          <w:kern w:val="0"/>
          <w:sz w:val="24"/>
          <w:szCs w:val="32"/>
        </w:rPr>
        <w:t>〔总价合同的计量〕</w:t>
      </w:r>
      <w:r>
        <w:rPr>
          <w:rFonts w:hint="eastAsia" w:ascii="宋体" w:hAnsi="宋体" w:eastAsia="宋体" w:cs="宋体"/>
          <w:sz w:val="24"/>
          <w:szCs w:val="32"/>
        </w:rPr>
        <w:t>约定进行计量：</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12.3.6 其他价格形式合同的计量</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其他价格形式的计量方式和程序：</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12.4 工程进度款支付</w:t>
      </w:r>
    </w:p>
    <w:p>
      <w:pPr>
        <w:spacing w:line="460" w:lineRule="exact"/>
        <w:ind w:firstLine="480" w:firstLineChars="200"/>
        <w:jc w:val="left"/>
        <w:rPr>
          <w:rFonts w:ascii="宋体" w:hAnsi="宋体" w:eastAsia="宋体" w:cs="宋体"/>
          <w:sz w:val="24"/>
          <w:szCs w:val="32"/>
        </w:rPr>
      </w:pPr>
      <w:bookmarkStart w:id="657" w:name="_Toc297123556"/>
      <w:bookmarkStart w:id="658" w:name="_Toc297216215"/>
      <w:bookmarkStart w:id="659" w:name="_Toc296346712"/>
      <w:bookmarkStart w:id="660" w:name="_Toc292559416"/>
      <w:bookmarkStart w:id="661" w:name="_Toc297048397"/>
      <w:bookmarkStart w:id="662" w:name="_Toc296347210"/>
      <w:bookmarkStart w:id="663" w:name="_Toc296891039"/>
      <w:bookmarkStart w:id="664" w:name="_Toc296944550"/>
      <w:bookmarkStart w:id="665" w:name="_Toc292559921"/>
      <w:bookmarkStart w:id="666" w:name="_Toc303539163"/>
      <w:bookmarkStart w:id="667" w:name="_Toc297120511"/>
      <w:bookmarkStart w:id="668" w:name="_Toc300935006"/>
      <w:bookmarkStart w:id="669" w:name="_Toc296503211"/>
      <w:bookmarkStart w:id="670" w:name="_Toc296891251"/>
      <w:r>
        <w:rPr>
          <w:rFonts w:hint="eastAsia" w:ascii="宋体" w:hAnsi="宋体" w:eastAsia="宋体" w:cs="宋体"/>
          <w:sz w:val="24"/>
          <w:szCs w:val="32"/>
        </w:rPr>
        <w:t>12.4.1 付款时间</w:t>
      </w:r>
    </w:p>
    <w:p>
      <w:pPr>
        <w:spacing w:line="460" w:lineRule="exact"/>
        <w:ind w:firstLine="480" w:firstLineChars="200"/>
        <w:jc w:val="left"/>
        <w:rPr>
          <w:rFonts w:ascii="宋体" w:hAnsi="宋体" w:eastAsia="宋体" w:cs="宋体"/>
          <w:sz w:val="24"/>
          <w:u w:val="single"/>
        </w:rPr>
      </w:pPr>
      <w:r>
        <w:rPr>
          <w:rFonts w:hint="eastAsia" w:ascii="宋体" w:hAnsi="宋体" w:eastAsia="宋体" w:cs="宋体"/>
          <w:sz w:val="24"/>
          <w:szCs w:val="32"/>
        </w:rPr>
        <w:t>关于付款周期的约定：</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合同签订后按工程合同价30％支付预付款；当完成总工程量的60％时，招标人向投标人支付合同总价的30％；工程竣工正式验收合格，完整结算资料送达发包人接收后可支付合同总价的25％；工程审计结束后付至工程审计结算价97％，余款作为工程质量保证金，保修期满后7日内支付。履约保证金在竣工验收合格后，7日内无息退还；联系单的费用在审计后，按照审计价与结算款一并支付，具体按浙江大学浙大发总务〔2019〕4号的规定办理。承包方须统一开具增值税专用发票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u w:val="single"/>
        </w:rPr>
        <w:t>结算审核费用：施工单位编制工程结算书应遵循实事求是的原则。对于结算审核费用，按浙价服</w:t>
      </w:r>
      <w:r>
        <w:rPr>
          <w:rFonts w:hint="eastAsia" w:ascii="宋体" w:hAnsi="宋体" w:eastAsia="宋体" w:cs="宋体"/>
          <w:kern w:val="0"/>
          <w:sz w:val="24"/>
          <w:szCs w:val="32"/>
          <w:u w:val="single"/>
        </w:rPr>
        <w:t>〔2009〕</w:t>
      </w:r>
      <w:r>
        <w:rPr>
          <w:rFonts w:hint="eastAsia" w:ascii="宋体" w:hAnsi="宋体" w:eastAsia="宋体" w:cs="宋体"/>
          <w:sz w:val="24"/>
          <w:u w:val="single"/>
        </w:rPr>
        <w:t xml:space="preserve">84号文件《浙江省建设工程造价咨询服务基准收费标准》的规定执行。基本费由业主单位承担；核减追加费按核减额超过送审造价5%的幅度以外的核减额为基数计算，费用由施工单位承担，核增费用的审核费由施工单位承担，施工单位支付部分由施工单位另行支付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12.4.2 进度付款申请单的编制</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关于进度付款申请单编制的约定：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rFonts w:hint="eastAsia" w:ascii="宋体" w:hAnsi="宋体" w:eastAsia="宋体" w:cs="宋体"/>
          <w:sz w:val="24"/>
          <w:szCs w:val="32"/>
        </w:rPr>
        <w:t>2.4.3 进度付款申请单的提交</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（1）单价合同进度付款申请单提交的约定：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（2）总价合同进度付款申请单提交的约定：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（3）其他价格形式合同进度付款申请单提交的约定：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12.4.4 进度款审核和支付</w:t>
      </w:r>
    </w:p>
    <w:p>
      <w:pPr>
        <w:spacing w:line="460" w:lineRule="exact"/>
        <w:ind w:firstLine="480" w:firstLineChars="200"/>
        <w:jc w:val="left"/>
        <w:rPr>
          <w:rFonts w:ascii="宋体" w:hAnsi="宋体" w:eastAsia="宋体" w:cs="宋体"/>
          <w:sz w:val="24"/>
          <w:szCs w:val="32"/>
          <w:u w:val="single"/>
        </w:rPr>
      </w:pPr>
      <w:r>
        <w:rPr>
          <w:rFonts w:hint="eastAsia" w:ascii="宋体" w:hAnsi="宋体" w:eastAsia="宋体" w:cs="宋体"/>
          <w:sz w:val="24"/>
          <w:szCs w:val="32"/>
        </w:rPr>
        <w:t>（1）监理人审查并报送发包人的期限：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7天内</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发包人完成审批并签发进度款支付证书的期限：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14天内</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（2）发包人支付进度款的期限：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7天内</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600" w:firstLineChars="250"/>
        <w:jc w:val="left"/>
        <w:rPr>
          <w:rFonts w:ascii="宋体" w:hAnsi="宋体" w:eastAsia="宋体" w:cs="宋体"/>
          <w:sz w:val="24"/>
          <w:szCs w:val="32"/>
        </w:rPr>
      </w:pPr>
      <w:r>
        <w:rPr>
          <w:rFonts w:hint="eastAsia" w:ascii="宋体" w:hAnsi="宋体" w:eastAsia="宋体" w:cs="宋体"/>
          <w:sz w:val="24"/>
          <w:szCs w:val="32"/>
        </w:rPr>
        <w:t>发包人逾期支付进度款的违约金的计算方式：</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600" w:firstLineChars="250"/>
        <w:jc w:val="left"/>
        <w:rPr>
          <w:rFonts w:ascii="宋体" w:hAnsi="宋体" w:eastAsia="宋体" w:cs="宋体"/>
          <w:sz w:val="24"/>
          <w:szCs w:val="32"/>
        </w:rPr>
      </w:pPr>
      <w:r>
        <w:rPr>
          <w:rFonts w:hint="eastAsia" w:ascii="宋体" w:hAnsi="宋体" w:eastAsia="宋体" w:cs="宋体"/>
          <w:sz w:val="24"/>
          <w:szCs w:val="32"/>
        </w:rPr>
        <w:t>12.4.6 支付分解表的编制</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2、总价合同支付分解表的编制与审批：</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3、单价合同的总价项目支付分解表的编制与审批：</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bookmarkEnd w:id="500"/>
    <w:p>
      <w:pPr>
        <w:pStyle w:val="6"/>
        <w:spacing w:before="120" w:after="120" w:line="460" w:lineRule="exact"/>
        <w:rPr>
          <w:rFonts w:ascii="宋体" w:hAnsi="宋体" w:eastAsia="宋体" w:cs="宋体"/>
          <w:b w:val="0"/>
          <w:sz w:val="24"/>
          <w:szCs w:val="32"/>
        </w:rPr>
      </w:pPr>
      <w:bookmarkStart w:id="671" w:name="_Toc351203645"/>
      <w:bookmarkStart w:id="672" w:name="_Toc304295593"/>
      <w:bookmarkStart w:id="673" w:name="_Toc296503219"/>
      <w:bookmarkStart w:id="674" w:name="_Toc297120519"/>
      <w:bookmarkStart w:id="675" w:name="_Toc297048405"/>
      <w:bookmarkStart w:id="676" w:name="_Toc292559424"/>
      <w:bookmarkStart w:id="677" w:name="_Toc297216223"/>
      <w:bookmarkStart w:id="678" w:name="_Toc296944558"/>
      <w:bookmarkStart w:id="679" w:name="_Toc296347218"/>
      <w:bookmarkStart w:id="680" w:name="_Toc303539172"/>
      <w:bookmarkStart w:id="681" w:name="_Toc296891047"/>
      <w:bookmarkStart w:id="682" w:name="_Toc300935015"/>
      <w:bookmarkStart w:id="683" w:name="_Toc296891259"/>
      <w:bookmarkStart w:id="684" w:name="_Toc312678053"/>
      <w:bookmarkStart w:id="685" w:name="_Toc297123564"/>
      <w:bookmarkStart w:id="686" w:name="_Toc296346720"/>
      <w:bookmarkStart w:id="687" w:name="_Toc292559929"/>
      <w:r>
        <w:rPr>
          <w:rFonts w:hint="eastAsia" w:ascii="宋体" w:hAnsi="宋体" w:eastAsia="宋体" w:cs="宋体"/>
          <w:b w:val="0"/>
          <w:sz w:val="24"/>
          <w:szCs w:val="32"/>
        </w:rPr>
        <w:t>13. 验收和工程试车</w:t>
      </w:r>
      <w:bookmarkEnd w:id="671"/>
    </w:p>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13.1 分部分项工程验收</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13.1.2监理人不能按时进行验收时，应提前</w:t>
      </w:r>
      <w:r>
        <w:rPr>
          <w:rFonts w:hint="eastAsia" w:ascii="宋体" w:hAnsi="宋体" w:eastAsia="宋体" w:cs="宋体"/>
          <w:sz w:val="24"/>
          <w:szCs w:val="32"/>
          <w:u w:val="single"/>
        </w:rPr>
        <w:t xml:space="preserve"> 24 </w:t>
      </w:r>
      <w:r>
        <w:rPr>
          <w:rFonts w:hint="eastAsia" w:ascii="宋体" w:hAnsi="宋体" w:eastAsia="宋体" w:cs="宋体"/>
          <w:sz w:val="24"/>
          <w:szCs w:val="32"/>
        </w:rPr>
        <w:t>小时提交书面延期要求。</w:t>
      </w:r>
    </w:p>
    <w:p>
      <w:pPr>
        <w:spacing w:line="460" w:lineRule="exact"/>
        <w:ind w:firstLine="480" w:firstLineChars="200"/>
        <w:jc w:val="left"/>
        <w:rPr>
          <w:rFonts w:ascii="宋体" w:hAnsi="宋体" w:eastAsia="宋体" w:cs="宋体"/>
          <w:b/>
          <w:sz w:val="24"/>
          <w:szCs w:val="32"/>
        </w:rPr>
      </w:pPr>
      <w:r>
        <w:rPr>
          <w:rFonts w:hint="eastAsia" w:ascii="宋体" w:hAnsi="宋体" w:eastAsia="宋体" w:cs="宋体"/>
          <w:sz w:val="24"/>
          <w:szCs w:val="32"/>
        </w:rPr>
        <w:t>关于延期最长不得超过：</w:t>
      </w:r>
      <w:r>
        <w:rPr>
          <w:rFonts w:hint="eastAsia" w:ascii="宋体" w:hAnsi="宋体" w:eastAsia="宋体" w:cs="宋体"/>
          <w:sz w:val="24"/>
          <w:szCs w:val="32"/>
          <w:u w:val="single"/>
        </w:rPr>
        <w:t xml:space="preserve"> 48 </w:t>
      </w:r>
      <w:r>
        <w:rPr>
          <w:rFonts w:hint="eastAsia" w:ascii="宋体" w:hAnsi="宋体" w:eastAsia="宋体" w:cs="宋体"/>
          <w:sz w:val="24"/>
          <w:szCs w:val="32"/>
        </w:rPr>
        <w:t>小时。</w:t>
      </w:r>
    </w:p>
    <w:p>
      <w:pPr>
        <w:spacing w:after="120" w:line="460" w:lineRule="exact"/>
        <w:ind w:firstLine="480" w:firstLineChars="200"/>
        <w:rPr>
          <w:rFonts w:ascii="宋体" w:hAnsi="宋体" w:eastAsia="宋体" w:cs="宋体"/>
          <w:sz w:val="24"/>
          <w:szCs w:val="32"/>
        </w:rPr>
      </w:pPr>
      <w:bookmarkStart w:id="688" w:name="_Toc297120523"/>
      <w:bookmarkStart w:id="689" w:name="_Toc296891051"/>
      <w:bookmarkStart w:id="690" w:name="_Toc292559428"/>
      <w:bookmarkStart w:id="691" w:name="_Toc312678056"/>
      <w:bookmarkStart w:id="692" w:name="_Toc297216224"/>
      <w:bookmarkStart w:id="693" w:name="_Toc297048409"/>
      <w:bookmarkStart w:id="694" w:name="_Toc296346724"/>
      <w:bookmarkStart w:id="695" w:name="_Toc296347222"/>
      <w:bookmarkStart w:id="696" w:name="_Toc296503223"/>
      <w:bookmarkStart w:id="697" w:name="_Toc303539173"/>
      <w:bookmarkStart w:id="698" w:name="_Toc296891263"/>
      <w:bookmarkStart w:id="699" w:name="_Toc300935016"/>
      <w:bookmarkStart w:id="700" w:name="_Toc297123565"/>
      <w:bookmarkStart w:id="701" w:name="_Toc296944562"/>
      <w:bookmarkStart w:id="702" w:name="_Toc292559933"/>
      <w:bookmarkStart w:id="703" w:name="_Toc304295596"/>
      <w:bookmarkStart w:id="704" w:name="_Toc267251471"/>
      <w:bookmarkStart w:id="705" w:name="_Toc267251475"/>
      <w:bookmarkStart w:id="706" w:name="_Toc267251473"/>
      <w:bookmarkStart w:id="707" w:name="_Toc267251476"/>
      <w:bookmarkStart w:id="708" w:name="_Toc267251470"/>
      <w:bookmarkStart w:id="709" w:name="_Toc267251474"/>
      <w:bookmarkStart w:id="710" w:name="_Toc267251472"/>
      <w:r>
        <w:rPr>
          <w:rFonts w:hint="eastAsia" w:ascii="宋体" w:hAnsi="宋体" w:eastAsia="宋体" w:cs="宋体"/>
          <w:sz w:val="24"/>
          <w:szCs w:val="32"/>
        </w:rPr>
        <w:t>13.2 竣工验收</w:t>
      </w:r>
    </w:p>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Pr>
        <w:spacing w:line="460" w:lineRule="exact"/>
        <w:ind w:firstLine="480" w:firstLineChars="200"/>
        <w:jc w:val="left"/>
        <w:rPr>
          <w:rFonts w:ascii="宋体" w:hAnsi="宋体" w:eastAsia="宋体" w:cs="宋体"/>
          <w:sz w:val="24"/>
          <w:szCs w:val="32"/>
        </w:rPr>
      </w:pPr>
      <w:bookmarkStart w:id="711" w:name="_Toc280868704"/>
      <w:bookmarkStart w:id="712" w:name="_Toc280868705"/>
      <w:bookmarkStart w:id="713" w:name="_Toc280868706"/>
      <w:bookmarkStart w:id="714" w:name="_Toc280868707"/>
      <w:bookmarkStart w:id="715" w:name="_Toc280868708"/>
      <w:bookmarkStart w:id="716" w:name="_Toc280868709"/>
      <w:r>
        <w:rPr>
          <w:rFonts w:hint="eastAsia" w:ascii="宋体" w:hAnsi="宋体" w:eastAsia="宋体" w:cs="宋体"/>
          <w:sz w:val="24"/>
          <w:szCs w:val="32"/>
        </w:rPr>
        <w:t>13.2.2竣工验收程序</w:t>
      </w:r>
    </w:p>
    <w:bookmarkEnd w:id="711"/>
    <w:p>
      <w:pPr>
        <w:spacing w:line="440" w:lineRule="exact"/>
        <w:ind w:firstLine="480" w:firstLineChars="200"/>
        <w:rPr>
          <w:rFonts w:ascii="宋体" w:hAnsi="宋体" w:eastAsia="宋体" w:cs="宋体"/>
          <w:sz w:val="24"/>
          <w:u w:val="single"/>
        </w:rPr>
      </w:pPr>
      <w:r>
        <w:rPr>
          <w:rFonts w:hint="eastAsia" w:ascii="宋体" w:hAnsi="宋体" w:eastAsia="宋体" w:cs="宋体"/>
          <w:kern w:val="0"/>
          <w:sz w:val="24"/>
          <w:szCs w:val="32"/>
        </w:rPr>
        <w:t>关于竣工验收程序的约定：</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1、工程质量与竣工验收需由发包人牵头组织承包人、设计单位、监理单位、使用人及有关职能部门等共同参与验收认可，确保符合《工程施工质量验收规范GB50300-2001》标准执行，符合并通过消防验收要求，同时确保工程质量符合招标文件规定的验收要求。承包人必须提供室内空气质量检测合格报告方可组织验收，检测费用由承包人支付。2、工程实施预验收制度，工程结算合同执行时间以预验收时间为准。预验收时间超过招标文件规定工期20%之内不执行延期工程扣款。工程保修期计算时间仍以正式验收时间为准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u w:val="single"/>
        </w:rPr>
      </w:pPr>
      <w:r>
        <w:rPr>
          <w:rFonts w:hint="eastAsia" w:ascii="宋体" w:hAnsi="宋体" w:eastAsia="宋体" w:cs="宋体"/>
          <w:kern w:val="0"/>
          <w:sz w:val="24"/>
          <w:szCs w:val="32"/>
        </w:rPr>
        <w:t>发包人不按照本项约定组织竣工验收、颁发工程接收证书的违约金的计算方法：</w:t>
      </w:r>
    </w:p>
    <w:p>
      <w:pPr>
        <w:spacing w:line="460" w:lineRule="exact"/>
        <w:jc w:val="left"/>
        <w:rPr>
          <w:rFonts w:ascii="宋体" w:hAnsi="宋体" w:eastAsia="宋体" w:cs="宋体"/>
          <w:sz w:val="24"/>
          <w:szCs w:val="32"/>
        </w:rPr>
      </w:pPr>
      <w:r>
        <w:rPr>
          <w:rFonts w:hint="eastAsia" w:ascii="宋体" w:hAnsi="宋体" w:eastAsia="宋体" w:cs="宋体"/>
          <w:sz w:val="24"/>
          <w:szCs w:val="32"/>
          <w:u w:val="single"/>
        </w:rPr>
        <w:t xml:space="preserve">      /     </w:t>
      </w:r>
      <w:r>
        <w:rPr>
          <w:rFonts w:hint="eastAsia" w:ascii="宋体" w:hAnsi="宋体" w:eastAsia="宋体" w:cs="宋体"/>
          <w:sz w:val="24"/>
          <w:szCs w:val="32"/>
        </w:rPr>
        <w:t>。</w:t>
      </w:r>
    </w:p>
    <w:bookmarkEnd w:id="712"/>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13.2.5移交、接收全部与部分工程</w:t>
      </w:r>
    </w:p>
    <w:bookmarkEnd w:id="713"/>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承包人向发包人移交工程的期限：</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u w:val="single"/>
        </w:rPr>
      </w:pPr>
      <w:r>
        <w:rPr>
          <w:rFonts w:hint="eastAsia" w:ascii="宋体" w:hAnsi="宋体" w:eastAsia="宋体" w:cs="宋体"/>
          <w:kern w:val="0"/>
          <w:sz w:val="24"/>
          <w:szCs w:val="32"/>
        </w:rPr>
        <w:t>发包人未按本合同约定接收全部或部分工程的，违约金的计算方法为：</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bookmarkEnd w:id="714"/>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承包人未按时移交工程的，违约金的计算方法为：</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13.3 工程试车</w:t>
      </w:r>
    </w:p>
    <w:bookmarkEnd w:id="715"/>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13.3.1 试车程序</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工程试车内容：</w:t>
      </w:r>
      <w:bookmarkStart w:id="717" w:name="OLE_LINK135"/>
      <w:r>
        <w:rPr>
          <w:rFonts w:hint="eastAsia" w:ascii="宋体" w:hAnsi="宋体" w:eastAsia="宋体" w:cs="宋体"/>
          <w:sz w:val="24"/>
          <w:szCs w:val="32"/>
          <w:u w:val="single"/>
        </w:rPr>
        <w:t xml:space="preserve"> 试车内容应与承包人承包范围相一致，试车费用由承包人承担</w:t>
      </w:r>
      <w:bookmarkEnd w:id="717"/>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（1）单机无负荷试车费用由</w:t>
      </w:r>
      <w:r>
        <w:rPr>
          <w:rFonts w:hint="eastAsia" w:ascii="宋体" w:hAnsi="宋体" w:eastAsia="宋体" w:cs="宋体"/>
          <w:sz w:val="24"/>
          <w:szCs w:val="32"/>
          <w:u w:val="single"/>
        </w:rPr>
        <w:t xml:space="preserve"> 承包人 </w:t>
      </w:r>
      <w:r>
        <w:rPr>
          <w:rFonts w:hint="eastAsia" w:ascii="宋体" w:hAnsi="宋体" w:eastAsia="宋体" w:cs="宋体"/>
          <w:kern w:val="0"/>
          <w:sz w:val="24"/>
          <w:szCs w:val="32"/>
        </w:rPr>
        <w:t>承担；</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（2）无负荷联动试车费用由</w:t>
      </w:r>
      <w:r>
        <w:rPr>
          <w:rFonts w:hint="eastAsia" w:ascii="宋体" w:hAnsi="宋体" w:eastAsia="宋体" w:cs="宋体"/>
          <w:kern w:val="0"/>
          <w:sz w:val="24"/>
          <w:szCs w:val="32"/>
          <w:u w:val="single"/>
        </w:rPr>
        <w:t xml:space="preserve"> </w:t>
      </w:r>
      <w:r>
        <w:rPr>
          <w:rFonts w:hint="eastAsia" w:ascii="宋体" w:hAnsi="宋体" w:eastAsia="宋体" w:cs="宋体"/>
          <w:sz w:val="24"/>
          <w:szCs w:val="32"/>
          <w:u w:val="single"/>
        </w:rPr>
        <w:t xml:space="preserve">承包人 </w:t>
      </w:r>
      <w:r>
        <w:rPr>
          <w:rFonts w:hint="eastAsia" w:ascii="宋体" w:hAnsi="宋体" w:eastAsia="宋体" w:cs="宋体"/>
          <w:kern w:val="0"/>
          <w:sz w:val="24"/>
          <w:szCs w:val="32"/>
        </w:rPr>
        <w:t>承担。</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13.3.3 投料试车</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关于投料试车相关事项的约定：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13.6 竣工退场</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13.6.1 竣工退场</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承包人完成竣工退场的期限：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7天内</w:t>
      </w:r>
      <w:r>
        <w:rPr>
          <w:rFonts w:hint="eastAsia" w:ascii="宋体" w:hAnsi="宋体" w:eastAsia="宋体" w:cs="宋体"/>
          <w:sz w:val="24"/>
          <w:szCs w:val="32"/>
          <w:u w:val="single"/>
        </w:rPr>
        <w:t xml:space="preserve"> </w:t>
      </w:r>
      <w:r>
        <w:rPr>
          <w:rFonts w:hint="eastAsia" w:ascii="宋体" w:hAnsi="宋体" w:eastAsia="宋体" w:cs="宋体"/>
          <w:kern w:val="0"/>
          <w:sz w:val="24"/>
          <w:szCs w:val="32"/>
        </w:rPr>
        <w:t>。</w:t>
      </w:r>
    </w:p>
    <w:p>
      <w:pPr>
        <w:pStyle w:val="6"/>
        <w:spacing w:before="120" w:after="120" w:line="460" w:lineRule="exact"/>
        <w:rPr>
          <w:rFonts w:ascii="宋体" w:hAnsi="宋体" w:eastAsia="宋体" w:cs="宋体"/>
          <w:b w:val="0"/>
          <w:sz w:val="24"/>
          <w:szCs w:val="32"/>
        </w:rPr>
      </w:pPr>
      <w:bookmarkStart w:id="718" w:name="_Toc351203646"/>
      <w:r>
        <w:rPr>
          <w:rFonts w:hint="eastAsia" w:ascii="宋体" w:hAnsi="宋体" w:eastAsia="宋体" w:cs="宋体"/>
          <w:b w:val="0"/>
          <w:sz w:val="24"/>
          <w:szCs w:val="32"/>
        </w:rPr>
        <w:t>14. 竣工结算</w:t>
      </w:r>
      <w:bookmarkEnd w:id="718"/>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14.1 竣工结算申请</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承包人提交竣工结算申请单的期限：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工程竣工验收合格后45天内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竣工结算申请单应包括的内容：</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14.2 竣工结算审核</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发包人审批竣工付款申请单的期限：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承包人提交的竣工结算申请单批准后的60天内</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发包人完成竣工付款的期限：</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关于竣工付款证书异议部分复核的方式和程序：</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14.4 最终结清</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14.4.1 最终结清申请单</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承包人提交最终结清申请单的份数：</w:t>
      </w:r>
      <w:r>
        <w:rPr>
          <w:rFonts w:hint="eastAsia" w:ascii="宋体" w:hAnsi="宋体" w:eastAsia="宋体" w:cs="宋体"/>
          <w:sz w:val="24"/>
          <w:szCs w:val="32"/>
          <w:u w:val="single"/>
        </w:rPr>
        <w:t xml:space="preserve"> 2份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kern w:val="0"/>
          <w:sz w:val="24"/>
          <w:szCs w:val="32"/>
        </w:rPr>
        <w:t>承包人提交最终结算申请单的期限：</w:t>
      </w:r>
      <w:r>
        <w:rPr>
          <w:rFonts w:hint="eastAsia" w:ascii="宋体" w:hAnsi="宋体" w:eastAsia="宋体" w:cs="宋体"/>
          <w:sz w:val="24"/>
          <w:szCs w:val="32"/>
          <w:u w:val="single"/>
        </w:rPr>
        <w:t xml:space="preserve"> </w:t>
      </w:r>
      <w:r>
        <w:rPr>
          <w:rFonts w:hint="eastAsia" w:ascii="宋体" w:hAnsi="宋体" w:eastAsia="宋体" w:cs="宋体"/>
          <w:kern w:val="0"/>
          <w:sz w:val="24"/>
          <w:u w:val="single"/>
        </w:rPr>
        <w:t>在缺陷责任期终止证书颁发后7天内</w:t>
      </w:r>
      <w:r>
        <w:rPr>
          <w:rFonts w:hint="eastAsia" w:ascii="宋体" w:hAnsi="宋体" w:eastAsia="宋体" w:cs="宋体"/>
          <w:sz w:val="24"/>
          <w:szCs w:val="32"/>
          <w:u w:val="single"/>
        </w:rPr>
        <w:t xml:space="preserve"> </w:t>
      </w:r>
      <w:r>
        <w:rPr>
          <w:rFonts w:hint="eastAsia" w:ascii="宋体" w:hAnsi="宋体" w:eastAsia="宋体" w:cs="宋体"/>
          <w:sz w:val="24"/>
          <w:szCs w:val="32"/>
        </w:rPr>
        <w:t xml:space="preserve">。 </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14.4.2 最终结清证书和支付</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（1）发包人完成最终结清申请单的审批并颁发最终结清证书的期限：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14天内</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（2）发包人完成支付的期限：</w:t>
      </w:r>
      <w:r>
        <w:rPr>
          <w:rFonts w:hint="eastAsia" w:ascii="宋体" w:hAnsi="宋体" w:eastAsia="宋体" w:cs="宋体"/>
          <w:sz w:val="24"/>
          <w:szCs w:val="32"/>
          <w:u w:val="single"/>
        </w:rPr>
        <w:t xml:space="preserve"> </w:t>
      </w:r>
      <w:r>
        <w:rPr>
          <w:rFonts w:hint="eastAsia" w:ascii="宋体" w:hAnsi="宋体" w:eastAsia="宋体" w:cs="宋体"/>
          <w:sz w:val="24"/>
          <w:u w:val="single"/>
        </w:rPr>
        <w:t>14天内</w:t>
      </w:r>
      <w:r>
        <w:rPr>
          <w:rFonts w:hint="eastAsia" w:ascii="宋体" w:hAnsi="宋体" w:eastAsia="宋体" w:cs="宋体"/>
          <w:sz w:val="24"/>
          <w:szCs w:val="32"/>
          <w:u w:val="single"/>
        </w:rPr>
        <w:t xml:space="preserve"> </w:t>
      </w:r>
      <w:r>
        <w:rPr>
          <w:rFonts w:hint="eastAsia" w:ascii="宋体" w:hAnsi="宋体" w:eastAsia="宋体" w:cs="宋体"/>
          <w:sz w:val="24"/>
          <w:szCs w:val="32"/>
        </w:rPr>
        <w:t>。</w:t>
      </w:r>
    </w:p>
    <w:bookmarkEnd w:id="704"/>
    <w:bookmarkEnd w:id="705"/>
    <w:bookmarkEnd w:id="706"/>
    <w:bookmarkEnd w:id="707"/>
    <w:bookmarkEnd w:id="708"/>
    <w:bookmarkEnd w:id="709"/>
    <w:bookmarkEnd w:id="710"/>
    <w:bookmarkEnd w:id="716"/>
    <w:p>
      <w:pPr>
        <w:pStyle w:val="6"/>
        <w:spacing w:before="120" w:after="120" w:line="460" w:lineRule="exact"/>
        <w:rPr>
          <w:rFonts w:ascii="宋体" w:hAnsi="宋体" w:eastAsia="宋体" w:cs="宋体"/>
          <w:b w:val="0"/>
          <w:sz w:val="24"/>
          <w:szCs w:val="32"/>
        </w:rPr>
      </w:pPr>
      <w:bookmarkStart w:id="719" w:name="_Toc351203647"/>
      <w:bookmarkStart w:id="720" w:name="_Toc267251483"/>
      <w:bookmarkStart w:id="721" w:name="_Toc267251482"/>
      <w:bookmarkStart w:id="722" w:name="_Toc267251484"/>
      <w:bookmarkStart w:id="723" w:name="_Toc267251485"/>
      <w:bookmarkStart w:id="724" w:name="_Toc267251489"/>
      <w:bookmarkStart w:id="725" w:name="_Toc267251490"/>
      <w:bookmarkStart w:id="726" w:name="_Toc267251488"/>
      <w:bookmarkStart w:id="727" w:name="_Toc267251486"/>
      <w:bookmarkStart w:id="728" w:name="_Toc267251491"/>
      <w:bookmarkStart w:id="729" w:name="_Toc267251503"/>
      <w:bookmarkStart w:id="730" w:name="_Toc267251494"/>
      <w:bookmarkStart w:id="731" w:name="_Toc267251492"/>
      <w:bookmarkStart w:id="732" w:name="_Toc267251502"/>
      <w:bookmarkStart w:id="733" w:name="_Toc267251498"/>
      <w:bookmarkStart w:id="734" w:name="_Toc267251496"/>
      <w:bookmarkStart w:id="735" w:name="_Toc267251501"/>
      <w:bookmarkStart w:id="736" w:name="_Toc267251499"/>
      <w:bookmarkStart w:id="737" w:name="_Toc267251497"/>
      <w:bookmarkStart w:id="738" w:name="_Toc267251495"/>
      <w:bookmarkStart w:id="739" w:name="_Toc267251493"/>
      <w:bookmarkStart w:id="740" w:name="_Toc267251504"/>
      <w:bookmarkStart w:id="741" w:name="_Toc267251506"/>
      <w:bookmarkStart w:id="742" w:name="_Toc267251507"/>
      <w:bookmarkStart w:id="743" w:name="_Toc267251508"/>
      <w:bookmarkStart w:id="744" w:name="_Toc267251514"/>
      <w:bookmarkStart w:id="745" w:name="_Toc267251515"/>
      <w:bookmarkStart w:id="746" w:name="_Toc267251510"/>
      <w:bookmarkStart w:id="747" w:name="_Toc267251511"/>
      <w:bookmarkStart w:id="748" w:name="_Toc267251513"/>
      <w:bookmarkStart w:id="749" w:name="_Toc267251509"/>
      <w:r>
        <w:rPr>
          <w:rFonts w:hint="eastAsia" w:ascii="宋体" w:hAnsi="宋体" w:eastAsia="宋体" w:cs="宋体"/>
          <w:b w:val="0"/>
          <w:sz w:val="24"/>
          <w:szCs w:val="32"/>
        </w:rPr>
        <w:t>15. 缺陷责任期与保修</w:t>
      </w:r>
      <w:bookmarkEnd w:id="719"/>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15.2缺陷责任期</w:t>
      </w:r>
      <w:bookmarkEnd w:id="720"/>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缺陷责任期的具体期限：</w:t>
      </w:r>
      <w:r>
        <w:rPr>
          <w:rFonts w:hint="eastAsia" w:ascii="宋体" w:hAnsi="宋体" w:eastAsia="宋体" w:cs="宋体"/>
          <w:sz w:val="24"/>
          <w:szCs w:val="32"/>
          <w:u w:val="single"/>
        </w:rPr>
        <w:t xml:space="preserve"> </w:t>
      </w:r>
      <w:r>
        <w:rPr>
          <w:rFonts w:hint="eastAsia" w:ascii="宋体" w:hAnsi="宋体" w:eastAsia="宋体" w:cs="宋体"/>
          <w:sz w:val="24"/>
          <w:u w:val="single"/>
        </w:rPr>
        <w:t xml:space="preserve">按招标文件，缺陷责任期自工程竣工验收合格之日起计算 </w:t>
      </w:r>
      <w:r>
        <w:rPr>
          <w:rFonts w:hint="eastAsia" w:ascii="宋体" w:hAnsi="宋体" w:eastAsia="宋体" w:cs="宋体"/>
          <w:sz w:val="24"/>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15.3 质量保证金</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关于是否扣留质量保证金的约定：</w:t>
      </w:r>
      <w:r>
        <w:rPr>
          <w:rFonts w:hint="eastAsia" w:ascii="宋体" w:hAnsi="宋体" w:eastAsia="宋体" w:cs="宋体"/>
          <w:sz w:val="24"/>
          <w:szCs w:val="32"/>
          <w:u w:val="single"/>
        </w:rPr>
        <w:t xml:space="preserve"> </w:t>
      </w:r>
      <w:r>
        <w:rPr>
          <w:rFonts w:hint="eastAsia" w:ascii="宋体" w:hAnsi="宋体" w:eastAsia="宋体" w:cs="宋体"/>
          <w:sz w:val="24"/>
          <w:u w:val="single"/>
        </w:rPr>
        <w:t>是</w:t>
      </w:r>
      <w:r>
        <w:rPr>
          <w:rFonts w:hint="eastAsia" w:ascii="宋体" w:hAnsi="宋体" w:eastAsia="宋体" w:cs="宋体"/>
          <w:sz w:val="24"/>
          <w:szCs w:val="32"/>
          <w:u w:val="single"/>
        </w:rPr>
        <w:t xml:space="preserve"> </w:t>
      </w:r>
      <w:r>
        <w:rPr>
          <w:rFonts w:hint="eastAsia" w:ascii="宋体" w:hAnsi="宋体" w:eastAsia="宋体" w:cs="宋体"/>
          <w:sz w:val="24"/>
          <w:szCs w:val="32"/>
        </w:rPr>
        <w:t>。在工程项目竣工前，承包人按专用合同条款第3.7条提供履约担保的，发包人不得同时预留工程质量保证金。</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15.3.1 承包人提供质量保证金的方式</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质量保证金采用以下第</w:t>
      </w:r>
      <w:r>
        <w:rPr>
          <w:rFonts w:hint="eastAsia" w:ascii="宋体" w:hAnsi="宋体" w:eastAsia="宋体" w:cs="宋体"/>
          <w:sz w:val="24"/>
          <w:szCs w:val="32"/>
          <w:u w:val="single"/>
        </w:rPr>
        <w:t xml:space="preserve"> 2 </w:t>
      </w:r>
      <w:r>
        <w:rPr>
          <w:rFonts w:hint="eastAsia" w:ascii="宋体" w:hAnsi="宋体" w:eastAsia="宋体" w:cs="宋体"/>
          <w:sz w:val="24"/>
          <w:szCs w:val="32"/>
        </w:rPr>
        <w:t>种方式：</w:t>
      </w:r>
    </w:p>
    <w:p>
      <w:pPr>
        <w:autoSpaceDE w:val="0"/>
        <w:autoSpaceDN w:val="0"/>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（1）质量保证金保函，保证金额为：</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 xml:space="preserve">； </w:t>
      </w:r>
    </w:p>
    <w:p>
      <w:pPr>
        <w:autoSpaceDE w:val="0"/>
        <w:autoSpaceDN w:val="0"/>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（2）</w:t>
      </w:r>
      <w:r>
        <w:rPr>
          <w:rFonts w:hint="eastAsia" w:ascii="宋体" w:hAnsi="宋体" w:eastAsia="宋体" w:cs="宋体"/>
          <w:kern w:val="0"/>
          <w:sz w:val="24"/>
          <w:szCs w:val="32"/>
          <w:u w:val="single"/>
        </w:rPr>
        <w:t xml:space="preserve"> 3 </w:t>
      </w:r>
      <w:r>
        <w:rPr>
          <w:rFonts w:hint="eastAsia" w:ascii="宋体" w:hAnsi="宋体" w:eastAsia="宋体" w:cs="宋体"/>
          <w:kern w:val="0"/>
          <w:sz w:val="24"/>
          <w:szCs w:val="32"/>
        </w:rPr>
        <w:t>%的工程款；</w:t>
      </w:r>
    </w:p>
    <w:p>
      <w:pPr>
        <w:autoSpaceDE w:val="0"/>
        <w:autoSpaceDN w:val="0"/>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（3）其他方式</w:t>
      </w:r>
      <w:r>
        <w:rPr>
          <w:rFonts w:hint="eastAsia" w:ascii="宋体" w:hAnsi="宋体" w:eastAsia="宋体" w:cs="宋体"/>
          <w:sz w:val="24"/>
          <w:szCs w:val="32"/>
        </w:rPr>
        <w:t>：</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 xml:space="preserve">15.3.2 质量保证金的扣留 </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质量保证金的扣留采取以下第</w:t>
      </w:r>
      <w:r>
        <w:rPr>
          <w:rFonts w:hint="eastAsia" w:ascii="宋体" w:hAnsi="宋体" w:eastAsia="宋体" w:cs="宋体"/>
          <w:sz w:val="24"/>
          <w:szCs w:val="32"/>
          <w:u w:val="single"/>
        </w:rPr>
        <w:t xml:space="preserve"> 2 </w:t>
      </w:r>
      <w:r>
        <w:rPr>
          <w:rFonts w:hint="eastAsia" w:ascii="宋体" w:hAnsi="宋体" w:eastAsia="宋体" w:cs="宋体"/>
          <w:sz w:val="24"/>
          <w:szCs w:val="32"/>
        </w:rPr>
        <w:t>种方式：</w:t>
      </w:r>
    </w:p>
    <w:p>
      <w:pPr>
        <w:autoSpaceDE w:val="0"/>
        <w:autoSpaceDN w:val="0"/>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（1）在支付工程进度款时逐次扣留，在此情形下，质量保证金的计算基数不包括预付款的支付、扣回以及价格调整的金额；</w:t>
      </w:r>
    </w:p>
    <w:p>
      <w:pPr>
        <w:autoSpaceDE w:val="0"/>
        <w:autoSpaceDN w:val="0"/>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（2）工程竣工结算时一次性扣留质量保证金；</w:t>
      </w:r>
    </w:p>
    <w:p>
      <w:pPr>
        <w:autoSpaceDE w:val="0"/>
        <w:autoSpaceDN w:val="0"/>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（3）其他扣留方式</w:t>
      </w:r>
      <w:r>
        <w:rPr>
          <w:rFonts w:hint="eastAsia" w:ascii="宋体" w:hAnsi="宋体" w:eastAsia="宋体" w:cs="宋体"/>
          <w:sz w:val="24"/>
          <w:szCs w:val="32"/>
        </w:rPr>
        <w:t>：</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关于质量保证金的补充约定：</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bookmarkEnd w:id="721"/>
    <w:bookmarkEnd w:id="722"/>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15.4保修</w:t>
      </w:r>
    </w:p>
    <w:bookmarkEnd w:id="723"/>
    <w:p>
      <w:pPr>
        <w:spacing w:line="460" w:lineRule="exact"/>
        <w:ind w:firstLine="468" w:firstLineChars="195"/>
        <w:jc w:val="left"/>
        <w:rPr>
          <w:rFonts w:ascii="宋体" w:hAnsi="宋体" w:eastAsia="宋体" w:cs="宋体"/>
          <w:sz w:val="24"/>
          <w:szCs w:val="32"/>
        </w:rPr>
      </w:pPr>
      <w:r>
        <w:rPr>
          <w:rFonts w:hint="eastAsia" w:ascii="宋体" w:hAnsi="宋体" w:eastAsia="宋体" w:cs="宋体"/>
          <w:sz w:val="24"/>
          <w:szCs w:val="32"/>
        </w:rPr>
        <w:t>15.4.1 保修责任</w:t>
      </w:r>
    </w:p>
    <w:p>
      <w:pPr>
        <w:spacing w:line="460" w:lineRule="exact"/>
        <w:ind w:firstLine="468" w:firstLineChars="195"/>
        <w:jc w:val="left"/>
        <w:rPr>
          <w:rFonts w:ascii="宋体" w:hAnsi="宋体" w:eastAsia="宋体" w:cs="宋体"/>
          <w:kern w:val="0"/>
          <w:sz w:val="24"/>
          <w:szCs w:val="32"/>
        </w:rPr>
      </w:pPr>
      <w:r>
        <w:rPr>
          <w:rFonts w:hint="eastAsia" w:ascii="宋体" w:hAnsi="宋体" w:eastAsia="宋体" w:cs="宋体"/>
          <w:sz w:val="24"/>
          <w:szCs w:val="32"/>
        </w:rPr>
        <w:t>工程保修期为：</w:t>
      </w:r>
      <w:r>
        <w:rPr>
          <w:rFonts w:hint="eastAsia" w:ascii="宋体" w:hAnsi="宋体" w:eastAsia="宋体" w:cs="宋体"/>
          <w:sz w:val="24"/>
          <w:szCs w:val="32"/>
          <w:u w:val="single"/>
        </w:rPr>
        <w:t xml:space="preserve"> </w:t>
      </w:r>
      <w:r>
        <w:rPr>
          <w:rFonts w:hint="eastAsia" w:ascii="宋体" w:hAnsi="宋体" w:eastAsia="宋体" w:cs="宋体"/>
          <w:kern w:val="0"/>
          <w:sz w:val="24"/>
          <w:u w:val="single"/>
        </w:rPr>
        <w:t>详见《工程质量保修书》</w:t>
      </w:r>
      <w:r>
        <w:rPr>
          <w:rFonts w:hint="eastAsia" w:ascii="宋体" w:hAnsi="宋体" w:eastAsia="宋体" w:cs="宋体"/>
          <w:kern w:val="0"/>
          <w:sz w:val="24"/>
          <w:szCs w:val="32"/>
          <w:u w:val="single"/>
        </w:rPr>
        <w:t xml:space="preserve"> </w:t>
      </w:r>
      <w:r>
        <w:rPr>
          <w:rFonts w:hint="eastAsia" w:ascii="宋体" w:hAnsi="宋体" w:eastAsia="宋体" w:cs="宋体"/>
          <w:kern w:val="0"/>
          <w:sz w:val="24"/>
          <w:szCs w:val="32"/>
        </w:rPr>
        <w:t>。</w:t>
      </w:r>
    </w:p>
    <w:p>
      <w:pPr>
        <w:spacing w:line="460" w:lineRule="exact"/>
        <w:ind w:firstLine="468" w:firstLineChars="195"/>
        <w:jc w:val="left"/>
        <w:rPr>
          <w:rFonts w:ascii="宋体" w:hAnsi="宋体" w:eastAsia="宋体" w:cs="宋体"/>
          <w:sz w:val="24"/>
          <w:szCs w:val="32"/>
        </w:rPr>
      </w:pPr>
      <w:r>
        <w:rPr>
          <w:rFonts w:hint="eastAsia" w:ascii="宋体" w:hAnsi="宋体" w:eastAsia="宋体" w:cs="宋体"/>
          <w:sz w:val="24"/>
          <w:szCs w:val="32"/>
        </w:rPr>
        <w:t>15.4.3 修复通知</w:t>
      </w:r>
    </w:p>
    <w:p>
      <w:pPr>
        <w:spacing w:line="460" w:lineRule="exact"/>
        <w:ind w:firstLine="468" w:firstLineChars="195"/>
        <w:jc w:val="left"/>
        <w:rPr>
          <w:rFonts w:ascii="宋体" w:hAnsi="宋体" w:eastAsia="宋体" w:cs="宋体"/>
          <w:kern w:val="0"/>
          <w:sz w:val="24"/>
          <w:szCs w:val="32"/>
        </w:rPr>
      </w:pPr>
      <w:r>
        <w:rPr>
          <w:rFonts w:hint="eastAsia" w:ascii="宋体" w:hAnsi="宋体" w:eastAsia="宋体" w:cs="宋体"/>
          <w:kern w:val="0"/>
          <w:sz w:val="24"/>
          <w:szCs w:val="32"/>
        </w:rPr>
        <w:t>承包人收到保修通知并到达工程现场的合理时间：</w:t>
      </w:r>
      <w:r>
        <w:rPr>
          <w:rFonts w:hint="eastAsia" w:ascii="宋体" w:hAnsi="宋体" w:eastAsia="宋体" w:cs="宋体"/>
          <w:kern w:val="0"/>
          <w:sz w:val="24"/>
          <w:szCs w:val="32"/>
          <w:u w:val="single"/>
        </w:rPr>
        <w:t xml:space="preserve"> </w:t>
      </w:r>
      <w:r>
        <w:rPr>
          <w:rFonts w:hint="eastAsia" w:ascii="宋体" w:hAnsi="宋体" w:eastAsia="宋体" w:cs="宋体"/>
          <w:kern w:val="0"/>
          <w:sz w:val="24"/>
          <w:u w:val="single"/>
        </w:rPr>
        <w:t>48小时内</w:t>
      </w:r>
      <w:r>
        <w:rPr>
          <w:rFonts w:hint="eastAsia" w:ascii="宋体" w:hAnsi="宋体" w:eastAsia="宋体" w:cs="宋体"/>
          <w:kern w:val="0"/>
          <w:sz w:val="24"/>
          <w:szCs w:val="32"/>
          <w:u w:val="single"/>
        </w:rPr>
        <w:t xml:space="preserve"> </w:t>
      </w:r>
      <w:r>
        <w:rPr>
          <w:rFonts w:hint="eastAsia" w:ascii="宋体" w:hAnsi="宋体" w:eastAsia="宋体" w:cs="宋体"/>
          <w:kern w:val="0"/>
          <w:sz w:val="24"/>
          <w:szCs w:val="32"/>
        </w:rPr>
        <w:t>。</w:t>
      </w:r>
    </w:p>
    <w:bookmarkEnd w:id="724"/>
    <w:bookmarkEnd w:id="725"/>
    <w:bookmarkEnd w:id="726"/>
    <w:bookmarkEnd w:id="727"/>
    <w:p>
      <w:pPr>
        <w:pStyle w:val="6"/>
        <w:spacing w:before="120" w:after="120" w:line="460" w:lineRule="exact"/>
        <w:rPr>
          <w:rFonts w:ascii="宋体" w:hAnsi="宋体" w:eastAsia="宋体" w:cs="宋体"/>
          <w:b w:val="0"/>
          <w:sz w:val="24"/>
          <w:szCs w:val="32"/>
        </w:rPr>
      </w:pPr>
      <w:bookmarkStart w:id="750" w:name="_Toc351203648"/>
      <w:bookmarkStart w:id="751" w:name="_Toc280868717"/>
      <w:bookmarkStart w:id="752" w:name="_Toc280868718"/>
      <w:r>
        <w:rPr>
          <w:rFonts w:hint="eastAsia" w:ascii="宋体" w:hAnsi="宋体" w:eastAsia="宋体" w:cs="宋体"/>
          <w:b w:val="0"/>
          <w:sz w:val="24"/>
          <w:szCs w:val="32"/>
        </w:rPr>
        <w:t>16. 违约</w:t>
      </w:r>
      <w:bookmarkEnd w:id="750"/>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16.1 发包人违约</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16.1.1发包人违约的情形</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发包人违约的其他情形：</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left="1200" w:hanging="1200" w:hangingChars="500"/>
        <w:jc w:val="left"/>
        <w:rPr>
          <w:rFonts w:ascii="宋体" w:hAnsi="宋体" w:eastAsia="宋体" w:cs="宋体"/>
          <w:kern w:val="0"/>
          <w:sz w:val="24"/>
          <w:szCs w:val="32"/>
        </w:rPr>
      </w:pPr>
      <w:r>
        <w:rPr>
          <w:rFonts w:hint="eastAsia" w:ascii="宋体" w:hAnsi="宋体" w:eastAsia="宋体" w:cs="宋体"/>
          <w:kern w:val="0"/>
          <w:sz w:val="24"/>
          <w:szCs w:val="32"/>
        </w:rPr>
        <w:t xml:space="preserve">    16.1.2 发包人违约的责任</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发包人违约责任的承担方式和计算方法：</w:t>
      </w:r>
    </w:p>
    <w:p>
      <w:pPr>
        <w:spacing w:line="460" w:lineRule="exact"/>
        <w:ind w:firstLine="480" w:firstLineChars="200"/>
        <w:jc w:val="left"/>
        <w:rPr>
          <w:rFonts w:ascii="宋体" w:hAnsi="宋体" w:eastAsia="宋体" w:cs="宋体"/>
          <w:kern w:val="0"/>
          <w:sz w:val="24"/>
          <w:szCs w:val="32"/>
          <w:u w:val="single"/>
        </w:rPr>
      </w:pPr>
      <w:r>
        <w:rPr>
          <w:rFonts w:hint="eastAsia" w:ascii="宋体" w:hAnsi="宋体" w:eastAsia="宋体" w:cs="宋体"/>
          <w:kern w:val="0"/>
          <w:sz w:val="24"/>
          <w:szCs w:val="32"/>
        </w:rPr>
        <w:t>（1）因发包人原因未能在计划开工日期前7天内下达开工通知的违约责任：</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（2）因发包人原因未能按合同约定支付合同价款的违约责任：</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（3）发包人违反第10.1款〔变更的范围〕第（2）项约定，自行实施被取消的工作或转由他人实施的违约责任：</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（5）因发包人违反合同约定造成暂停施工的违约责任：</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（6）发包人无正当理由没有在约定期限内发出复工指示，导致承包人无法复工的违约责任：</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（7）其他：</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16.1.3 因发包人违约解除合同</w:t>
      </w:r>
    </w:p>
    <w:p>
      <w:pPr>
        <w:autoSpaceDE w:val="0"/>
        <w:autoSpaceDN w:val="0"/>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承包人按16.1.1项〔发包人违约的情形〕约定暂停施工满</w:t>
      </w:r>
      <w:r>
        <w:rPr>
          <w:rFonts w:hint="eastAsia" w:ascii="宋体" w:hAnsi="宋体" w:eastAsia="宋体" w:cs="宋体"/>
          <w:kern w:val="0"/>
          <w:sz w:val="24"/>
          <w:szCs w:val="32"/>
          <w:u w:val="single"/>
        </w:rPr>
        <w:t xml:space="preserve"> 28 </w:t>
      </w:r>
      <w:r>
        <w:rPr>
          <w:rFonts w:hint="eastAsia" w:ascii="宋体" w:hAnsi="宋体" w:eastAsia="宋体" w:cs="宋体"/>
          <w:kern w:val="0"/>
          <w:sz w:val="24"/>
          <w:szCs w:val="32"/>
        </w:rPr>
        <w:t>天后发包人仍不纠正其违约行为并致使合同目的不能实现的，承包人有权解除合同。</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16.2 承包人违约</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16.2.1 承包人违约的情形</w:t>
      </w:r>
    </w:p>
    <w:p>
      <w:pPr>
        <w:pStyle w:val="40"/>
        <w:adjustRightInd w:val="0"/>
        <w:snapToGrid w:val="0"/>
        <w:spacing w:line="360" w:lineRule="auto"/>
        <w:ind w:firstLine="480" w:firstLineChars="200"/>
        <w:jc w:val="left"/>
        <w:rPr>
          <w:rFonts w:ascii="宋体" w:hAnsi="宋体" w:cs="宋体"/>
          <w:kern w:val="0"/>
          <w:sz w:val="24"/>
          <w:szCs w:val="32"/>
          <w:u w:val="single"/>
        </w:rPr>
      </w:pPr>
      <w:r>
        <w:rPr>
          <w:rFonts w:hint="eastAsia" w:ascii="宋体" w:hAnsi="宋体" w:cs="宋体"/>
          <w:kern w:val="0"/>
          <w:sz w:val="24"/>
          <w:szCs w:val="32"/>
        </w:rPr>
        <w:t>承包人违约的其他情形：</w:t>
      </w:r>
      <w:r>
        <w:rPr>
          <w:rFonts w:hint="eastAsia" w:ascii="宋体" w:hAnsi="宋体" w:cs="宋体"/>
          <w:kern w:val="0"/>
          <w:sz w:val="24"/>
          <w:szCs w:val="32"/>
          <w:u w:val="single"/>
        </w:rPr>
        <w:t xml:space="preserve"> 1、未经发包人书面同意，承包人擅自更换材料或设备投标品牌（含询标纪要约定品牌）用于施工的，或在施工中使用假冒、贴牌品牌材料或设备的。2、其他合同条款中约定的承包人违约的情形。</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16.2.2承包人违约的责任</w:t>
      </w:r>
    </w:p>
    <w:p>
      <w:pPr>
        <w:spacing w:line="460" w:lineRule="exact"/>
        <w:ind w:firstLine="480" w:firstLineChars="200"/>
        <w:jc w:val="left"/>
        <w:rPr>
          <w:rFonts w:ascii="宋体" w:hAnsi="宋体" w:eastAsia="宋体" w:cs="宋体"/>
          <w:kern w:val="0"/>
          <w:sz w:val="24"/>
          <w:szCs w:val="32"/>
          <w:u w:val="single"/>
        </w:rPr>
      </w:pPr>
      <w:r>
        <w:rPr>
          <w:rFonts w:hint="eastAsia" w:ascii="宋体" w:hAnsi="宋体" w:eastAsia="宋体" w:cs="宋体"/>
          <w:kern w:val="0"/>
          <w:sz w:val="24"/>
          <w:szCs w:val="32"/>
        </w:rPr>
        <w:t>承包人违约责任的承担方式和计算方法：</w:t>
      </w:r>
      <w:r>
        <w:rPr>
          <w:rFonts w:hint="eastAsia" w:ascii="宋体" w:hAnsi="宋体" w:eastAsia="宋体" w:cs="宋体"/>
          <w:kern w:val="0"/>
          <w:sz w:val="24"/>
          <w:szCs w:val="32"/>
          <w:u w:val="single"/>
        </w:rPr>
        <w:t xml:space="preserve"> 1、每延期一天，按签约合同价1‰支付违约金，本项违约金总额不超过工程签约合同总价的5%；2、工程质量达不到合格要求的，作违约论处。违约金按签约合同总价的5％计算，并无偿整改达到合格要求 </w:t>
      </w:r>
      <w:r>
        <w:rPr>
          <w:rFonts w:hint="eastAsia" w:ascii="宋体" w:hAnsi="宋体" w:eastAsia="宋体" w:cs="宋体"/>
          <w:kern w:val="0"/>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16.2.3 因承包人违约解除合同</w:t>
      </w:r>
    </w:p>
    <w:p>
      <w:pPr>
        <w:spacing w:before="120" w:after="120"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关于承包人违约解除合同的特别约定：</w:t>
      </w:r>
      <w:bookmarkStart w:id="753" w:name="OLE_LINK153"/>
      <w:r>
        <w:rPr>
          <w:rFonts w:hint="eastAsia" w:ascii="宋体" w:hAnsi="宋体" w:eastAsia="宋体" w:cs="宋体"/>
          <w:kern w:val="0"/>
          <w:sz w:val="24"/>
          <w:szCs w:val="32"/>
          <w:u w:val="single"/>
        </w:rPr>
        <w:t xml:space="preserve"> 其他合同条款中有约定的，按其约定处理；其他合同条款中没有约定的，按通用合同条款第16.2.3项执行</w:t>
      </w:r>
      <w:bookmarkEnd w:id="753"/>
      <w:r>
        <w:rPr>
          <w:rFonts w:hint="eastAsia" w:ascii="宋体" w:hAnsi="宋体" w:eastAsia="宋体" w:cs="宋体"/>
          <w:kern w:val="0"/>
          <w:sz w:val="24"/>
          <w:szCs w:val="32"/>
          <w:u w:val="single"/>
        </w:rPr>
        <w:t xml:space="preserve"> </w:t>
      </w:r>
      <w:r>
        <w:rPr>
          <w:rFonts w:hint="eastAsia" w:ascii="宋体" w:hAnsi="宋体" w:eastAsia="宋体" w:cs="宋体"/>
          <w:kern w:val="0"/>
          <w:sz w:val="24"/>
          <w:szCs w:val="32"/>
        </w:rPr>
        <w:t>。</w:t>
      </w:r>
    </w:p>
    <w:p>
      <w:pPr>
        <w:spacing w:before="120" w:after="120" w:line="460" w:lineRule="exact"/>
        <w:ind w:firstLine="480" w:firstLineChars="200"/>
        <w:rPr>
          <w:rFonts w:ascii="宋体" w:hAnsi="宋体" w:eastAsia="宋体" w:cs="宋体"/>
          <w:kern w:val="0"/>
          <w:sz w:val="24"/>
          <w:szCs w:val="32"/>
        </w:rPr>
      </w:pPr>
      <w:r>
        <w:rPr>
          <w:rFonts w:hint="eastAsia" w:ascii="宋体" w:hAnsi="宋体" w:eastAsia="宋体" w:cs="宋体"/>
          <w:kern w:val="0"/>
          <w:sz w:val="24"/>
          <w:szCs w:val="32"/>
        </w:rPr>
        <w:t>发包人继续使用承包人在施工现场的材料、设备、临时工程、承包人文件和由承包人或以其名义编制的其他文件的费用承担方式：</w:t>
      </w:r>
      <w:bookmarkStart w:id="754" w:name="OLE_LINK155"/>
      <w:bookmarkStart w:id="755" w:name="OLE_LINK154"/>
      <w:r>
        <w:rPr>
          <w:rFonts w:hint="eastAsia" w:ascii="宋体" w:hAnsi="宋体" w:eastAsia="宋体" w:cs="宋体"/>
          <w:kern w:val="0"/>
          <w:sz w:val="24"/>
          <w:szCs w:val="32"/>
          <w:u w:val="single"/>
        </w:rPr>
        <w:t xml:space="preserve"> 发包人无须向承包人支付费用</w:t>
      </w:r>
      <w:bookmarkEnd w:id="754"/>
      <w:bookmarkEnd w:id="755"/>
      <w:r>
        <w:rPr>
          <w:rFonts w:hint="eastAsia" w:ascii="宋体" w:hAnsi="宋体" w:eastAsia="宋体" w:cs="宋体"/>
          <w:kern w:val="0"/>
          <w:sz w:val="24"/>
          <w:szCs w:val="32"/>
          <w:u w:val="single"/>
        </w:rPr>
        <w:t xml:space="preserve"> </w:t>
      </w:r>
      <w:r>
        <w:rPr>
          <w:rFonts w:hint="eastAsia" w:ascii="宋体" w:hAnsi="宋体" w:eastAsia="宋体" w:cs="宋体"/>
          <w:kern w:val="0"/>
          <w:sz w:val="24"/>
          <w:szCs w:val="32"/>
        </w:rPr>
        <w:t>。</w:t>
      </w:r>
    </w:p>
    <w:p>
      <w:pPr>
        <w:pStyle w:val="6"/>
        <w:spacing w:before="120" w:after="120" w:line="460" w:lineRule="exact"/>
        <w:rPr>
          <w:rFonts w:ascii="宋体" w:hAnsi="宋体" w:eastAsia="宋体" w:cs="宋体"/>
          <w:b w:val="0"/>
          <w:sz w:val="24"/>
          <w:szCs w:val="32"/>
        </w:rPr>
      </w:pPr>
      <w:bookmarkStart w:id="756" w:name="_Toc351203649"/>
      <w:r>
        <w:rPr>
          <w:rFonts w:hint="eastAsia" w:ascii="宋体" w:hAnsi="宋体" w:eastAsia="宋体" w:cs="宋体"/>
          <w:b w:val="0"/>
          <w:sz w:val="24"/>
          <w:szCs w:val="32"/>
        </w:rPr>
        <w:t>17. 不可抗力</w:t>
      </w:r>
      <w:bookmarkEnd w:id="756"/>
      <w:r>
        <w:rPr>
          <w:rFonts w:hint="eastAsia" w:ascii="宋体" w:hAnsi="宋体" w:eastAsia="宋体" w:cs="宋体"/>
          <w:b w:val="0"/>
          <w:sz w:val="24"/>
          <w:szCs w:val="32"/>
        </w:rPr>
        <w:t xml:space="preserve"> </w:t>
      </w:r>
      <w:bookmarkEnd w:id="751"/>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17.1 不可抗力的确认</w:t>
      </w:r>
    </w:p>
    <w:p>
      <w:pPr>
        <w:spacing w:line="460" w:lineRule="exact"/>
        <w:ind w:firstLine="480" w:firstLineChars="200"/>
        <w:jc w:val="left"/>
        <w:rPr>
          <w:rFonts w:ascii="宋体" w:hAnsi="宋体" w:eastAsia="宋体" w:cs="宋体"/>
          <w:kern w:val="0"/>
          <w:sz w:val="24"/>
          <w:szCs w:val="32"/>
          <w:u w:val="single"/>
        </w:rPr>
      </w:pPr>
      <w:r>
        <w:rPr>
          <w:rFonts w:hint="eastAsia" w:ascii="宋体" w:hAnsi="宋体" w:eastAsia="宋体" w:cs="宋体"/>
          <w:sz w:val="24"/>
          <w:szCs w:val="32"/>
        </w:rPr>
        <w:t>除通用合同条款约定的不可抗力事件之外，视为不可抗力的其他情形：</w:t>
      </w:r>
      <w:r>
        <w:rPr>
          <w:rFonts w:hint="eastAsia" w:ascii="宋体" w:hAnsi="宋体" w:eastAsia="宋体" w:cs="宋体"/>
          <w:kern w:val="0"/>
          <w:sz w:val="24"/>
          <w:szCs w:val="32"/>
          <w:u w:val="single"/>
        </w:rPr>
        <w:t xml:space="preserve"> 空中飞行物体坠落；非发包人承包人责任造成的爆炸、火灾；持续时间2小时以上的十二级及以上大风；暴雨（24小时降水量100毫米以上）以及当地政府要求连续停止施工30天及以下的情形（非承包人原因引起的）。因不可抗力而导致承包人损失的，承包人不能向发包人提出费用索赔 </w:t>
      </w:r>
      <w:r>
        <w:rPr>
          <w:rFonts w:hint="eastAsia" w:ascii="宋体" w:hAnsi="宋体" w:eastAsia="宋体" w:cs="宋体"/>
          <w:kern w:val="0"/>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17.4 因不可抗力解除合同</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合同解除后，发包人应在商定或确定发包人应支付款项后</w:t>
      </w:r>
      <w:r>
        <w:rPr>
          <w:rFonts w:hint="eastAsia" w:ascii="宋体" w:hAnsi="宋体" w:eastAsia="宋体" w:cs="宋体"/>
          <w:sz w:val="24"/>
          <w:szCs w:val="32"/>
          <w:u w:val="single"/>
        </w:rPr>
        <w:t xml:space="preserve"> 28 </w:t>
      </w:r>
      <w:r>
        <w:rPr>
          <w:rFonts w:hint="eastAsia" w:ascii="宋体" w:hAnsi="宋体" w:eastAsia="宋体" w:cs="宋体"/>
          <w:sz w:val="24"/>
          <w:szCs w:val="32"/>
        </w:rPr>
        <w:t>天内完成款项的支付。</w:t>
      </w:r>
    </w:p>
    <w:p>
      <w:pPr>
        <w:pStyle w:val="6"/>
        <w:spacing w:before="120" w:after="120" w:line="460" w:lineRule="exact"/>
        <w:rPr>
          <w:rFonts w:ascii="宋体" w:hAnsi="宋体" w:eastAsia="宋体" w:cs="宋体"/>
          <w:b w:val="0"/>
          <w:sz w:val="24"/>
          <w:szCs w:val="32"/>
        </w:rPr>
      </w:pPr>
      <w:bookmarkStart w:id="757" w:name="_Toc351203650"/>
      <w:r>
        <w:rPr>
          <w:rFonts w:hint="eastAsia" w:ascii="宋体" w:hAnsi="宋体" w:eastAsia="宋体" w:cs="宋体"/>
          <w:b w:val="0"/>
          <w:sz w:val="24"/>
          <w:szCs w:val="32"/>
        </w:rPr>
        <w:t>18. 保险</w:t>
      </w:r>
      <w:bookmarkEnd w:id="757"/>
    </w:p>
    <w:bookmarkEnd w:id="752"/>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18.1 工程保险</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关于工程保险的特别约定：</w:t>
      </w:r>
      <w:r>
        <w:rPr>
          <w:rFonts w:hint="eastAsia" w:ascii="宋体" w:hAnsi="宋体" w:eastAsia="宋体" w:cs="宋体"/>
          <w:sz w:val="24"/>
          <w:szCs w:val="32"/>
          <w:u w:val="single"/>
        </w:rPr>
        <w:t xml:space="preserve">      /     </w:t>
      </w:r>
      <w:r>
        <w:rPr>
          <w:rFonts w:hint="eastAsia" w:ascii="宋体" w:hAnsi="宋体" w:eastAsia="宋体" w:cs="宋体"/>
          <w:kern w:val="0"/>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18.3 其他保险</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sz w:val="24"/>
          <w:szCs w:val="32"/>
        </w:rPr>
        <w:t>关于其他保险的约定：</w:t>
      </w:r>
      <w:bookmarkStart w:id="758" w:name="OLE_LINK157"/>
      <w:r>
        <w:rPr>
          <w:rFonts w:hint="eastAsia" w:ascii="宋体" w:hAnsi="宋体" w:eastAsia="宋体" w:cs="宋体"/>
          <w:kern w:val="0"/>
          <w:sz w:val="24"/>
          <w:szCs w:val="32"/>
          <w:u w:val="single"/>
        </w:rPr>
        <w:t xml:space="preserve"> 承包人应按国家、浙江省、杭州市有关规定办理相关保险并自行支付保费（主要包括：承包人应为其施工现场的全部人员办理意外伤害保险、并办理施工机械设备财产保险等），其中涉及发包人保险利益的，应将发包人列为被保险人。发生事故，除保险公司理赔外，发包人不承担任何费用</w:t>
      </w:r>
      <w:bookmarkEnd w:id="758"/>
      <w:r>
        <w:rPr>
          <w:rFonts w:hint="eastAsia" w:ascii="宋体" w:hAnsi="宋体" w:eastAsia="宋体" w:cs="宋体"/>
          <w:kern w:val="0"/>
          <w:sz w:val="24"/>
          <w:szCs w:val="32"/>
          <w:u w:val="single"/>
        </w:rPr>
        <w:t xml:space="preserve"> </w:t>
      </w:r>
      <w:r>
        <w:rPr>
          <w:rFonts w:hint="eastAsia" w:ascii="宋体" w:hAnsi="宋体" w:eastAsia="宋体" w:cs="宋体"/>
          <w:kern w:val="0"/>
          <w:sz w:val="24"/>
          <w:szCs w:val="32"/>
        </w:rPr>
        <w:t>。</w:t>
      </w:r>
    </w:p>
    <w:p>
      <w:pPr>
        <w:spacing w:line="460" w:lineRule="exact"/>
        <w:ind w:firstLine="480" w:firstLineChars="200"/>
        <w:jc w:val="left"/>
        <w:rPr>
          <w:rFonts w:ascii="宋体" w:hAnsi="宋体" w:eastAsia="宋体" w:cs="宋体"/>
          <w:kern w:val="0"/>
          <w:sz w:val="24"/>
          <w:szCs w:val="32"/>
        </w:rPr>
      </w:pPr>
      <w:r>
        <w:rPr>
          <w:rFonts w:hint="eastAsia" w:ascii="宋体" w:hAnsi="宋体" w:eastAsia="宋体" w:cs="宋体"/>
          <w:sz w:val="24"/>
          <w:szCs w:val="32"/>
        </w:rPr>
        <w:t>承包人是否应为其施工设备等办理财产保险：</w:t>
      </w:r>
      <w:r>
        <w:rPr>
          <w:rFonts w:hint="eastAsia" w:ascii="宋体" w:hAnsi="宋体" w:eastAsia="宋体" w:cs="宋体"/>
          <w:sz w:val="24"/>
          <w:szCs w:val="32"/>
          <w:u w:val="single"/>
        </w:rPr>
        <w:t xml:space="preserve"> </w:t>
      </w:r>
      <w:r>
        <w:rPr>
          <w:rFonts w:hint="eastAsia" w:ascii="宋体" w:hAnsi="宋体" w:eastAsia="宋体" w:cs="宋体"/>
          <w:kern w:val="0"/>
          <w:sz w:val="24"/>
          <w:szCs w:val="32"/>
          <w:u w:val="single"/>
        </w:rPr>
        <w:t xml:space="preserve">是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18.7 通知义务</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kern w:val="0"/>
          <w:sz w:val="24"/>
          <w:szCs w:val="32"/>
        </w:rPr>
        <w:t>关于变更保险合同时的通知义务的约定：</w:t>
      </w:r>
      <w:bookmarkStart w:id="759" w:name="OLE_LINK160"/>
      <w:r>
        <w:rPr>
          <w:rFonts w:hint="eastAsia" w:ascii="宋体" w:hAnsi="宋体" w:eastAsia="宋体" w:cs="宋体"/>
          <w:sz w:val="24"/>
          <w:szCs w:val="32"/>
          <w:u w:val="single"/>
        </w:rPr>
        <w:t xml:space="preserve"> 按通用合同条款第18.7款执行</w:t>
      </w:r>
      <w:bookmarkEnd w:id="759"/>
      <w:r>
        <w:rPr>
          <w:rFonts w:hint="eastAsia" w:ascii="宋体" w:hAnsi="宋体" w:eastAsia="宋体" w:cs="宋体"/>
          <w:sz w:val="24"/>
          <w:szCs w:val="32"/>
          <w:u w:val="single"/>
        </w:rPr>
        <w:t xml:space="preserve"> </w:t>
      </w:r>
      <w:r>
        <w:rPr>
          <w:rFonts w:hint="eastAsia" w:ascii="宋体" w:hAnsi="宋体" w:eastAsia="宋体" w:cs="宋体"/>
          <w:sz w:val="24"/>
          <w:szCs w:val="32"/>
        </w:rPr>
        <w:t>。</w:t>
      </w:r>
    </w:p>
    <w:bookmarkEnd w:id="728"/>
    <w:bookmarkEnd w:id="729"/>
    <w:bookmarkEnd w:id="730"/>
    <w:bookmarkEnd w:id="731"/>
    <w:bookmarkEnd w:id="732"/>
    <w:bookmarkEnd w:id="733"/>
    <w:bookmarkEnd w:id="734"/>
    <w:bookmarkEnd w:id="735"/>
    <w:bookmarkEnd w:id="736"/>
    <w:bookmarkEnd w:id="737"/>
    <w:bookmarkEnd w:id="738"/>
    <w:bookmarkEnd w:id="739"/>
    <w:p>
      <w:pPr>
        <w:pStyle w:val="6"/>
        <w:spacing w:before="120" w:after="120" w:line="460" w:lineRule="exact"/>
        <w:rPr>
          <w:rFonts w:ascii="宋体" w:hAnsi="宋体" w:eastAsia="宋体" w:cs="宋体"/>
          <w:b w:val="0"/>
          <w:sz w:val="24"/>
          <w:szCs w:val="32"/>
        </w:rPr>
      </w:pPr>
      <w:bookmarkStart w:id="760" w:name="_Toc351203651"/>
      <w:r>
        <w:rPr>
          <w:rFonts w:hint="eastAsia" w:ascii="宋体" w:hAnsi="宋体" w:eastAsia="宋体" w:cs="宋体"/>
          <w:b w:val="0"/>
          <w:sz w:val="24"/>
          <w:szCs w:val="32"/>
        </w:rPr>
        <w:t>20. 争议解决</w:t>
      </w:r>
      <w:bookmarkEnd w:id="760"/>
    </w:p>
    <w:bookmarkEnd w:id="740"/>
    <w:bookmarkEnd w:id="741"/>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20.3 争</w:t>
      </w:r>
      <w:bookmarkEnd w:id="742"/>
      <w:r>
        <w:rPr>
          <w:rFonts w:hint="eastAsia" w:ascii="宋体" w:hAnsi="宋体" w:eastAsia="宋体" w:cs="宋体"/>
          <w:sz w:val="24"/>
          <w:szCs w:val="32"/>
        </w:rPr>
        <w:t>议评审</w:t>
      </w:r>
    </w:p>
    <w:p>
      <w:pPr>
        <w:spacing w:line="460" w:lineRule="exact"/>
        <w:ind w:left="149" w:leftChars="71" w:firstLine="360" w:firstLineChars="150"/>
        <w:jc w:val="left"/>
        <w:rPr>
          <w:rFonts w:ascii="宋体" w:hAnsi="宋体" w:eastAsia="宋体" w:cs="宋体"/>
          <w:sz w:val="24"/>
          <w:szCs w:val="32"/>
        </w:rPr>
      </w:pPr>
      <w:r>
        <w:rPr>
          <w:rFonts w:hint="eastAsia" w:ascii="宋体" w:hAnsi="宋体" w:eastAsia="宋体" w:cs="宋体"/>
          <w:sz w:val="24"/>
          <w:szCs w:val="32"/>
        </w:rPr>
        <w:t>合同当事人是否同意将工程争议提交争议评审小组决定：</w:t>
      </w:r>
      <w:bookmarkStart w:id="761" w:name="OLE_LINK161"/>
      <w:r>
        <w:rPr>
          <w:rFonts w:hint="eastAsia" w:ascii="宋体" w:hAnsi="宋体" w:eastAsia="宋体" w:cs="宋体"/>
          <w:sz w:val="24"/>
          <w:szCs w:val="32"/>
          <w:u w:val="single"/>
        </w:rPr>
        <w:t xml:space="preserve"> 不同意</w:t>
      </w:r>
      <w:bookmarkEnd w:id="761"/>
      <w:r>
        <w:rPr>
          <w:rFonts w:hint="eastAsia" w:ascii="宋体" w:hAnsi="宋体" w:eastAsia="宋体" w:cs="宋体"/>
          <w:sz w:val="24"/>
          <w:szCs w:val="32"/>
          <w:u w:val="single"/>
        </w:rPr>
        <w:t xml:space="preserve">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20.3.1 争议评审小组的确定</w:t>
      </w:r>
    </w:p>
    <w:p>
      <w:pPr>
        <w:spacing w:line="460" w:lineRule="exact"/>
        <w:ind w:firstLine="480" w:firstLineChars="200"/>
        <w:jc w:val="left"/>
        <w:rPr>
          <w:rFonts w:ascii="宋体" w:hAnsi="宋体" w:eastAsia="宋体" w:cs="宋体"/>
          <w:sz w:val="24"/>
          <w:szCs w:val="32"/>
          <w:u w:val="single"/>
        </w:rPr>
      </w:pPr>
      <w:r>
        <w:rPr>
          <w:rFonts w:hint="eastAsia" w:ascii="宋体" w:hAnsi="宋体" w:eastAsia="宋体" w:cs="宋体"/>
          <w:sz w:val="24"/>
          <w:szCs w:val="32"/>
        </w:rPr>
        <w:t>争议评审小组成员的确定：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选定争议评审员的期限：</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争议评审小组成员的报酬承担方式：</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其他事项的约定：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autoSpaceDE w:val="0"/>
        <w:autoSpaceDN w:val="0"/>
        <w:spacing w:line="460" w:lineRule="exact"/>
        <w:ind w:firstLine="480" w:firstLineChars="200"/>
        <w:jc w:val="left"/>
        <w:rPr>
          <w:rFonts w:ascii="宋体" w:hAnsi="宋体" w:eastAsia="宋体" w:cs="宋体"/>
          <w:kern w:val="0"/>
          <w:sz w:val="24"/>
          <w:szCs w:val="32"/>
        </w:rPr>
      </w:pPr>
      <w:r>
        <w:rPr>
          <w:rFonts w:hint="eastAsia" w:ascii="宋体" w:hAnsi="宋体" w:eastAsia="宋体" w:cs="宋体"/>
          <w:kern w:val="0"/>
          <w:sz w:val="24"/>
          <w:szCs w:val="32"/>
        </w:rPr>
        <w:t>20.3.2 争议评审小组的决定</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合同当事人关于本项的约定：</w:t>
      </w:r>
      <w:r>
        <w:rPr>
          <w:rFonts w:hint="eastAsia" w:ascii="宋体" w:hAnsi="宋体" w:eastAsia="宋体" w:cs="宋体"/>
          <w:sz w:val="24"/>
          <w:szCs w:val="32"/>
          <w:u w:val="single"/>
        </w:rPr>
        <w:t xml:space="preserve">      /     </w:t>
      </w:r>
      <w:r>
        <w:rPr>
          <w:rFonts w:hint="eastAsia" w:ascii="宋体" w:hAnsi="宋体" w:eastAsia="宋体" w:cs="宋体"/>
          <w:sz w:val="24"/>
          <w:szCs w:val="32"/>
        </w:rPr>
        <w:t>。</w:t>
      </w:r>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20.4仲裁或诉讼</w:t>
      </w:r>
      <w:bookmarkEnd w:id="743"/>
    </w:p>
    <w:p>
      <w:pPr>
        <w:spacing w:after="120" w:line="460" w:lineRule="exact"/>
        <w:ind w:firstLine="480" w:firstLineChars="200"/>
        <w:rPr>
          <w:rFonts w:ascii="宋体" w:hAnsi="宋体" w:eastAsia="宋体" w:cs="宋体"/>
          <w:sz w:val="24"/>
          <w:szCs w:val="32"/>
        </w:rPr>
      </w:pPr>
      <w:r>
        <w:rPr>
          <w:rFonts w:hint="eastAsia" w:ascii="宋体" w:hAnsi="宋体" w:eastAsia="宋体" w:cs="宋体"/>
          <w:sz w:val="24"/>
          <w:szCs w:val="32"/>
        </w:rPr>
        <w:t>因合同及合同有关事项发生的争议，按下列第</w:t>
      </w:r>
      <w:r>
        <w:rPr>
          <w:rFonts w:hint="eastAsia" w:ascii="宋体" w:hAnsi="宋体" w:eastAsia="宋体" w:cs="宋体"/>
          <w:sz w:val="24"/>
          <w:szCs w:val="32"/>
          <w:u w:val="single"/>
        </w:rPr>
        <w:t xml:space="preserve"> 1 </w:t>
      </w:r>
      <w:r>
        <w:rPr>
          <w:rFonts w:hint="eastAsia" w:ascii="宋体" w:hAnsi="宋体" w:eastAsia="宋体" w:cs="宋体"/>
          <w:sz w:val="24"/>
          <w:szCs w:val="32"/>
        </w:rPr>
        <w:t>种方式解决：</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（1）向</w:t>
      </w:r>
      <w:r>
        <w:rPr>
          <w:rFonts w:hint="eastAsia" w:ascii="宋体" w:hAnsi="宋体" w:eastAsia="宋体" w:cs="宋体"/>
          <w:sz w:val="24"/>
          <w:szCs w:val="32"/>
          <w:u w:val="single"/>
        </w:rPr>
        <w:t xml:space="preserve">  杭州     </w:t>
      </w:r>
      <w:r>
        <w:rPr>
          <w:rFonts w:hint="eastAsia" w:ascii="宋体" w:hAnsi="宋体" w:eastAsia="宋体" w:cs="宋体"/>
          <w:sz w:val="24"/>
          <w:szCs w:val="32"/>
        </w:rPr>
        <w:t>仲裁委员会申请仲裁；</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（2）向</w:t>
      </w:r>
      <w:r>
        <w:rPr>
          <w:rFonts w:hint="eastAsia" w:ascii="宋体" w:hAnsi="宋体" w:eastAsia="宋体" w:cs="宋体"/>
          <w:sz w:val="24"/>
          <w:szCs w:val="32"/>
          <w:u w:val="single"/>
        </w:rPr>
        <w:t xml:space="preserve"> </w:t>
      </w:r>
      <w:r>
        <w:rPr>
          <w:rFonts w:hint="eastAsia" w:ascii="宋体" w:hAnsi="宋体" w:eastAsia="宋体" w:cs="宋体"/>
          <w:sz w:val="24"/>
          <w:u w:val="single"/>
        </w:rPr>
        <w:t>发包人所在地</w:t>
      </w:r>
      <w:r>
        <w:rPr>
          <w:rFonts w:hint="eastAsia" w:ascii="宋体" w:hAnsi="宋体" w:eastAsia="宋体" w:cs="宋体"/>
          <w:sz w:val="24"/>
          <w:szCs w:val="32"/>
          <w:u w:val="single"/>
        </w:rPr>
        <w:t xml:space="preserve"> </w:t>
      </w:r>
      <w:r>
        <w:rPr>
          <w:rFonts w:hint="eastAsia" w:ascii="宋体" w:hAnsi="宋体" w:eastAsia="宋体" w:cs="宋体"/>
          <w:sz w:val="24"/>
          <w:szCs w:val="32"/>
        </w:rPr>
        <w:t>人民法院起诉。</w:t>
      </w:r>
      <w:bookmarkEnd w:id="744"/>
      <w:bookmarkEnd w:id="745"/>
      <w:bookmarkEnd w:id="746"/>
      <w:bookmarkEnd w:id="747"/>
      <w:bookmarkEnd w:id="748"/>
      <w:bookmarkEnd w:id="749"/>
    </w:p>
    <w:p>
      <w:pPr>
        <w:spacing w:after="120" w:line="460" w:lineRule="exact"/>
        <w:ind w:firstLine="480" w:firstLineChars="200"/>
        <w:rPr>
          <w:rFonts w:ascii="宋体" w:hAnsi="宋体" w:eastAsia="宋体" w:cs="宋体"/>
          <w:sz w:val="24"/>
        </w:rPr>
      </w:pPr>
      <w:r>
        <w:rPr>
          <w:rFonts w:hint="eastAsia" w:ascii="宋体" w:hAnsi="宋体" w:eastAsia="宋体" w:cs="宋体"/>
          <w:sz w:val="24"/>
          <w:szCs w:val="32"/>
        </w:rPr>
        <w:t>20.5其它约定：</w:t>
      </w:r>
    </w:p>
    <w:p>
      <w:pPr>
        <w:spacing w:line="460" w:lineRule="exact"/>
        <w:ind w:firstLine="480" w:firstLineChars="200"/>
        <w:jc w:val="left"/>
        <w:rPr>
          <w:rFonts w:ascii="宋体" w:hAnsi="宋体" w:eastAsia="宋体" w:cs="宋体"/>
          <w:sz w:val="24"/>
          <w:szCs w:val="32"/>
        </w:rPr>
      </w:pPr>
      <w:r>
        <w:rPr>
          <w:rFonts w:hint="eastAsia" w:ascii="宋体" w:hAnsi="宋体" w:eastAsia="宋体" w:cs="宋体"/>
          <w:sz w:val="24"/>
          <w:szCs w:val="32"/>
        </w:rPr>
        <w:t>（1）除约定外，工程残值回收归发包方统一处理。</w:t>
      </w:r>
    </w:p>
    <w:p>
      <w:pPr>
        <w:widowControl/>
        <w:wordWrap w:val="0"/>
        <w:spacing w:line="360" w:lineRule="auto"/>
        <w:ind w:firstLine="480" w:firstLineChars="200"/>
        <w:jc w:val="left"/>
        <w:rPr>
          <w:rFonts w:ascii="宋体" w:hAnsi="宋体" w:eastAsia="宋体" w:cs="宋体"/>
          <w:kern w:val="0"/>
          <w:sz w:val="24"/>
        </w:rPr>
      </w:pPr>
      <w:r>
        <w:rPr>
          <w:rFonts w:hint="eastAsia" w:ascii="宋体" w:hAnsi="宋体" w:eastAsia="宋体" w:cs="宋体"/>
          <w:kern w:val="0"/>
          <w:sz w:val="24"/>
        </w:rPr>
        <w:t>（2）合同签定后，承包方应及时缴纳民工工伤保险费。</w:t>
      </w:r>
    </w:p>
    <w:p>
      <w:pPr>
        <w:widowControl/>
        <w:wordWrap w:val="0"/>
        <w:spacing w:line="360" w:lineRule="auto"/>
        <w:ind w:firstLine="480" w:firstLineChars="200"/>
        <w:jc w:val="left"/>
        <w:rPr>
          <w:rFonts w:ascii="宋体" w:hAnsi="宋体" w:eastAsia="宋体" w:cs="宋体"/>
          <w:kern w:val="0"/>
          <w:sz w:val="24"/>
        </w:rPr>
      </w:pPr>
      <w:r>
        <w:rPr>
          <w:rFonts w:hint="eastAsia" w:ascii="宋体" w:hAnsi="宋体" w:eastAsia="宋体" w:cs="宋体"/>
          <w:kern w:val="0"/>
          <w:sz w:val="24"/>
        </w:rPr>
        <w:t>（3）工程造价20万元以上的项目，承包人可向浙江大学修缮管理委员会办公室提出评优申请。</w:t>
      </w:r>
    </w:p>
    <w:p>
      <w:pPr>
        <w:widowControl/>
        <w:wordWrap w:val="0"/>
        <w:spacing w:line="360" w:lineRule="auto"/>
        <w:ind w:firstLine="480" w:firstLineChars="200"/>
        <w:jc w:val="left"/>
        <w:rPr>
          <w:rFonts w:ascii="宋体" w:hAnsi="宋体" w:eastAsia="宋体" w:cs="宋体"/>
          <w:kern w:val="0"/>
          <w:sz w:val="24"/>
        </w:rPr>
      </w:pPr>
      <w:r>
        <w:rPr>
          <w:rFonts w:hint="eastAsia" w:ascii="宋体" w:hAnsi="宋体" w:eastAsia="宋体" w:cs="宋体"/>
          <w:kern w:val="0"/>
          <w:sz w:val="24"/>
        </w:rPr>
        <w:t>（4）其他未尽事宜，二方可另行协商签订补充协议书，补充协议书与本合同具同等法律效力 。</w:t>
      </w:r>
    </w:p>
    <w:p>
      <w:pPr>
        <w:pStyle w:val="6"/>
        <w:spacing w:before="120" w:after="120" w:line="460" w:lineRule="exact"/>
        <w:rPr>
          <w:rFonts w:ascii="宋体" w:hAnsi="宋体" w:eastAsia="宋体" w:cs="宋体"/>
          <w:b w:val="0"/>
          <w:sz w:val="24"/>
          <w:szCs w:val="32"/>
        </w:rPr>
      </w:pPr>
      <w:r>
        <w:rPr>
          <w:rFonts w:hint="eastAsia" w:ascii="宋体" w:hAnsi="宋体" w:eastAsia="宋体" w:cs="宋体"/>
          <w:b w:val="0"/>
          <w:sz w:val="24"/>
          <w:szCs w:val="32"/>
        </w:rPr>
        <w:t>21. 送达</w:t>
      </w:r>
    </w:p>
    <w:p>
      <w:pPr>
        <w:widowControl/>
        <w:wordWrap w:val="0"/>
        <w:spacing w:line="360" w:lineRule="auto"/>
        <w:jc w:val="left"/>
        <w:rPr>
          <w:rFonts w:ascii="宋体" w:hAnsi="宋体" w:eastAsia="宋体" w:cs="宋体"/>
          <w:kern w:val="0"/>
          <w:sz w:val="24"/>
        </w:rPr>
      </w:pPr>
      <w:r>
        <w:rPr>
          <w:rFonts w:hint="eastAsia" w:ascii="宋体" w:hAnsi="宋体" w:eastAsia="宋体" w:cs="宋体"/>
          <w:kern w:val="0"/>
          <w:sz w:val="24"/>
        </w:rPr>
        <w:t>21.1 送达的方式</w:t>
      </w:r>
    </w:p>
    <w:p>
      <w:pPr>
        <w:widowControl/>
        <w:wordWrap w:val="0"/>
        <w:spacing w:line="360" w:lineRule="auto"/>
        <w:ind w:firstLine="480" w:firstLineChars="200"/>
        <w:jc w:val="left"/>
        <w:rPr>
          <w:rFonts w:ascii="宋体" w:hAnsi="宋体" w:eastAsia="宋体" w:cs="宋体"/>
          <w:kern w:val="0"/>
          <w:sz w:val="24"/>
        </w:rPr>
      </w:pPr>
      <w:r>
        <w:rPr>
          <w:rFonts w:hint="eastAsia" w:ascii="宋体" w:hAnsi="宋体" w:eastAsia="宋体" w:cs="宋体"/>
          <w:kern w:val="0"/>
          <w:sz w:val="24"/>
        </w:rPr>
        <w:t>本合同任一方向对方发出的通知、信函、数据电文等，应当发送至本合同尾部所列的的地址、联系人和通信终端。一方当事人变更名称、地址、联系人或通信终端的，应当在变更后___日内及时书面通知对方当事人，对方当事人实际收到变更通知前的送达仍为有效送达，电子送达与书面送达具有同等法律效力。</w:t>
      </w:r>
    </w:p>
    <w:p>
      <w:pPr>
        <w:widowControl/>
        <w:wordWrap w:val="0"/>
        <w:spacing w:line="360" w:lineRule="auto"/>
        <w:jc w:val="left"/>
        <w:rPr>
          <w:rFonts w:ascii="宋体" w:hAnsi="宋体" w:eastAsia="宋体" w:cs="宋体"/>
          <w:kern w:val="0"/>
          <w:sz w:val="24"/>
        </w:rPr>
      </w:pPr>
      <w:r>
        <w:rPr>
          <w:rFonts w:hint="eastAsia" w:ascii="宋体" w:hAnsi="宋体" w:eastAsia="宋体" w:cs="宋体"/>
          <w:kern w:val="0"/>
          <w:sz w:val="24"/>
        </w:rPr>
        <w:t>21.2 送达的时间</w:t>
      </w:r>
    </w:p>
    <w:p>
      <w:pPr>
        <w:widowControl/>
        <w:wordWrap w:val="0"/>
        <w:spacing w:line="360" w:lineRule="auto"/>
        <w:ind w:firstLine="600" w:firstLineChars="250"/>
        <w:jc w:val="left"/>
        <w:rPr>
          <w:rFonts w:ascii="宋体" w:hAnsi="宋体" w:eastAsia="宋体" w:cs="宋体"/>
          <w:kern w:val="0"/>
          <w:sz w:val="24"/>
        </w:rPr>
      </w:pPr>
      <w:r>
        <w:rPr>
          <w:rFonts w:hint="eastAsia" w:ascii="宋体" w:hAnsi="宋体" w:eastAsia="宋体" w:cs="宋体"/>
          <w:kern w:val="0"/>
          <w:sz w:val="24"/>
        </w:rPr>
        <w:t>合同任一方向对方发出的函件，自交邮后的第七日视为送达；发出的传真/电子邮件，自地址填写无误且系统顺利发出后，视为送至对方数据电文接收系统即送达。若实际送达日为非工作日，则视为在实际送达日后的下一工作日送达。</w:t>
      </w:r>
    </w:p>
    <w:p>
      <w:pPr>
        <w:widowControl/>
        <w:wordWrap w:val="0"/>
        <w:spacing w:line="360" w:lineRule="auto"/>
        <w:jc w:val="left"/>
        <w:rPr>
          <w:rFonts w:ascii="宋体" w:hAnsi="宋体" w:eastAsia="宋体" w:cs="宋体"/>
          <w:kern w:val="0"/>
          <w:sz w:val="24"/>
        </w:rPr>
      </w:pPr>
      <w:r>
        <w:rPr>
          <w:rFonts w:hint="eastAsia" w:ascii="宋体" w:hAnsi="宋体" w:eastAsia="宋体" w:cs="宋体"/>
          <w:kern w:val="0"/>
          <w:sz w:val="24"/>
        </w:rPr>
        <w:t>21.3 送达地址的诉讼效力</w:t>
      </w:r>
    </w:p>
    <w:p>
      <w:pPr>
        <w:widowControl/>
        <w:wordWrap w:val="0"/>
        <w:spacing w:line="360" w:lineRule="auto"/>
        <w:ind w:firstLine="480" w:firstLineChars="200"/>
        <w:jc w:val="left"/>
        <w:rPr>
          <w:rFonts w:ascii="宋体" w:hAnsi="宋体" w:eastAsia="宋体" w:cs="宋体"/>
          <w:kern w:val="0"/>
          <w:sz w:val="24"/>
        </w:rPr>
      </w:pPr>
      <w:r>
        <w:rPr>
          <w:rFonts w:hint="eastAsia" w:ascii="宋体" w:hAnsi="宋体" w:eastAsia="宋体" w:cs="宋体"/>
          <w:kern w:val="0"/>
          <w:sz w:val="24"/>
        </w:rPr>
        <w:t>本合同约定的通信地址、电子通信终端作双方工作联系往来、法律文书送达的之用；亦为双方争议解决时人民法院及仲裁机构的法律文书送达地址。人民法院及仲裁机构向合同任一方送达诉讼文书（含裁判文书）的，视为有效送达。当事人对电子通信终端的送达适用于争议解决时的送达。</w:t>
      </w:r>
    </w:p>
    <w:p>
      <w:pPr>
        <w:spacing w:line="460" w:lineRule="exact"/>
        <w:jc w:val="left"/>
        <w:rPr>
          <w:rFonts w:ascii="宋体" w:hAnsi="宋体" w:eastAsia="宋体" w:cs="宋体"/>
          <w:sz w:val="24"/>
          <w:szCs w:val="32"/>
        </w:rPr>
      </w:pPr>
    </w:p>
    <w:p>
      <w:pPr>
        <w:spacing w:line="360" w:lineRule="auto"/>
        <w:jc w:val="left"/>
        <w:rPr>
          <w:rFonts w:ascii="宋体" w:hAnsi="宋体" w:eastAsia="宋体" w:cs="宋体"/>
          <w:sz w:val="24"/>
          <w:szCs w:val="30"/>
        </w:rPr>
      </w:pPr>
      <w:r>
        <w:rPr>
          <w:rFonts w:hint="eastAsia" w:ascii="宋体" w:hAnsi="宋体" w:eastAsia="宋体" w:cs="宋体"/>
          <w:sz w:val="30"/>
          <w:szCs w:val="32"/>
        </w:rPr>
        <w:br w:type="page"/>
      </w:r>
      <w:r>
        <w:rPr>
          <w:rFonts w:hint="eastAsia" w:ascii="宋体" w:hAnsi="宋体" w:eastAsia="宋体" w:cs="宋体"/>
          <w:sz w:val="24"/>
          <w:szCs w:val="30"/>
        </w:rPr>
        <w:t>附</w:t>
      </w:r>
      <w:bookmarkStart w:id="762" w:name="_Toc296347225"/>
      <w:bookmarkStart w:id="763" w:name="_Toc267261693"/>
      <w:bookmarkStart w:id="764" w:name="_Toc296346727"/>
      <w:bookmarkStart w:id="765" w:name="_Toc296891266"/>
      <w:bookmarkStart w:id="766" w:name="_Toc296944565"/>
      <w:bookmarkStart w:id="767" w:name="_Toc296503226"/>
      <w:bookmarkStart w:id="768" w:name="_Toc296891054"/>
      <w:r>
        <w:rPr>
          <w:rFonts w:hint="eastAsia" w:ascii="宋体" w:hAnsi="宋体" w:eastAsia="宋体" w:cs="宋体"/>
          <w:sz w:val="24"/>
          <w:szCs w:val="30"/>
        </w:rPr>
        <w:t>件1：</w:t>
      </w:r>
      <w:bookmarkEnd w:id="762"/>
      <w:bookmarkEnd w:id="763"/>
      <w:bookmarkEnd w:id="764"/>
      <w:bookmarkEnd w:id="765"/>
      <w:bookmarkEnd w:id="766"/>
      <w:bookmarkEnd w:id="767"/>
      <w:bookmarkEnd w:id="768"/>
    </w:p>
    <w:p>
      <w:pPr>
        <w:spacing w:beforeLines="50" w:afterLines="50" w:line="440" w:lineRule="exact"/>
        <w:jc w:val="center"/>
        <w:rPr>
          <w:rFonts w:ascii="宋体" w:hAnsi="宋体" w:eastAsia="宋体" w:cs="宋体"/>
          <w:b/>
          <w:bCs/>
          <w:sz w:val="32"/>
          <w:szCs w:val="30"/>
        </w:rPr>
      </w:pPr>
      <w:r>
        <w:rPr>
          <w:rFonts w:hint="eastAsia" w:ascii="宋体" w:hAnsi="宋体" w:eastAsia="宋体" w:cs="宋体"/>
          <w:b/>
          <w:bCs/>
          <w:sz w:val="32"/>
          <w:szCs w:val="30"/>
        </w:rPr>
        <w:t>工程质量保修书</w:t>
      </w:r>
    </w:p>
    <w:p>
      <w:pPr>
        <w:spacing w:beforeLines="50" w:afterLines="50" w:line="440" w:lineRule="exact"/>
        <w:jc w:val="center"/>
        <w:rPr>
          <w:rFonts w:ascii="宋体" w:hAnsi="宋体" w:eastAsia="宋体" w:cs="宋体"/>
          <w:sz w:val="32"/>
          <w:szCs w:val="30"/>
        </w:rPr>
      </w:pPr>
    </w:p>
    <w:p>
      <w:pPr>
        <w:spacing w:line="460" w:lineRule="exact"/>
        <w:ind w:firstLine="560" w:firstLineChars="200"/>
        <w:rPr>
          <w:rFonts w:ascii="宋体" w:hAnsi="宋体" w:eastAsia="宋体" w:cs="宋体"/>
          <w:sz w:val="28"/>
          <w:szCs w:val="30"/>
        </w:rPr>
      </w:pPr>
      <w:r>
        <w:rPr>
          <w:rFonts w:hint="eastAsia" w:ascii="宋体" w:hAnsi="宋体" w:eastAsia="宋体" w:cs="宋体"/>
          <w:sz w:val="28"/>
          <w:szCs w:val="30"/>
        </w:rPr>
        <w:t>发包人（全称）：</w:t>
      </w:r>
      <w:r>
        <w:rPr>
          <w:rFonts w:hint="eastAsia" w:ascii="宋体" w:hAnsi="宋体" w:eastAsia="宋体" w:cs="宋体"/>
          <w:sz w:val="28"/>
          <w:szCs w:val="30"/>
          <w:u w:val="single"/>
        </w:rPr>
        <w:t xml:space="preserve">     </w:t>
      </w:r>
      <w:r>
        <w:rPr>
          <w:rFonts w:hint="eastAsia" w:ascii="宋体" w:hAnsi="宋体" w:eastAsia="宋体" w:cs="宋体"/>
          <w:sz w:val="28"/>
          <w:u w:val="single"/>
        </w:rPr>
        <w:t xml:space="preserve">                </w:t>
      </w:r>
      <w:r>
        <w:rPr>
          <w:rFonts w:hint="eastAsia" w:ascii="宋体" w:hAnsi="宋体" w:eastAsia="宋体" w:cs="宋体"/>
          <w:sz w:val="28"/>
          <w:szCs w:val="30"/>
          <w:u w:val="single"/>
        </w:rPr>
        <w:t xml:space="preserve">    </w:t>
      </w:r>
    </w:p>
    <w:p>
      <w:pPr>
        <w:spacing w:line="460" w:lineRule="exact"/>
        <w:ind w:firstLine="560" w:firstLineChars="200"/>
        <w:rPr>
          <w:rFonts w:ascii="宋体" w:hAnsi="宋体" w:eastAsia="宋体" w:cs="宋体"/>
          <w:sz w:val="28"/>
          <w:szCs w:val="30"/>
        </w:rPr>
      </w:pPr>
      <w:r>
        <w:rPr>
          <w:rFonts w:hint="eastAsia" w:ascii="宋体" w:hAnsi="宋体" w:eastAsia="宋体" w:cs="宋体"/>
          <w:sz w:val="28"/>
          <w:szCs w:val="30"/>
        </w:rPr>
        <w:t>承包人（全称）：</w:t>
      </w:r>
      <w:r>
        <w:rPr>
          <w:rFonts w:hint="eastAsia" w:ascii="宋体" w:hAnsi="宋体" w:eastAsia="宋体" w:cs="宋体"/>
          <w:sz w:val="28"/>
          <w:szCs w:val="30"/>
          <w:u w:val="single"/>
        </w:rPr>
        <w:t xml:space="preserve">                         </w:t>
      </w:r>
    </w:p>
    <w:p>
      <w:pPr>
        <w:spacing w:line="460" w:lineRule="exact"/>
        <w:ind w:firstLine="480" w:firstLineChars="200"/>
        <w:rPr>
          <w:rFonts w:ascii="宋体" w:hAnsi="宋体" w:eastAsia="宋体" w:cs="宋体"/>
          <w:sz w:val="24"/>
          <w:szCs w:val="30"/>
        </w:rPr>
      </w:pP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发包人和承包人根据《中华人民共和国建筑法》和《建设工程质量管理条例》，经协商一致就</w:t>
      </w:r>
      <w:r>
        <w:rPr>
          <w:rFonts w:hint="eastAsia" w:ascii="宋体" w:hAnsi="宋体" w:eastAsia="宋体" w:cs="宋体"/>
          <w:sz w:val="24"/>
          <w:szCs w:val="30"/>
          <w:u w:val="single"/>
        </w:rPr>
        <w:t xml:space="preserve">                </w:t>
      </w:r>
      <w:r>
        <w:rPr>
          <w:rFonts w:hint="eastAsia" w:ascii="宋体" w:hAnsi="宋体" w:eastAsia="宋体" w:cs="宋体"/>
          <w:sz w:val="24"/>
        </w:rPr>
        <w:t>工程</w:t>
      </w:r>
      <w:r>
        <w:rPr>
          <w:rFonts w:hint="eastAsia" w:ascii="宋体" w:hAnsi="宋体" w:eastAsia="宋体" w:cs="宋体"/>
          <w:sz w:val="24"/>
          <w:szCs w:val="30"/>
        </w:rPr>
        <w:t>签订工程质量保修书。</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一、工程质量保修范围和内容</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承包人在质量保修期内，按照有关法律规定和合同约定，承担工程质量保修责任。</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30"/>
          <w:u w:val="single"/>
        </w:rPr>
        <w:t xml:space="preserve"> </w:t>
      </w:r>
      <w:r>
        <w:rPr>
          <w:rFonts w:hint="eastAsia" w:ascii="宋体" w:hAnsi="宋体" w:eastAsia="宋体" w:cs="宋体"/>
          <w:sz w:val="24"/>
          <w:u w:val="single"/>
        </w:rPr>
        <w:t>合同约定的全部工程内容</w:t>
      </w:r>
      <w:r>
        <w:rPr>
          <w:rFonts w:hint="eastAsia" w:ascii="宋体" w:hAnsi="宋体" w:eastAsia="宋体" w:cs="宋体"/>
          <w:sz w:val="24"/>
          <w:szCs w:val="30"/>
          <w:u w:val="single"/>
        </w:rPr>
        <w:t xml:space="preserve"> </w:t>
      </w:r>
      <w:r>
        <w:rPr>
          <w:rFonts w:hint="eastAsia" w:ascii="宋体" w:hAnsi="宋体" w:eastAsia="宋体" w:cs="宋体"/>
          <w:sz w:val="24"/>
          <w:szCs w:val="30"/>
        </w:rPr>
        <w:t>。</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二、质量保修期</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根据《建设工程质量管理条例》及有关规定，工程的质量保修期如下：</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1．地基基础工程和主体结构工程为设计文件规定的工程合理使用年限；</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2．屋面防水工程、有防水要求的卫生间、房间和外墙面的防渗为</w:t>
      </w:r>
      <w:r>
        <w:rPr>
          <w:rFonts w:hint="eastAsia" w:ascii="宋体" w:hAnsi="宋体" w:eastAsia="宋体" w:cs="宋体"/>
          <w:sz w:val="24"/>
          <w:szCs w:val="30"/>
          <w:u w:val="single"/>
        </w:rPr>
        <w:t xml:space="preserve"> 5 </w:t>
      </w:r>
      <w:r>
        <w:rPr>
          <w:rFonts w:hint="eastAsia" w:ascii="宋体" w:hAnsi="宋体" w:eastAsia="宋体" w:cs="宋体"/>
          <w:sz w:val="24"/>
          <w:szCs w:val="30"/>
        </w:rPr>
        <w:t>年；</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3．装修工程为</w:t>
      </w:r>
      <w:r>
        <w:rPr>
          <w:rFonts w:hint="eastAsia" w:ascii="宋体" w:hAnsi="宋体" w:eastAsia="宋体" w:cs="宋体"/>
          <w:sz w:val="24"/>
          <w:szCs w:val="30"/>
          <w:u w:val="single"/>
        </w:rPr>
        <w:t xml:space="preserve"> 2 </w:t>
      </w:r>
      <w:r>
        <w:rPr>
          <w:rFonts w:hint="eastAsia" w:ascii="宋体" w:hAnsi="宋体" w:eastAsia="宋体" w:cs="宋体"/>
          <w:sz w:val="24"/>
          <w:szCs w:val="30"/>
        </w:rPr>
        <w:t>年；</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4．电气管线、给排水管道、设备安装工程为</w:t>
      </w:r>
      <w:r>
        <w:rPr>
          <w:rFonts w:hint="eastAsia" w:ascii="宋体" w:hAnsi="宋体" w:eastAsia="宋体" w:cs="宋体"/>
          <w:sz w:val="24"/>
          <w:szCs w:val="30"/>
          <w:u w:val="single"/>
        </w:rPr>
        <w:t xml:space="preserve"> 2 </w:t>
      </w:r>
      <w:r>
        <w:rPr>
          <w:rFonts w:hint="eastAsia" w:ascii="宋体" w:hAnsi="宋体" w:eastAsia="宋体" w:cs="宋体"/>
          <w:sz w:val="24"/>
          <w:szCs w:val="30"/>
        </w:rPr>
        <w:t>年；</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5．供热与供冷系统为</w:t>
      </w:r>
      <w:r>
        <w:rPr>
          <w:rFonts w:hint="eastAsia" w:ascii="宋体" w:hAnsi="宋体" w:eastAsia="宋体" w:cs="宋体"/>
          <w:sz w:val="24"/>
          <w:szCs w:val="30"/>
          <w:u w:val="single"/>
        </w:rPr>
        <w:t xml:space="preserve"> 2 </w:t>
      </w:r>
      <w:r>
        <w:rPr>
          <w:rFonts w:hint="eastAsia" w:ascii="宋体" w:hAnsi="宋体" w:eastAsia="宋体" w:cs="宋体"/>
          <w:sz w:val="24"/>
          <w:szCs w:val="30"/>
        </w:rPr>
        <w:t>个采暖期、供冷期；</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6．住宅小区内的给排水设施、道路等配套工程为</w:t>
      </w:r>
      <w:r>
        <w:rPr>
          <w:rFonts w:hint="eastAsia" w:ascii="宋体" w:hAnsi="宋体" w:eastAsia="宋体" w:cs="宋体"/>
          <w:sz w:val="24"/>
          <w:szCs w:val="30"/>
          <w:u w:val="single"/>
        </w:rPr>
        <w:t xml:space="preserve"> 2 </w:t>
      </w:r>
      <w:r>
        <w:rPr>
          <w:rFonts w:hint="eastAsia" w:ascii="宋体" w:hAnsi="宋体" w:eastAsia="宋体" w:cs="宋体"/>
          <w:sz w:val="24"/>
          <w:szCs w:val="30"/>
        </w:rPr>
        <w:t>年；</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7．其他项目保修期限约定如下：</w:t>
      </w:r>
      <w:r>
        <w:rPr>
          <w:rFonts w:hint="eastAsia" w:ascii="宋体" w:hAnsi="宋体" w:eastAsia="宋体" w:cs="宋体"/>
          <w:sz w:val="24"/>
          <w:szCs w:val="30"/>
          <w:u w:val="single"/>
        </w:rPr>
        <w:t xml:space="preserve"> </w:t>
      </w:r>
      <w:r>
        <w:rPr>
          <w:rFonts w:hint="eastAsia" w:ascii="宋体" w:hAnsi="宋体" w:eastAsia="宋体" w:cs="宋体"/>
          <w:sz w:val="24"/>
          <w:u w:val="single"/>
        </w:rPr>
        <w:t>质量保修期自工程竣工验收合格之日起计算</w:t>
      </w:r>
      <w:r>
        <w:rPr>
          <w:rFonts w:hint="eastAsia" w:ascii="宋体" w:hAnsi="宋体" w:eastAsia="宋体" w:cs="宋体"/>
          <w:sz w:val="24"/>
          <w:szCs w:val="30"/>
          <w:u w:val="single"/>
        </w:rPr>
        <w:t xml:space="preserve"> </w:t>
      </w:r>
      <w:r>
        <w:rPr>
          <w:rFonts w:hint="eastAsia" w:ascii="宋体" w:hAnsi="宋体" w:eastAsia="宋体" w:cs="宋体"/>
          <w:sz w:val="24"/>
          <w:szCs w:val="30"/>
        </w:rPr>
        <w:t>。</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三、缺陷责任期</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工程缺陷责任期为</w:t>
      </w:r>
      <w:r>
        <w:rPr>
          <w:rFonts w:hint="eastAsia" w:ascii="宋体" w:hAnsi="宋体" w:eastAsia="宋体" w:cs="宋体"/>
          <w:sz w:val="24"/>
          <w:szCs w:val="30"/>
          <w:u w:val="single"/>
        </w:rPr>
        <w:t xml:space="preserve"> 24 </w:t>
      </w:r>
      <w:r>
        <w:rPr>
          <w:rFonts w:hint="eastAsia" w:ascii="宋体" w:hAnsi="宋体" w:eastAsia="宋体" w:cs="宋体"/>
          <w:sz w:val="24"/>
          <w:szCs w:val="30"/>
        </w:rPr>
        <w:t>个月，缺陷责任期自工程通过竣工验收之日起计算。单位工程先于全部工程进行验收，单位工程缺陷责任期自单位工程验收合格之日起算。</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缺陷责任期终止后，发包人应退还剩余的质量保证金。</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四、质量保修责任</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1．属于保修范围、内容的项目，承包人应当在接到保修通知之日起7天内派人保修。承包人不在约定期限内派人保修的，发包人可以委托他人修理。</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2．发生紧急事故需抢修的，承包人在接到事故通知后，应当立即到达事故现场抢修。</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4．质量保修完成后，由发包人组织验收。</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五、保修费用</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保修费用由造成质量缺陷的责任方承担。</w:t>
      </w:r>
    </w:p>
    <w:p>
      <w:pPr>
        <w:spacing w:line="500" w:lineRule="exact"/>
        <w:ind w:firstLine="482" w:firstLineChars="200"/>
        <w:jc w:val="left"/>
        <w:rPr>
          <w:rFonts w:ascii="宋体" w:hAnsi="宋体" w:eastAsia="宋体" w:cs="宋体"/>
          <w:sz w:val="24"/>
          <w:szCs w:val="30"/>
        </w:rPr>
      </w:pPr>
      <w:r>
        <w:rPr>
          <w:rFonts w:hint="eastAsia" w:ascii="宋体" w:hAnsi="宋体" w:eastAsia="宋体" w:cs="宋体"/>
          <w:b/>
          <w:sz w:val="24"/>
          <w:szCs w:val="30"/>
        </w:rPr>
        <w:t>六</w:t>
      </w:r>
      <w:r>
        <w:rPr>
          <w:rFonts w:hint="eastAsia" w:ascii="宋体" w:hAnsi="宋体" w:eastAsia="宋体" w:cs="宋体"/>
          <w:sz w:val="24"/>
          <w:szCs w:val="30"/>
        </w:rPr>
        <w:t>、双方约定的其他工程质量保修事项：</w:t>
      </w:r>
      <w:r>
        <w:rPr>
          <w:rFonts w:hint="eastAsia" w:ascii="宋体" w:hAnsi="宋体" w:eastAsia="宋体" w:cs="宋体"/>
          <w:sz w:val="24"/>
          <w:szCs w:val="30"/>
          <w:u w:val="single"/>
        </w:rPr>
        <w:t xml:space="preserve"> </w:t>
      </w:r>
      <w:r>
        <w:rPr>
          <w:rFonts w:hint="eastAsia" w:ascii="宋体" w:hAnsi="宋体" w:eastAsia="宋体" w:cs="宋体"/>
          <w:sz w:val="24"/>
          <w:u w:val="single"/>
        </w:rPr>
        <w:t>发包人在工程竣工验收合格贰年后7个工作日内，完成保修任务后，质量保修金返还承包人</w:t>
      </w:r>
      <w:r>
        <w:rPr>
          <w:rFonts w:hint="eastAsia" w:ascii="宋体" w:hAnsi="宋体" w:eastAsia="宋体" w:cs="宋体"/>
          <w:sz w:val="24"/>
          <w:szCs w:val="30"/>
          <w:u w:val="single"/>
        </w:rPr>
        <w:t xml:space="preserve"> </w:t>
      </w:r>
      <w:r>
        <w:rPr>
          <w:rFonts w:hint="eastAsia" w:ascii="宋体" w:hAnsi="宋体" w:eastAsia="宋体" w:cs="宋体"/>
          <w:sz w:val="24"/>
          <w:szCs w:val="30"/>
        </w:rPr>
        <w:t>。</w:t>
      </w:r>
    </w:p>
    <w:p>
      <w:pPr>
        <w:spacing w:line="500" w:lineRule="exact"/>
        <w:ind w:firstLine="480" w:firstLineChars="200"/>
        <w:rPr>
          <w:rFonts w:ascii="宋体" w:hAnsi="宋体" w:eastAsia="宋体" w:cs="宋体"/>
          <w:sz w:val="24"/>
          <w:szCs w:val="30"/>
        </w:rPr>
      </w:pPr>
      <w:r>
        <w:rPr>
          <w:rFonts w:hint="eastAsia" w:ascii="宋体" w:hAnsi="宋体" w:eastAsia="宋体" w:cs="宋体"/>
          <w:sz w:val="24"/>
          <w:szCs w:val="30"/>
        </w:rPr>
        <w:t>工程质量保修书由发包人、承包人在工程竣工验收前共同签署，作为施工合同附件，其有效期限至保修期满。</w:t>
      </w:r>
    </w:p>
    <w:p>
      <w:pPr>
        <w:spacing w:line="440" w:lineRule="exact"/>
        <w:ind w:firstLine="480" w:firstLineChars="200"/>
        <w:rPr>
          <w:rFonts w:ascii="宋体" w:hAnsi="宋体" w:eastAsia="宋体" w:cs="宋体"/>
          <w:sz w:val="24"/>
          <w:szCs w:val="30"/>
        </w:rPr>
      </w:pPr>
    </w:p>
    <w:p>
      <w:pPr>
        <w:spacing w:line="440" w:lineRule="exact"/>
        <w:rPr>
          <w:rFonts w:ascii="宋体" w:hAnsi="宋体" w:eastAsia="宋体" w:cs="宋体"/>
          <w:sz w:val="32"/>
          <w:szCs w:val="30"/>
        </w:rPr>
      </w:pPr>
      <w:r>
        <w:rPr>
          <w:rFonts w:hint="eastAsia" w:ascii="宋体" w:hAnsi="宋体" w:eastAsia="宋体" w:cs="宋体"/>
          <w:b/>
          <w:sz w:val="24"/>
          <w:szCs w:val="30"/>
        </w:rPr>
        <w:br w:type="page"/>
      </w:r>
      <w:r>
        <w:rPr>
          <w:rFonts w:hint="eastAsia" w:ascii="宋体" w:hAnsi="宋体" w:eastAsia="宋体" w:cs="宋体"/>
          <w:sz w:val="24"/>
          <w:szCs w:val="30"/>
        </w:rPr>
        <w:t>附件2：</w:t>
      </w:r>
    </w:p>
    <w:p>
      <w:pPr>
        <w:spacing w:beforeLines="50" w:afterLines="50" w:line="440" w:lineRule="exact"/>
        <w:jc w:val="center"/>
        <w:rPr>
          <w:rFonts w:ascii="宋体" w:hAnsi="宋体" w:eastAsia="宋体" w:cs="宋体"/>
          <w:b/>
          <w:bCs/>
          <w:sz w:val="32"/>
          <w:szCs w:val="30"/>
        </w:rPr>
      </w:pPr>
      <w:r>
        <w:rPr>
          <w:rFonts w:hint="eastAsia" w:ascii="宋体" w:hAnsi="宋体" w:eastAsia="宋体" w:cs="宋体"/>
          <w:b/>
          <w:bCs/>
          <w:sz w:val="32"/>
          <w:szCs w:val="30"/>
        </w:rPr>
        <w:t>维修改造项目垃圾堆放清运承诺书</w:t>
      </w:r>
    </w:p>
    <w:p>
      <w:pPr>
        <w:spacing w:beforeLines="50" w:afterLines="50" w:line="440" w:lineRule="exact"/>
        <w:jc w:val="center"/>
        <w:rPr>
          <w:rFonts w:ascii="宋体" w:hAnsi="宋体" w:eastAsia="宋体" w:cs="宋体"/>
          <w:sz w:val="24"/>
        </w:rPr>
      </w:pPr>
    </w:p>
    <w:p>
      <w:pPr>
        <w:spacing w:line="500" w:lineRule="exact"/>
        <w:rPr>
          <w:rFonts w:ascii="宋体" w:hAnsi="宋体" w:eastAsia="宋体" w:cs="宋体"/>
          <w:sz w:val="24"/>
          <w:szCs w:val="30"/>
        </w:rPr>
      </w:pPr>
      <w:r>
        <w:rPr>
          <w:rFonts w:hint="eastAsia" w:ascii="宋体" w:hAnsi="宋体" w:eastAsia="宋体" w:cs="宋体"/>
          <w:sz w:val="24"/>
          <w:szCs w:val="30"/>
        </w:rPr>
        <w:t>浙江大学：</w:t>
      </w:r>
    </w:p>
    <w:p>
      <w:pPr>
        <w:spacing w:line="500" w:lineRule="exact"/>
        <w:ind w:firstLine="480" w:firstLineChars="200"/>
        <w:rPr>
          <w:rFonts w:ascii="宋体" w:hAnsi="宋体" w:eastAsia="宋体" w:cs="宋体"/>
          <w:sz w:val="24"/>
          <w:u w:val="single"/>
        </w:rPr>
      </w:pPr>
      <w:r>
        <w:rPr>
          <w:rFonts w:hint="eastAsia" w:ascii="宋体" w:hAnsi="宋体" w:eastAsia="宋体" w:cs="宋体"/>
          <w:sz w:val="24"/>
        </w:rPr>
        <w:t>很荣幸能为贵校</w:t>
      </w:r>
      <w:r>
        <w:rPr>
          <w:rFonts w:hint="eastAsia" w:ascii="宋体" w:hAnsi="宋体" w:eastAsia="宋体" w:cs="宋体"/>
          <w:sz w:val="24"/>
          <w:u w:val="single"/>
        </w:rPr>
        <w:t xml:space="preserve">                                </w:t>
      </w:r>
      <w:r>
        <w:rPr>
          <w:rFonts w:hint="eastAsia" w:ascii="宋体" w:hAnsi="宋体" w:eastAsia="宋体" w:cs="宋体"/>
          <w:sz w:val="28"/>
          <w:szCs w:val="28"/>
          <w:u w:val="single"/>
        </w:rPr>
        <w:t xml:space="preserve"> </w:t>
      </w:r>
      <w:r>
        <w:rPr>
          <w:rFonts w:hint="eastAsia" w:ascii="宋体" w:hAnsi="宋体" w:eastAsia="宋体" w:cs="宋体"/>
          <w:sz w:val="24"/>
        </w:rPr>
        <w:t>工程，在施工期间我公司将严格遵守贵校的各项规章制度，并接受监督与管理。</w:t>
      </w:r>
    </w:p>
    <w:p>
      <w:pPr>
        <w:spacing w:line="500" w:lineRule="exact"/>
        <w:ind w:firstLine="480" w:firstLineChars="200"/>
        <w:rPr>
          <w:rFonts w:ascii="宋体" w:hAnsi="宋体" w:eastAsia="宋体" w:cs="宋体"/>
          <w:sz w:val="24"/>
        </w:rPr>
      </w:pPr>
      <w:r>
        <w:rPr>
          <w:rFonts w:hint="eastAsia" w:ascii="宋体" w:hAnsi="宋体" w:eastAsia="宋体" w:cs="宋体"/>
          <w:sz w:val="24"/>
        </w:rPr>
        <w:t>我代表</w:t>
      </w:r>
      <w:r>
        <w:rPr>
          <w:rFonts w:hint="eastAsia" w:ascii="宋体" w:hAnsi="宋体" w:eastAsia="宋体" w:cs="宋体"/>
          <w:sz w:val="24"/>
          <w:u w:val="single"/>
        </w:rPr>
        <w:t xml:space="preserve">                              </w:t>
      </w:r>
      <w:r>
        <w:rPr>
          <w:rFonts w:hint="eastAsia" w:ascii="宋体" w:hAnsi="宋体" w:eastAsia="宋体" w:cs="宋体"/>
          <w:sz w:val="24"/>
        </w:rPr>
        <w:t>（承诺人名称），在此作如下承诺：</w:t>
      </w:r>
    </w:p>
    <w:p>
      <w:pPr>
        <w:spacing w:line="500" w:lineRule="exact"/>
        <w:ind w:firstLine="480" w:firstLineChars="200"/>
        <w:rPr>
          <w:rFonts w:ascii="宋体" w:hAnsi="宋体" w:eastAsia="宋体" w:cs="宋体"/>
          <w:sz w:val="24"/>
        </w:rPr>
      </w:pPr>
      <w:r>
        <w:rPr>
          <w:rFonts w:hint="eastAsia" w:ascii="宋体" w:hAnsi="宋体" w:eastAsia="宋体" w:cs="宋体"/>
          <w:sz w:val="24"/>
        </w:rPr>
        <w:t>一、在装修改造期间，我公司按学校和小区物业要求建筑垃圾统一入袋，整齐堆放在规定位置，及时清运（原则上做到每日一清），并将周边环境打扫干净，每次清运时间不超过一周。</w:t>
      </w:r>
    </w:p>
    <w:p>
      <w:pPr>
        <w:spacing w:line="500" w:lineRule="exact"/>
        <w:ind w:firstLine="480" w:firstLineChars="200"/>
        <w:rPr>
          <w:rFonts w:ascii="宋体" w:hAnsi="宋体" w:eastAsia="宋体" w:cs="宋体"/>
          <w:sz w:val="24"/>
        </w:rPr>
      </w:pPr>
      <w:r>
        <w:rPr>
          <w:rFonts w:hint="eastAsia" w:ascii="宋体" w:hAnsi="宋体" w:eastAsia="宋体" w:cs="宋体"/>
          <w:sz w:val="24"/>
        </w:rPr>
        <w:t>二、在装修期间如遇特殊情况（如市卫生大检查等），服从学校和小区物业的统一安排，保证大局。</w:t>
      </w:r>
    </w:p>
    <w:p>
      <w:pPr>
        <w:spacing w:line="500" w:lineRule="exact"/>
        <w:ind w:firstLine="480" w:firstLineChars="200"/>
        <w:rPr>
          <w:rFonts w:ascii="宋体" w:hAnsi="宋体" w:eastAsia="宋体" w:cs="宋体"/>
          <w:sz w:val="24"/>
        </w:rPr>
      </w:pPr>
      <w:r>
        <w:rPr>
          <w:rFonts w:hint="eastAsia" w:ascii="宋体" w:hAnsi="宋体" w:eastAsia="宋体" w:cs="宋体"/>
          <w:sz w:val="24"/>
        </w:rPr>
        <w:t>三、经检查如与以上承诺不符，同意按维修办、校区办、监理单位或小区物业出具的联系单扣罚，每发现一次建筑垃圾乱堆、乱放罚款1000元，并上交学校账户。罚款结清前不予竣工验收。</w:t>
      </w:r>
    </w:p>
    <w:p>
      <w:pPr>
        <w:spacing w:line="500" w:lineRule="exact"/>
        <w:ind w:firstLine="480" w:firstLineChars="200"/>
        <w:rPr>
          <w:rFonts w:ascii="宋体" w:hAnsi="宋体" w:eastAsia="宋体" w:cs="宋体"/>
          <w:sz w:val="24"/>
        </w:rPr>
      </w:pPr>
    </w:p>
    <w:p>
      <w:pPr>
        <w:spacing w:line="500" w:lineRule="exact"/>
        <w:ind w:firstLine="480" w:firstLineChars="200"/>
        <w:rPr>
          <w:rFonts w:ascii="宋体" w:hAnsi="宋体" w:eastAsia="宋体" w:cs="宋体"/>
          <w:sz w:val="24"/>
        </w:rPr>
      </w:pPr>
    </w:p>
    <w:p>
      <w:pPr>
        <w:spacing w:line="500" w:lineRule="exact"/>
        <w:ind w:firstLine="480" w:firstLineChars="200"/>
        <w:rPr>
          <w:rFonts w:ascii="宋体" w:hAnsi="宋体" w:eastAsia="宋体" w:cs="宋体"/>
          <w:sz w:val="24"/>
        </w:rPr>
      </w:pPr>
    </w:p>
    <w:p>
      <w:pPr>
        <w:tabs>
          <w:tab w:val="left" w:pos="1785"/>
        </w:tabs>
        <w:ind w:left="690"/>
        <w:rPr>
          <w:rFonts w:ascii="宋体" w:hAnsi="宋体" w:eastAsia="宋体" w:cs="宋体"/>
          <w:b/>
          <w:sz w:val="24"/>
        </w:rPr>
      </w:pPr>
      <w:r>
        <w:rPr>
          <w:rFonts w:hint="eastAsia" w:ascii="宋体" w:hAnsi="宋体" w:eastAsia="宋体" w:cs="宋体"/>
          <w:sz w:val="24"/>
        </w:rPr>
        <w:t xml:space="preserve">                                    </w:t>
      </w:r>
      <w:r>
        <w:rPr>
          <w:rFonts w:hint="eastAsia" w:ascii="宋体" w:hAnsi="宋体" w:eastAsia="宋体" w:cs="宋体"/>
          <w:sz w:val="24"/>
          <w:szCs w:val="30"/>
        </w:rPr>
        <w:t>承  诺  人</w:t>
      </w:r>
      <w:r>
        <w:rPr>
          <w:rFonts w:hint="eastAsia" w:ascii="宋体" w:hAnsi="宋体" w:eastAsia="宋体" w:cs="宋体"/>
          <w:b/>
          <w:sz w:val="24"/>
        </w:rPr>
        <w:t>：</w:t>
      </w:r>
      <w:r>
        <w:rPr>
          <w:rFonts w:hint="eastAsia" w:ascii="宋体" w:hAnsi="宋体" w:eastAsia="宋体" w:cs="宋体"/>
          <w:b/>
          <w:sz w:val="24"/>
          <w:u w:val="single"/>
        </w:rPr>
        <w:t xml:space="preserve">              </w:t>
      </w:r>
    </w:p>
    <w:p>
      <w:pPr>
        <w:tabs>
          <w:tab w:val="left" w:pos="1785"/>
        </w:tabs>
        <w:rPr>
          <w:rFonts w:ascii="宋体" w:hAnsi="宋体" w:eastAsia="宋体" w:cs="宋体"/>
          <w:b/>
          <w:sz w:val="24"/>
        </w:rPr>
      </w:pPr>
    </w:p>
    <w:p>
      <w:pPr>
        <w:tabs>
          <w:tab w:val="left" w:pos="1785"/>
        </w:tabs>
        <w:ind w:left="690"/>
        <w:rPr>
          <w:rFonts w:ascii="宋体" w:hAnsi="宋体" w:eastAsia="宋体" w:cs="宋体"/>
          <w:b/>
          <w:sz w:val="24"/>
        </w:rPr>
      </w:pPr>
      <w:r>
        <w:rPr>
          <w:rFonts w:hint="eastAsia" w:ascii="宋体" w:hAnsi="宋体" w:eastAsia="宋体" w:cs="宋体"/>
          <w:b/>
          <w:sz w:val="24"/>
        </w:rPr>
        <w:t xml:space="preserve">                                    </w:t>
      </w:r>
      <w:r>
        <w:rPr>
          <w:rFonts w:hint="eastAsia" w:ascii="宋体" w:hAnsi="宋体" w:eastAsia="宋体" w:cs="宋体"/>
          <w:sz w:val="24"/>
          <w:szCs w:val="30"/>
        </w:rPr>
        <w:t>承诺人公章</w:t>
      </w:r>
      <w:r>
        <w:rPr>
          <w:rFonts w:hint="eastAsia" w:ascii="宋体" w:hAnsi="宋体" w:eastAsia="宋体" w:cs="宋体"/>
          <w:b/>
          <w:sz w:val="24"/>
        </w:rPr>
        <w:t>：</w:t>
      </w:r>
      <w:r>
        <w:rPr>
          <w:rFonts w:hint="eastAsia" w:ascii="宋体" w:hAnsi="宋体" w:eastAsia="宋体" w:cs="宋体"/>
          <w:b/>
          <w:sz w:val="24"/>
          <w:u w:val="single"/>
        </w:rPr>
        <w:t xml:space="preserve">              </w:t>
      </w:r>
    </w:p>
    <w:p>
      <w:pPr>
        <w:tabs>
          <w:tab w:val="left" w:pos="1785"/>
        </w:tabs>
        <w:rPr>
          <w:rFonts w:ascii="宋体" w:hAnsi="宋体" w:eastAsia="宋体" w:cs="宋体"/>
          <w:b/>
          <w:sz w:val="24"/>
          <w:u w:val="single"/>
        </w:rPr>
      </w:pPr>
    </w:p>
    <w:p>
      <w:pPr>
        <w:tabs>
          <w:tab w:val="left" w:pos="1785"/>
        </w:tabs>
        <w:ind w:left="690"/>
        <w:rPr>
          <w:rFonts w:ascii="宋体" w:hAnsi="宋体" w:eastAsia="宋体" w:cs="宋体"/>
          <w:b/>
          <w:sz w:val="24"/>
        </w:rPr>
      </w:pPr>
      <w:r>
        <w:rPr>
          <w:rFonts w:hint="eastAsia" w:ascii="宋体" w:hAnsi="宋体" w:eastAsia="宋体" w:cs="宋体"/>
          <w:b/>
          <w:sz w:val="24"/>
        </w:rPr>
        <w:t xml:space="preserve">                                      </w:t>
      </w:r>
      <w:r>
        <w:rPr>
          <w:rFonts w:hint="eastAsia" w:ascii="宋体" w:hAnsi="宋体" w:eastAsia="宋体" w:cs="宋体"/>
          <w:sz w:val="24"/>
          <w:szCs w:val="30"/>
        </w:rPr>
        <w:t xml:space="preserve">        年     月     日</w:t>
      </w:r>
    </w:p>
    <w:p>
      <w:pPr>
        <w:widowControl/>
        <w:spacing w:line="360" w:lineRule="auto"/>
        <w:ind w:firstLine="420" w:firstLineChars="200"/>
        <w:rPr>
          <w:rFonts w:ascii="宋体" w:hAnsi="宋体" w:eastAsia="宋体" w:cs="宋体"/>
        </w:rPr>
      </w:pPr>
    </w:p>
    <w:p>
      <w:pPr>
        <w:widowControl/>
        <w:spacing w:line="360" w:lineRule="auto"/>
        <w:ind w:firstLine="422" w:firstLineChars="200"/>
        <w:rPr>
          <w:rFonts w:ascii="宋体" w:hAnsi="宋体" w:eastAsia="宋体" w:cs="宋体"/>
          <w:b/>
        </w:rPr>
        <w:sectPr>
          <w:pgSz w:w="11906" w:h="16838"/>
          <w:pgMar w:top="1418" w:right="1588" w:bottom="1418" w:left="1588" w:header="567" w:footer="567" w:gutter="0"/>
          <w:pgNumType w:fmt="decimal"/>
          <w:cols w:space="720" w:num="1"/>
          <w:docGrid w:linePitch="312" w:charSpace="0"/>
        </w:sectPr>
      </w:pPr>
    </w:p>
    <w:p>
      <w:pPr>
        <w:widowControl/>
        <w:spacing w:line="360" w:lineRule="auto"/>
        <w:ind w:firstLine="420" w:firstLineChars="200"/>
        <w:rPr>
          <w:rFonts w:ascii="宋体" w:hAnsi="宋体" w:eastAsia="宋体" w:cs="宋体"/>
          <w:b/>
        </w:rPr>
      </w:pPr>
      <w:r>
        <w:rPr>
          <w:rFonts w:hint="eastAsia" w:ascii="宋体" w:hAnsi="宋体" w:eastAsia="宋体" w:cs="宋体"/>
          <w:kern w:val="0"/>
          <w:lang w:val="zh-CN"/>
        </w:rPr>
        <w:t>附件</w:t>
      </w:r>
      <w:r>
        <w:rPr>
          <w:rFonts w:hint="eastAsia" w:ascii="宋体" w:hAnsi="宋体" w:eastAsia="宋体" w:cs="宋体"/>
          <w:kern w:val="0"/>
        </w:rPr>
        <w:t>3</w:t>
      </w:r>
      <w:r>
        <w:rPr>
          <w:rFonts w:hint="eastAsia" w:ascii="宋体" w:hAnsi="宋体" w:eastAsia="宋体" w:cs="宋体"/>
          <w:kern w:val="0"/>
          <w:lang w:val="zh-CN"/>
        </w:rPr>
        <w:t xml:space="preserve"> 文明施工责任协议书格式</w:t>
      </w:r>
    </w:p>
    <w:p>
      <w:pPr>
        <w:widowControl/>
        <w:spacing w:line="360" w:lineRule="auto"/>
        <w:ind w:firstLine="422" w:firstLineChars="200"/>
        <w:jc w:val="center"/>
        <w:rPr>
          <w:rFonts w:ascii="宋体" w:hAnsi="宋体" w:eastAsia="宋体" w:cs="宋体"/>
          <w:b/>
        </w:rPr>
      </w:pPr>
      <w:r>
        <w:rPr>
          <w:rFonts w:hint="eastAsia" w:ascii="宋体" w:hAnsi="宋体" w:eastAsia="宋体" w:cs="宋体"/>
          <w:b/>
        </w:rPr>
        <w:t>文明施工责任协议书</w:t>
      </w:r>
    </w:p>
    <w:p>
      <w:pPr>
        <w:widowControl/>
        <w:spacing w:line="360" w:lineRule="auto"/>
        <w:ind w:firstLine="420" w:firstLineChars="200"/>
        <w:rPr>
          <w:rFonts w:ascii="宋体" w:hAnsi="宋体" w:eastAsia="宋体" w:cs="宋体"/>
        </w:rPr>
      </w:pPr>
    </w:p>
    <w:p>
      <w:pPr>
        <w:widowControl/>
        <w:spacing w:line="360" w:lineRule="auto"/>
        <w:ind w:firstLine="422" w:firstLineChars="200"/>
        <w:rPr>
          <w:rFonts w:ascii="宋体" w:hAnsi="宋体" w:eastAsia="宋体" w:cs="宋体"/>
          <w:b/>
        </w:rPr>
      </w:pPr>
      <w:r>
        <w:rPr>
          <w:rFonts w:hint="eastAsia" w:ascii="宋体" w:hAnsi="宋体" w:eastAsia="宋体" w:cs="宋体"/>
          <w:b/>
        </w:rPr>
        <w:t>甲方（发包人）：浙江大学</w:t>
      </w:r>
    </w:p>
    <w:p>
      <w:pPr>
        <w:widowControl/>
        <w:spacing w:line="360" w:lineRule="auto"/>
        <w:ind w:firstLine="422" w:firstLineChars="200"/>
        <w:rPr>
          <w:rFonts w:ascii="宋体" w:hAnsi="宋体" w:eastAsia="宋体" w:cs="宋体"/>
          <w:b/>
        </w:rPr>
      </w:pPr>
      <w:r>
        <w:rPr>
          <w:rFonts w:hint="eastAsia" w:ascii="宋体" w:hAnsi="宋体" w:eastAsia="宋体" w:cs="宋体"/>
          <w:b/>
        </w:rPr>
        <w:t xml:space="preserve">乙方（承包人）：________________________ </w:t>
      </w:r>
    </w:p>
    <w:p>
      <w:pPr>
        <w:widowControl/>
        <w:spacing w:line="360" w:lineRule="auto"/>
        <w:ind w:firstLine="420" w:firstLineChars="200"/>
        <w:rPr>
          <w:rFonts w:ascii="宋体" w:hAnsi="宋体" w:eastAsia="宋体" w:cs="宋体"/>
          <w:kern w:val="0"/>
        </w:rPr>
      </w:pPr>
      <w:r>
        <w:rPr>
          <w:rFonts w:hint="eastAsia" w:ascii="宋体" w:hAnsi="宋体" w:eastAsia="宋体" w:cs="宋体"/>
        </w:rPr>
        <w:t>工程项目名称：浙江大学紫金港校区蒙民伟楼信息中心装修工程</w:t>
      </w:r>
    </w:p>
    <w:p>
      <w:pPr>
        <w:widowControl/>
        <w:spacing w:line="360" w:lineRule="auto"/>
        <w:ind w:firstLine="420" w:firstLineChars="200"/>
        <w:rPr>
          <w:rFonts w:ascii="宋体" w:hAnsi="宋体" w:eastAsia="宋体" w:cs="宋体"/>
        </w:rPr>
      </w:pPr>
      <w:r>
        <w:rPr>
          <w:rFonts w:hint="eastAsia" w:ascii="宋体" w:hAnsi="宋体" w:eastAsia="宋体" w:cs="宋体"/>
        </w:rPr>
        <w:t>为认真做好工程建设施工区域内的文明施工，现经甲、乙双方协商同意，明确在文明施工和文明施工管理中的各自职责，并签订如下协议。</w:t>
      </w:r>
    </w:p>
    <w:p>
      <w:pPr>
        <w:widowControl/>
        <w:spacing w:line="360" w:lineRule="auto"/>
        <w:ind w:firstLine="420" w:firstLineChars="200"/>
        <w:rPr>
          <w:rFonts w:ascii="宋体" w:hAnsi="宋体" w:eastAsia="宋体" w:cs="宋体"/>
        </w:rPr>
      </w:pPr>
      <w:r>
        <w:rPr>
          <w:rFonts w:hint="eastAsia" w:ascii="宋体" w:hAnsi="宋体" w:eastAsia="宋体" w:cs="宋体"/>
        </w:rPr>
        <w:t xml:space="preserve">  一、双方同意在在工程管理和工程建设中必须坚持社会效益第一，经济效益和社会效益相—致，“方便学生生活，有利于发展生产、保护生态环境”的原则，坚持便民、利民、为民服务的宗旨。搞好工程建设中的文明施工。</w:t>
      </w:r>
    </w:p>
    <w:p>
      <w:pPr>
        <w:widowControl/>
        <w:spacing w:line="360" w:lineRule="auto"/>
        <w:ind w:firstLine="420" w:firstLineChars="200"/>
        <w:rPr>
          <w:rFonts w:ascii="宋体" w:hAnsi="宋体" w:eastAsia="宋体" w:cs="宋体"/>
        </w:rPr>
      </w:pPr>
      <w:r>
        <w:rPr>
          <w:rFonts w:hint="eastAsia" w:ascii="宋体" w:hAnsi="宋体" w:eastAsia="宋体" w:cs="宋体"/>
        </w:rPr>
        <w:t xml:space="preserve">  二、双方要认真贯彻”建设单位负责，施工单位实施，地方政府监督”的文明施工原则。现场由甲方代表牵头，建立参方共同参与的文明施工管理小组，负责日常管理协调工作，争创文明工地。甲方按合同有关要求，及时拨付有关费用并按市有关创建文明工地的规定，组织、指导、检查、考核、和开展选评工作，创建活动的实施由乙方负责。</w:t>
      </w:r>
    </w:p>
    <w:p>
      <w:pPr>
        <w:widowControl/>
        <w:spacing w:line="360" w:lineRule="auto"/>
        <w:ind w:firstLine="420" w:firstLineChars="200"/>
        <w:rPr>
          <w:rFonts w:ascii="宋体" w:hAnsi="宋体" w:eastAsia="宋体" w:cs="宋体"/>
        </w:rPr>
      </w:pPr>
      <w:r>
        <w:rPr>
          <w:rFonts w:hint="eastAsia" w:ascii="宋体" w:hAnsi="宋体" w:eastAsia="宋体" w:cs="宋体"/>
        </w:rPr>
        <w:t xml:space="preserve">  三、乙方应遵守如下规定：</w:t>
      </w:r>
    </w:p>
    <w:p>
      <w:pPr>
        <w:widowControl/>
        <w:spacing w:line="360" w:lineRule="auto"/>
        <w:ind w:firstLine="420" w:firstLineChars="200"/>
        <w:rPr>
          <w:rFonts w:ascii="宋体" w:hAnsi="宋体" w:eastAsia="宋体" w:cs="宋体"/>
        </w:rPr>
      </w:pPr>
      <w:r>
        <w:rPr>
          <w:rFonts w:hint="eastAsia" w:ascii="宋体" w:hAnsi="宋体" w:eastAsia="宋体" w:cs="宋体"/>
        </w:rPr>
        <w:t>1、根据工程的特点，编制文明施工实施方案，在开工前5日内，将文明施工实施方案报甲方和市安全监督部门备案。</w:t>
      </w:r>
    </w:p>
    <w:p>
      <w:pPr>
        <w:widowControl/>
        <w:spacing w:line="360" w:lineRule="auto"/>
        <w:ind w:firstLine="420" w:firstLineChars="200"/>
        <w:rPr>
          <w:rFonts w:ascii="宋体" w:hAnsi="宋体" w:eastAsia="宋体" w:cs="宋体"/>
        </w:rPr>
      </w:pPr>
      <w:r>
        <w:rPr>
          <w:rFonts w:hint="eastAsia" w:ascii="宋体" w:hAnsi="宋体" w:eastAsia="宋体" w:cs="宋体"/>
        </w:rPr>
        <w:t>2、乙方按有关规定专项包干使用文明施工费，不得挪作他用。</w:t>
      </w:r>
    </w:p>
    <w:p>
      <w:pPr>
        <w:widowControl/>
        <w:spacing w:line="360" w:lineRule="auto"/>
        <w:ind w:firstLine="420" w:firstLineChars="200"/>
        <w:rPr>
          <w:rFonts w:ascii="宋体" w:hAnsi="宋体" w:eastAsia="宋体" w:cs="宋体"/>
        </w:rPr>
      </w:pPr>
      <w:r>
        <w:rPr>
          <w:rFonts w:hint="eastAsia" w:ascii="宋体" w:hAnsi="宋体" w:eastAsia="宋体" w:cs="宋体"/>
        </w:rPr>
        <w:t>3、工地应设置专职文明施工安全员，做到佩证上岗、动态管理，及时收集、记录、整理、管理台帐等技术资料。</w:t>
      </w:r>
    </w:p>
    <w:p>
      <w:pPr>
        <w:widowControl/>
        <w:spacing w:line="360" w:lineRule="auto"/>
        <w:ind w:firstLine="420" w:firstLineChars="200"/>
        <w:rPr>
          <w:rFonts w:ascii="宋体" w:hAnsi="宋体" w:eastAsia="宋体" w:cs="宋体"/>
        </w:rPr>
      </w:pPr>
      <w:r>
        <w:rPr>
          <w:rFonts w:hint="eastAsia" w:ascii="宋体" w:hAnsi="宋体" w:eastAsia="宋体" w:cs="宋体"/>
        </w:rPr>
        <w:t>4、施工现场应按文明施工安全生产的要求，设置各项临时设施，并达到下列要求：</w:t>
      </w:r>
    </w:p>
    <w:p>
      <w:pPr>
        <w:widowControl/>
        <w:spacing w:line="360" w:lineRule="auto"/>
        <w:ind w:firstLine="420" w:firstLineChars="200"/>
        <w:rPr>
          <w:rFonts w:ascii="宋体" w:hAnsi="宋体" w:eastAsia="宋体" w:cs="宋体"/>
        </w:rPr>
      </w:pPr>
      <w:r>
        <w:rPr>
          <w:rFonts w:hint="eastAsia" w:ascii="宋体" w:hAnsi="宋体" w:eastAsia="宋体" w:cs="宋体"/>
        </w:rPr>
        <w:t>（1）施工区域与非施工区域严格分隔。</w:t>
      </w:r>
    </w:p>
    <w:p>
      <w:pPr>
        <w:widowControl/>
        <w:spacing w:line="360" w:lineRule="auto"/>
        <w:ind w:firstLine="420" w:firstLineChars="200"/>
        <w:rPr>
          <w:rFonts w:ascii="宋体" w:hAnsi="宋体" w:eastAsia="宋体" w:cs="宋体"/>
        </w:rPr>
      </w:pPr>
      <w:r>
        <w:rPr>
          <w:rFonts w:hint="eastAsia" w:ascii="宋体" w:hAnsi="宋体" w:eastAsia="宋体" w:cs="宋体"/>
        </w:rPr>
        <w:t>（2）施工区域内应设置能保证施工安全的夜间照明和警示标志，并采取安全防护措施。</w:t>
      </w:r>
    </w:p>
    <w:p>
      <w:pPr>
        <w:widowControl/>
        <w:spacing w:line="360" w:lineRule="auto"/>
        <w:ind w:firstLine="420" w:firstLineChars="200"/>
        <w:rPr>
          <w:rFonts w:ascii="宋体" w:hAnsi="宋体" w:eastAsia="宋体" w:cs="宋体"/>
        </w:rPr>
      </w:pPr>
      <w:r>
        <w:rPr>
          <w:rFonts w:hint="eastAsia" w:ascii="宋体" w:hAnsi="宋体" w:eastAsia="宋体" w:cs="宋体"/>
        </w:rPr>
        <w:t>（3）各类材料、机具设备按工地总平面图的布置，在固定场地整齐堆放，不得侵占场内道路及安全防护等设施。</w:t>
      </w:r>
    </w:p>
    <w:p>
      <w:pPr>
        <w:widowControl/>
        <w:spacing w:line="360" w:lineRule="auto"/>
        <w:ind w:firstLine="420" w:firstLineChars="200"/>
        <w:rPr>
          <w:rFonts w:ascii="宋体" w:hAnsi="宋体" w:eastAsia="宋体" w:cs="宋体"/>
        </w:rPr>
      </w:pPr>
      <w:r>
        <w:rPr>
          <w:rFonts w:hint="eastAsia" w:ascii="宋体" w:hAnsi="宋体" w:eastAsia="宋体" w:cs="宋体"/>
        </w:rPr>
        <w:t>（4）其他要求：</w:t>
      </w:r>
      <w:r>
        <w:rPr>
          <w:rFonts w:hint="eastAsia" w:ascii="宋体" w:hAnsi="宋体" w:eastAsia="宋体" w:cs="宋体"/>
          <w:b/>
        </w:rPr>
        <w:t>严格按发包人现行管理规范要求进场施工。</w:t>
      </w:r>
    </w:p>
    <w:p>
      <w:pPr>
        <w:widowControl/>
        <w:spacing w:line="360" w:lineRule="auto"/>
        <w:ind w:firstLine="420" w:firstLineChars="200"/>
        <w:rPr>
          <w:rFonts w:ascii="宋体" w:hAnsi="宋体" w:eastAsia="宋体" w:cs="宋体"/>
        </w:rPr>
      </w:pPr>
      <w:r>
        <w:rPr>
          <w:rFonts w:hint="eastAsia" w:ascii="宋体" w:hAnsi="宋体" w:eastAsia="宋体" w:cs="宋体"/>
        </w:rPr>
        <w:t>5、工地民工宿舍应符合卫生要求和居住条件，地面应用砼硬化，照明电线敷设应符合规范，不得任意拉线接电。宿舍应保持整洁有序，不得男女混杂居住及居住与施工无关的人员。</w:t>
      </w:r>
    </w:p>
    <w:p>
      <w:pPr>
        <w:widowControl/>
        <w:spacing w:line="360" w:lineRule="auto"/>
        <w:ind w:firstLine="420" w:firstLineChars="200"/>
        <w:rPr>
          <w:rFonts w:ascii="宋体" w:hAnsi="宋体" w:eastAsia="宋体" w:cs="宋体"/>
        </w:rPr>
      </w:pPr>
      <w:r>
        <w:rPr>
          <w:rFonts w:hint="eastAsia" w:ascii="宋体" w:hAnsi="宋体" w:eastAsia="宋体" w:cs="宋体"/>
        </w:rPr>
        <w:t>6、施工现场设有食堂的，应符合杭州市职工食堂管理的有关规定，并配备冷冻、冷藏设备，其位置应远离厕所、垃圾容器等污染源，炊事员应持有效健康证明及岗位培训合格证。</w:t>
      </w:r>
    </w:p>
    <w:p>
      <w:pPr>
        <w:widowControl/>
        <w:spacing w:line="360" w:lineRule="auto"/>
        <w:ind w:firstLine="420" w:firstLineChars="200"/>
        <w:rPr>
          <w:rFonts w:ascii="宋体" w:hAnsi="宋体" w:eastAsia="宋体" w:cs="宋体"/>
        </w:rPr>
      </w:pPr>
      <w:r>
        <w:rPr>
          <w:rFonts w:hint="eastAsia" w:ascii="宋体" w:hAnsi="宋体" w:eastAsia="宋体" w:cs="宋体"/>
        </w:rPr>
        <w:t>施工现场应设置茶桶、保障茶水供应。</w:t>
      </w:r>
    </w:p>
    <w:p>
      <w:pPr>
        <w:widowControl/>
        <w:spacing w:line="360" w:lineRule="auto"/>
        <w:ind w:firstLine="420" w:firstLineChars="200"/>
        <w:rPr>
          <w:rFonts w:ascii="宋体" w:hAnsi="宋体" w:eastAsia="宋体" w:cs="宋体"/>
        </w:rPr>
      </w:pPr>
      <w:r>
        <w:rPr>
          <w:rFonts w:hint="eastAsia" w:ascii="宋体" w:hAnsi="宋体" w:eastAsia="宋体" w:cs="宋体"/>
        </w:rPr>
        <w:t>7、建筑垃圾和其他散体物料装运应实行车辆密闭式运输，冲洗干净后出场，运输过程中严禁沿途抛、洒、滴、漏。</w:t>
      </w:r>
    </w:p>
    <w:p>
      <w:pPr>
        <w:widowControl/>
        <w:spacing w:line="360" w:lineRule="auto"/>
        <w:ind w:firstLine="420" w:firstLineChars="200"/>
        <w:rPr>
          <w:rFonts w:ascii="宋体" w:hAnsi="宋体" w:eastAsia="宋体" w:cs="宋体"/>
        </w:rPr>
      </w:pPr>
      <w:r>
        <w:rPr>
          <w:rFonts w:hint="eastAsia" w:ascii="宋体" w:hAnsi="宋体" w:eastAsia="宋体" w:cs="宋体"/>
        </w:rPr>
        <w:t xml:space="preserve">8、乙方应当严格依照《中华人民共和国消防条例》的规定，在工地建立和执行防火管理制度，重点部位设置符合消防要求的消防设施，并保持完好的备用状态。 </w:t>
      </w:r>
    </w:p>
    <w:p>
      <w:pPr>
        <w:widowControl/>
        <w:spacing w:line="360" w:lineRule="auto"/>
        <w:ind w:firstLine="420" w:firstLineChars="200"/>
        <w:rPr>
          <w:rFonts w:ascii="宋体" w:hAnsi="宋体" w:eastAsia="宋体" w:cs="宋体"/>
        </w:rPr>
      </w:pPr>
      <w:r>
        <w:rPr>
          <w:rFonts w:hint="eastAsia" w:ascii="宋体" w:hAnsi="宋体" w:eastAsia="宋体" w:cs="宋体"/>
        </w:rPr>
        <w:t>9、遵守建设地的现场管理要求。</w:t>
      </w:r>
    </w:p>
    <w:p>
      <w:pPr>
        <w:widowControl/>
        <w:spacing w:line="360" w:lineRule="auto"/>
        <w:ind w:firstLine="420" w:firstLineChars="200"/>
        <w:rPr>
          <w:rFonts w:ascii="宋体" w:hAnsi="宋体" w:eastAsia="宋体" w:cs="宋体"/>
        </w:rPr>
      </w:pPr>
      <w:r>
        <w:rPr>
          <w:rFonts w:hint="eastAsia" w:ascii="宋体" w:hAnsi="宋体" w:eastAsia="宋体" w:cs="宋体"/>
        </w:rPr>
        <w:t>10、施工单位在施工中应遵守下列规定：</w:t>
      </w:r>
    </w:p>
    <w:p>
      <w:pPr>
        <w:widowControl/>
        <w:spacing w:line="360" w:lineRule="auto"/>
        <w:ind w:firstLine="420" w:firstLineChars="200"/>
        <w:rPr>
          <w:rFonts w:ascii="宋体" w:hAnsi="宋体" w:eastAsia="宋体" w:cs="宋体"/>
        </w:rPr>
      </w:pPr>
      <w:r>
        <w:rPr>
          <w:rFonts w:hint="eastAsia" w:ascii="宋体" w:hAnsi="宋体" w:eastAsia="宋体" w:cs="宋体"/>
        </w:rPr>
        <w:t>（1）完善技术和操作管理规程，确保防汛设施和地下管线通畅、安全。</w:t>
      </w:r>
    </w:p>
    <w:p>
      <w:pPr>
        <w:widowControl/>
        <w:spacing w:line="360" w:lineRule="auto"/>
        <w:ind w:firstLine="420" w:firstLineChars="200"/>
        <w:rPr>
          <w:rFonts w:ascii="宋体" w:hAnsi="宋体" w:eastAsia="宋体" w:cs="宋体"/>
        </w:rPr>
      </w:pPr>
      <w:r>
        <w:rPr>
          <w:rFonts w:hint="eastAsia" w:ascii="宋体" w:hAnsi="宋体" w:eastAsia="宋体" w:cs="宋体"/>
        </w:rPr>
        <w:t>（2）采取各种有效措施，控制扬尘、噪声。</w:t>
      </w:r>
    </w:p>
    <w:p>
      <w:pPr>
        <w:widowControl/>
        <w:spacing w:line="360" w:lineRule="auto"/>
        <w:ind w:firstLine="420" w:firstLineChars="200"/>
        <w:rPr>
          <w:rFonts w:ascii="宋体" w:hAnsi="宋体" w:eastAsia="宋体" w:cs="宋体"/>
        </w:rPr>
      </w:pPr>
      <w:r>
        <w:rPr>
          <w:rFonts w:hint="eastAsia" w:ascii="宋体" w:hAnsi="宋体" w:eastAsia="宋体" w:cs="宋体"/>
        </w:rPr>
        <w:t>（3）设置各种防护设施，防止施工中废弃物、杂物影响周围环境，伤害过往行人。</w:t>
      </w:r>
    </w:p>
    <w:p>
      <w:pPr>
        <w:widowControl/>
        <w:spacing w:line="360" w:lineRule="auto"/>
        <w:ind w:firstLine="420" w:firstLineChars="200"/>
        <w:rPr>
          <w:rFonts w:ascii="宋体" w:hAnsi="宋体" w:eastAsia="宋体" w:cs="宋体"/>
        </w:rPr>
      </w:pPr>
      <w:r>
        <w:rPr>
          <w:rFonts w:hint="eastAsia" w:ascii="宋体" w:hAnsi="宋体" w:eastAsia="宋体" w:cs="宋体"/>
        </w:rPr>
        <w:t>（4）随时清理建筑垃圾，控制工地污染。</w:t>
      </w:r>
    </w:p>
    <w:p>
      <w:pPr>
        <w:widowControl/>
        <w:spacing w:line="360" w:lineRule="auto"/>
        <w:ind w:firstLine="420" w:firstLineChars="200"/>
        <w:rPr>
          <w:rFonts w:ascii="宋体" w:hAnsi="宋体" w:eastAsia="宋体" w:cs="宋体"/>
        </w:rPr>
      </w:pPr>
      <w:r>
        <w:rPr>
          <w:rFonts w:hint="eastAsia" w:ascii="宋体" w:hAnsi="宋体" w:eastAsia="宋体" w:cs="宋体"/>
        </w:rPr>
        <w:t>（5）控制夜间施工作业，确需夜间作业的，必须事先向环保部门申办《夜间施工许可证》。</w:t>
      </w:r>
    </w:p>
    <w:p>
      <w:pPr>
        <w:widowControl/>
        <w:spacing w:line="360" w:lineRule="auto"/>
        <w:ind w:firstLine="420" w:firstLineChars="200"/>
        <w:rPr>
          <w:rFonts w:ascii="宋体" w:hAnsi="宋体" w:eastAsia="宋体" w:cs="宋体"/>
        </w:rPr>
      </w:pPr>
      <w:r>
        <w:rPr>
          <w:rFonts w:hint="eastAsia" w:ascii="宋体" w:hAnsi="宋体" w:eastAsia="宋体" w:cs="宋体"/>
        </w:rPr>
        <w:t>（6）运用其他有效方式，减少施工时对市容、绿化和环境的不良影响。</w:t>
      </w:r>
    </w:p>
    <w:p>
      <w:pPr>
        <w:widowControl/>
        <w:spacing w:line="360" w:lineRule="auto"/>
        <w:ind w:firstLine="420" w:firstLineChars="200"/>
        <w:rPr>
          <w:rFonts w:ascii="宋体" w:hAnsi="宋体" w:eastAsia="宋体" w:cs="宋体"/>
        </w:rPr>
      </w:pPr>
      <w:r>
        <w:rPr>
          <w:rFonts w:hint="eastAsia" w:ascii="宋体" w:hAnsi="宋体" w:eastAsia="宋体" w:cs="宋体"/>
        </w:rPr>
        <w:t>（7）遵守交通管理规定，不得使用人力车、三轮车向场外运输建筑垃圾、废土、物料。</w:t>
      </w:r>
    </w:p>
    <w:p>
      <w:pPr>
        <w:widowControl/>
        <w:spacing w:line="360" w:lineRule="auto"/>
        <w:ind w:firstLine="420" w:firstLineChars="200"/>
        <w:rPr>
          <w:rFonts w:ascii="宋体" w:hAnsi="宋体" w:eastAsia="宋体" w:cs="宋体"/>
        </w:rPr>
      </w:pPr>
      <w:r>
        <w:rPr>
          <w:rFonts w:hint="eastAsia" w:ascii="宋体" w:hAnsi="宋体" w:eastAsia="宋体" w:cs="宋体"/>
        </w:rPr>
        <w:t>11、施工人员在施工中应严格遵守下列规定:</w:t>
      </w:r>
    </w:p>
    <w:p>
      <w:pPr>
        <w:widowControl/>
        <w:spacing w:line="360" w:lineRule="auto"/>
        <w:ind w:firstLine="420" w:firstLineChars="200"/>
        <w:rPr>
          <w:rFonts w:ascii="宋体" w:hAnsi="宋体" w:eastAsia="宋体" w:cs="宋体"/>
        </w:rPr>
      </w:pPr>
      <w:r>
        <w:rPr>
          <w:rFonts w:hint="eastAsia" w:ascii="宋体" w:hAnsi="宋体" w:eastAsia="宋体" w:cs="宋体"/>
        </w:rPr>
        <w:t>（1）施工中产生的各类垃圾应及时清运到市容环境卫生管理部门指定的地点，严禁随意倾倒在城市道路、河道、绿化带、空旷地带和居民生活垃圾容器内。</w:t>
      </w:r>
    </w:p>
    <w:p>
      <w:pPr>
        <w:widowControl/>
        <w:spacing w:line="360" w:lineRule="auto"/>
        <w:ind w:firstLine="420" w:firstLineChars="200"/>
        <w:rPr>
          <w:rFonts w:ascii="宋体" w:hAnsi="宋体" w:eastAsia="宋体" w:cs="宋体"/>
        </w:rPr>
      </w:pPr>
      <w:r>
        <w:rPr>
          <w:rFonts w:hint="eastAsia" w:ascii="宋体" w:hAnsi="宋体" w:eastAsia="宋体" w:cs="宋体"/>
        </w:rPr>
        <w:t>（2）施工中不得随意丢弃废物、旧料和其他杂物。</w:t>
      </w:r>
    </w:p>
    <w:p>
      <w:pPr>
        <w:widowControl/>
        <w:spacing w:line="360" w:lineRule="auto"/>
        <w:ind w:firstLine="420" w:firstLineChars="200"/>
        <w:rPr>
          <w:rFonts w:ascii="宋体" w:hAnsi="宋体" w:eastAsia="宋体" w:cs="宋体"/>
        </w:rPr>
      </w:pPr>
      <w:r>
        <w:rPr>
          <w:rFonts w:hint="eastAsia" w:ascii="宋体" w:hAnsi="宋体" w:eastAsia="宋体" w:cs="宋体"/>
        </w:rPr>
        <w:t>（3）施工中应注意清理施工场地，做到随做随清。</w:t>
      </w:r>
    </w:p>
    <w:p>
      <w:pPr>
        <w:widowControl/>
        <w:spacing w:line="360" w:lineRule="auto"/>
        <w:ind w:firstLine="420" w:firstLineChars="200"/>
        <w:rPr>
          <w:rFonts w:ascii="宋体" w:hAnsi="宋体" w:eastAsia="宋体" w:cs="宋体"/>
        </w:rPr>
      </w:pPr>
      <w:r>
        <w:rPr>
          <w:rFonts w:hint="eastAsia" w:ascii="宋体" w:hAnsi="宋体" w:eastAsia="宋体" w:cs="宋体"/>
        </w:rPr>
        <w:t>（4）其他：</w:t>
      </w:r>
    </w:p>
    <w:p>
      <w:pPr>
        <w:widowControl/>
        <w:spacing w:line="360" w:lineRule="auto"/>
        <w:ind w:firstLine="420" w:firstLineChars="200"/>
        <w:rPr>
          <w:rFonts w:ascii="宋体" w:hAnsi="宋体" w:eastAsia="宋体" w:cs="宋体"/>
        </w:rPr>
      </w:pPr>
      <w:r>
        <w:rPr>
          <w:rFonts w:hint="eastAsia" w:ascii="宋体" w:hAnsi="宋体" w:eastAsia="宋体" w:cs="宋体"/>
        </w:rPr>
        <w:t>12、乙方应确保工地出入口和道路的畅通、安全。施工中造成沿线单位、人员的出入口障碍和道路交通堵塞，应及时采取有效措施。</w:t>
      </w:r>
    </w:p>
    <w:p>
      <w:pPr>
        <w:widowControl/>
        <w:spacing w:line="360" w:lineRule="auto"/>
        <w:ind w:firstLine="420" w:firstLineChars="200"/>
        <w:rPr>
          <w:rFonts w:ascii="宋体" w:hAnsi="宋体" w:eastAsia="宋体" w:cs="宋体"/>
        </w:rPr>
      </w:pPr>
      <w:r>
        <w:rPr>
          <w:rFonts w:hint="eastAsia" w:ascii="宋体" w:hAnsi="宋体" w:eastAsia="宋体" w:cs="宋体"/>
        </w:rPr>
        <w:t>13、施工中造成下水道和其他地下管线堵塞或损坏的，应立即疏浚或修复；对工地周围的单位及人员财产造成损失的，应承担经济赔偿责任。</w:t>
      </w:r>
    </w:p>
    <w:p>
      <w:pPr>
        <w:widowControl/>
        <w:spacing w:line="360" w:lineRule="auto"/>
        <w:ind w:firstLine="420" w:firstLineChars="200"/>
        <w:rPr>
          <w:rFonts w:ascii="宋体" w:hAnsi="宋体" w:eastAsia="宋体" w:cs="宋体"/>
        </w:rPr>
      </w:pPr>
      <w:r>
        <w:rPr>
          <w:rFonts w:hint="eastAsia" w:ascii="宋体" w:hAnsi="宋体" w:eastAsia="宋体" w:cs="宋体"/>
        </w:rPr>
        <w:t xml:space="preserve"> 四、甲方对乙方开展创建文明土地的工作要经常性地给予指导，定期组织检查，对乙方存在的问题应及时通知乙方进行整改，并有权对乙方责任违约，按约定办法进行经济处理。</w:t>
      </w:r>
    </w:p>
    <w:p>
      <w:pPr>
        <w:widowControl/>
        <w:spacing w:line="360" w:lineRule="auto"/>
        <w:ind w:firstLine="420" w:firstLineChars="200"/>
        <w:rPr>
          <w:rFonts w:ascii="宋体" w:hAnsi="宋体" w:eastAsia="宋体" w:cs="宋体"/>
        </w:rPr>
      </w:pPr>
      <w:r>
        <w:rPr>
          <w:rFonts w:hint="eastAsia" w:ascii="宋体" w:hAnsi="宋体" w:eastAsia="宋体" w:cs="宋体"/>
        </w:rPr>
        <w:t xml:space="preserve"> 五、因乙方违反文明施工管理要求，被地方政府有关部门查获而受到的经济处罚，以及由此而使甲方受到的经济损失，均由乙方承担。</w:t>
      </w:r>
    </w:p>
    <w:p>
      <w:pPr>
        <w:widowControl/>
        <w:spacing w:line="360" w:lineRule="auto"/>
        <w:ind w:firstLine="420" w:firstLineChars="200"/>
        <w:rPr>
          <w:rFonts w:ascii="宋体" w:hAnsi="宋体" w:eastAsia="宋体" w:cs="宋体"/>
        </w:rPr>
      </w:pPr>
      <w:r>
        <w:rPr>
          <w:rFonts w:hint="eastAsia" w:ascii="宋体" w:hAnsi="宋体" w:eastAsia="宋体" w:cs="宋体"/>
        </w:rPr>
        <w:t xml:space="preserve"> 六、本协议作为甲乙双方工程合同的附件，在工程合同正式签约后有效，与工程合同具有同等法律效力。工程合同期满，本协议终止。</w:t>
      </w:r>
    </w:p>
    <w:p>
      <w:pPr>
        <w:widowControl/>
        <w:spacing w:line="360" w:lineRule="auto"/>
        <w:ind w:firstLine="420" w:firstLineChars="200"/>
        <w:rPr>
          <w:rFonts w:ascii="宋体" w:hAnsi="宋体" w:eastAsia="宋体" w:cs="宋体"/>
        </w:rPr>
      </w:pPr>
    </w:p>
    <w:p>
      <w:pPr>
        <w:widowControl/>
        <w:spacing w:line="360" w:lineRule="auto"/>
        <w:ind w:firstLine="420" w:firstLineChars="200"/>
        <w:rPr>
          <w:rFonts w:ascii="宋体" w:hAnsi="宋体" w:eastAsia="宋体" w:cs="宋体"/>
        </w:rPr>
      </w:pPr>
      <w:r>
        <w:rPr>
          <w:rFonts w:hint="eastAsia" w:ascii="宋体" w:hAnsi="宋体" w:eastAsia="宋体" w:cs="宋体"/>
        </w:rPr>
        <w:t>发包人（公章）：                                   承包人（公章）：</w:t>
      </w:r>
    </w:p>
    <w:p>
      <w:pPr>
        <w:widowControl/>
        <w:spacing w:line="360" w:lineRule="auto"/>
        <w:ind w:firstLine="420" w:firstLineChars="200"/>
        <w:rPr>
          <w:rFonts w:ascii="宋体" w:hAnsi="宋体" w:eastAsia="宋体" w:cs="宋体"/>
        </w:rPr>
      </w:pPr>
      <w:r>
        <w:rPr>
          <w:rFonts w:hint="eastAsia" w:ascii="宋体" w:hAnsi="宋体" w:eastAsia="宋体" w:cs="宋体"/>
        </w:rPr>
        <w:t>法定代表人：                                      法定代表人：</w:t>
      </w:r>
    </w:p>
    <w:p>
      <w:pPr>
        <w:widowControl/>
        <w:spacing w:line="360" w:lineRule="auto"/>
        <w:ind w:firstLine="420" w:firstLineChars="200"/>
        <w:rPr>
          <w:rFonts w:ascii="宋体" w:hAnsi="宋体" w:eastAsia="宋体" w:cs="宋体"/>
        </w:rPr>
      </w:pPr>
      <w:r>
        <w:rPr>
          <w:rFonts w:hint="eastAsia" w:ascii="宋体" w:hAnsi="宋体" w:eastAsia="宋体" w:cs="宋体"/>
        </w:rPr>
        <w:t>或委托代理人：                                    或委托代理人：</w:t>
      </w:r>
    </w:p>
    <w:p>
      <w:pPr>
        <w:widowControl/>
        <w:spacing w:line="360" w:lineRule="auto"/>
        <w:ind w:firstLine="420" w:firstLineChars="200"/>
        <w:rPr>
          <w:rFonts w:ascii="宋体" w:hAnsi="宋体" w:eastAsia="宋体" w:cs="宋体"/>
        </w:rPr>
      </w:pPr>
      <w:r>
        <w:rPr>
          <w:rFonts w:hint="eastAsia" w:ascii="宋体" w:hAnsi="宋体" w:eastAsia="宋体" w:cs="宋体"/>
        </w:rPr>
        <w:t xml:space="preserve">      年    月    日                                年    月    日</w:t>
      </w:r>
    </w:p>
    <w:p>
      <w:pPr>
        <w:widowControl/>
        <w:spacing w:line="360" w:lineRule="auto"/>
        <w:ind w:firstLine="420" w:firstLineChars="200"/>
        <w:rPr>
          <w:rFonts w:ascii="宋体" w:hAnsi="宋体" w:eastAsia="宋体" w:cs="宋体"/>
        </w:rPr>
      </w:pPr>
      <w:r>
        <w:rPr>
          <w:rFonts w:hint="eastAsia" w:ascii="宋体" w:hAnsi="宋体" w:eastAsia="宋体" w:cs="宋体"/>
          <w:kern w:val="0"/>
          <w:lang w:val="zh-CN"/>
        </w:rPr>
        <w:br w:type="page"/>
      </w:r>
    </w:p>
    <w:p>
      <w:pPr>
        <w:widowControl/>
        <w:spacing w:line="360" w:lineRule="auto"/>
        <w:ind w:firstLine="422" w:firstLineChars="200"/>
        <w:jc w:val="center"/>
        <w:rPr>
          <w:rFonts w:ascii="宋体" w:hAnsi="宋体" w:eastAsia="宋体" w:cs="宋体"/>
        </w:rPr>
      </w:pPr>
      <w:r>
        <w:rPr>
          <w:rFonts w:hint="eastAsia" w:ascii="宋体" w:hAnsi="宋体" w:eastAsia="宋体" w:cs="宋体"/>
          <w:b/>
        </w:rPr>
        <w:t>建设工程廉洁协议书</w:t>
      </w:r>
    </w:p>
    <w:p>
      <w:pPr>
        <w:widowControl/>
        <w:spacing w:line="360" w:lineRule="auto"/>
        <w:ind w:firstLine="422" w:firstLineChars="200"/>
        <w:rPr>
          <w:rFonts w:ascii="宋体" w:hAnsi="宋体" w:eastAsia="宋体" w:cs="宋体"/>
          <w:b/>
        </w:rPr>
      </w:pPr>
      <w:r>
        <w:rPr>
          <w:rFonts w:hint="eastAsia" w:ascii="宋体" w:hAnsi="宋体" w:eastAsia="宋体" w:cs="宋体"/>
          <w:b/>
        </w:rPr>
        <w:t>甲方（发包人）：浙江大学</w:t>
      </w:r>
    </w:p>
    <w:p>
      <w:pPr>
        <w:widowControl/>
        <w:spacing w:line="360" w:lineRule="auto"/>
        <w:ind w:firstLine="422" w:firstLineChars="200"/>
        <w:rPr>
          <w:rFonts w:ascii="宋体" w:hAnsi="宋体" w:eastAsia="宋体" w:cs="宋体"/>
          <w:b/>
        </w:rPr>
      </w:pPr>
      <w:r>
        <w:rPr>
          <w:rFonts w:hint="eastAsia" w:ascii="宋体" w:hAnsi="宋体" w:eastAsia="宋体" w:cs="宋体"/>
          <w:b/>
        </w:rPr>
        <w:t>乙方（承包人）： ________________________</w:t>
      </w:r>
    </w:p>
    <w:p>
      <w:pPr>
        <w:widowControl/>
        <w:spacing w:line="360" w:lineRule="auto"/>
        <w:ind w:firstLine="420" w:firstLineChars="200"/>
        <w:rPr>
          <w:rFonts w:ascii="宋体" w:hAnsi="宋体" w:eastAsia="宋体" w:cs="宋体"/>
          <w:kern w:val="0"/>
        </w:rPr>
      </w:pPr>
      <w:r>
        <w:rPr>
          <w:rFonts w:hint="eastAsia" w:ascii="宋体" w:hAnsi="宋体" w:eastAsia="宋体" w:cs="宋体"/>
        </w:rPr>
        <w:t>工程项目名称：浙江大学紫金港校区蒙民伟楼信息中心装修工程</w:t>
      </w:r>
    </w:p>
    <w:p>
      <w:pPr>
        <w:widowControl/>
        <w:spacing w:line="360" w:lineRule="auto"/>
        <w:ind w:firstLine="420" w:firstLineChars="200"/>
        <w:rPr>
          <w:rFonts w:ascii="宋体" w:hAnsi="宋体" w:eastAsia="宋体" w:cs="宋体"/>
        </w:rPr>
      </w:pPr>
      <w:r>
        <w:rPr>
          <w:rFonts w:hint="eastAsia" w:ascii="宋体" w:hAnsi="宋体" w:eastAsia="宋体" w:cs="宋体"/>
        </w:rPr>
        <w:t>为了在工程建设中保持廉政自律的工作作风，防止各种不正当行为的发生，根据国家和省市有关建设工程承发包和廉政建设的各项规定，结合工程建设的特点，订立本协议如下：</w:t>
      </w:r>
    </w:p>
    <w:p>
      <w:pPr>
        <w:widowControl/>
        <w:spacing w:line="360" w:lineRule="auto"/>
        <w:ind w:firstLine="420" w:firstLineChars="200"/>
        <w:rPr>
          <w:rFonts w:ascii="宋体" w:hAnsi="宋体" w:eastAsia="宋体" w:cs="宋体"/>
        </w:rPr>
      </w:pPr>
      <w:r>
        <w:rPr>
          <w:rFonts w:hint="eastAsia" w:ascii="宋体" w:hAnsi="宋体" w:eastAsia="宋体" w:cs="宋体"/>
        </w:rPr>
        <w:t>一、甲乙双方应当自觉遵守国家和市关于建设工程承发包工作规则以及有关廉政建设的各项规定。</w:t>
      </w:r>
    </w:p>
    <w:p>
      <w:pPr>
        <w:widowControl/>
        <w:spacing w:line="360" w:lineRule="auto"/>
        <w:ind w:firstLine="420" w:firstLineChars="200"/>
        <w:rPr>
          <w:rFonts w:ascii="宋体" w:hAnsi="宋体" w:eastAsia="宋体" w:cs="宋体"/>
        </w:rPr>
      </w:pPr>
      <w:r>
        <w:rPr>
          <w:rFonts w:hint="eastAsia" w:ascii="宋体" w:hAnsi="宋体" w:eastAsia="宋体" w:cs="宋体"/>
        </w:rPr>
        <w:t>二、甲方及其工作人员不得以任何形式向乙方索要和收受回扣等好处费。</w:t>
      </w:r>
    </w:p>
    <w:p>
      <w:pPr>
        <w:widowControl/>
        <w:spacing w:line="360" w:lineRule="auto"/>
        <w:ind w:firstLine="420" w:firstLineChars="200"/>
        <w:rPr>
          <w:rFonts w:ascii="宋体" w:hAnsi="宋体" w:eastAsia="宋体" w:cs="宋体"/>
        </w:rPr>
      </w:pPr>
      <w:r>
        <w:rPr>
          <w:rFonts w:hint="eastAsia" w:ascii="宋体" w:hAnsi="宋体" w:eastAsia="宋体" w:cs="宋体"/>
        </w:rPr>
        <w:t>三、甲方工作人员应当保持与乙方的正常业务交往，不得接受乙方的现金、有价证券和贵重物品，不得在乙方报销任何应有个人支付的费用。</w:t>
      </w:r>
    </w:p>
    <w:p>
      <w:pPr>
        <w:widowControl/>
        <w:spacing w:line="360" w:lineRule="auto"/>
        <w:ind w:firstLine="420" w:firstLineChars="200"/>
        <w:rPr>
          <w:rFonts w:ascii="宋体" w:hAnsi="宋体" w:eastAsia="宋体" w:cs="宋体"/>
        </w:rPr>
      </w:pPr>
      <w:r>
        <w:rPr>
          <w:rFonts w:hint="eastAsia" w:ascii="宋体" w:hAnsi="宋体" w:eastAsia="宋体" w:cs="宋体"/>
        </w:rPr>
        <w:t>四、甲方工作人员不得参加可能对公正执行公务有影响的宴请和娱乐活动。</w:t>
      </w:r>
    </w:p>
    <w:p>
      <w:pPr>
        <w:widowControl/>
        <w:spacing w:line="360" w:lineRule="auto"/>
        <w:ind w:firstLine="420" w:firstLineChars="200"/>
        <w:rPr>
          <w:rFonts w:ascii="宋体" w:hAnsi="宋体" w:eastAsia="宋体" w:cs="宋体"/>
        </w:rPr>
      </w:pPr>
      <w:r>
        <w:rPr>
          <w:rFonts w:hint="eastAsia" w:ascii="宋体" w:hAnsi="宋体" w:eastAsia="宋体" w:cs="宋体"/>
        </w:rPr>
        <w:t>五、甲方工作人员不得要求接受乙方为其住房装修、婚丧嫁娶、家属和子女的工作安排以及出国等提供方便。</w:t>
      </w:r>
    </w:p>
    <w:p>
      <w:pPr>
        <w:widowControl/>
        <w:spacing w:line="360" w:lineRule="auto"/>
        <w:ind w:firstLine="420" w:firstLineChars="200"/>
        <w:rPr>
          <w:rFonts w:ascii="宋体" w:hAnsi="宋体" w:eastAsia="宋体" w:cs="宋体"/>
        </w:rPr>
      </w:pPr>
      <w:r>
        <w:rPr>
          <w:rFonts w:hint="eastAsia" w:ascii="宋体" w:hAnsi="宋体" w:eastAsia="宋体" w:cs="宋体"/>
        </w:rPr>
        <w:t>六、甲方工作人员不得向乙方介绍家属或者亲友从事与甲方工程有关的材料设备供应、工程分包等经济活动。</w:t>
      </w:r>
    </w:p>
    <w:p>
      <w:pPr>
        <w:widowControl/>
        <w:spacing w:line="360" w:lineRule="auto"/>
        <w:ind w:firstLine="420" w:firstLineChars="200"/>
        <w:rPr>
          <w:rFonts w:ascii="宋体" w:hAnsi="宋体" w:eastAsia="宋体" w:cs="宋体"/>
        </w:rPr>
      </w:pPr>
      <w:r>
        <w:rPr>
          <w:rFonts w:hint="eastAsia" w:ascii="宋体" w:hAnsi="宋体" w:eastAsia="宋体" w:cs="宋体"/>
        </w:rPr>
        <w:t>七、乙方应当通过正常途径开展相对业务工作，不得为获取某些不正当利益而向甲方工作人员赠送礼金、有价证券和贵重物品等。</w:t>
      </w:r>
    </w:p>
    <w:p>
      <w:pPr>
        <w:widowControl/>
        <w:spacing w:line="360" w:lineRule="auto"/>
        <w:ind w:firstLine="420" w:firstLineChars="200"/>
        <w:rPr>
          <w:rFonts w:ascii="宋体" w:hAnsi="宋体" w:eastAsia="宋体" w:cs="宋体"/>
        </w:rPr>
      </w:pPr>
      <w:r>
        <w:rPr>
          <w:rFonts w:hint="eastAsia" w:ascii="宋体" w:hAnsi="宋体" w:eastAsia="宋体" w:cs="宋体"/>
        </w:rPr>
        <w:t>八、乙方不得为谋取私利擅自与甲方工作人员就工程承包、工程费用、材料设备供应、工程量变动、工程验收、工程质量问题处理等进行私下商谈或者达成默契。</w:t>
      </w:r>
    </w:p>
    <w:p>
      <w:pPr>
        <w:widowControl/>
        <w:spacing w:line="360" w:lineRule="auto"/>
        <w:ind w:firstLine="420" w:firstLineChars="200"/>
        <w:rPr>
          <w:rFonts w:ascii="宋体" w:hAnsi="宋体" w:eastAsia="宋体" w:cs="宋体"/>
        </w:rPr>
      </w:pPr>
      <w:r>
        <w:rPr>
          <w:rFonts w:hint="eastAsia" w:ascii="宋体" w:hAnsi="宋体" w:eastAsia="宋体" w:cs="宋体"/>
        </w:rPr>
        <w:t>九、乙方不得以洽谈业务、签订经济合同为借口，邀请甲方工作人员外出旅游和进入高档娱乐性场所。</w:t>
      </w:r>
    </w:p>
    <w:p>
      <w:pPr>
        <w:widowControl/>
        <w:spacing w:line="360" w:lineRule="auto"/>
        <w:ind w:firstLine="420" w:firstLineChars="200"/>
        <w:rPr>
          <w:rFonts w:ascii="宋体" w:hAnsi="宋体" w:eastAsia="宋体" w:cs="宋体"/>
        </w:rPr>
      </w:pPr>
      <w:r>
        <w:rPr>
          <w:rFonts w:hint="eastAsia" w:ascii="宋体" w:hAnsi="宋体" w:eastAsia="宋体" w:cs="宋体"/>
        </w:rPr>
        <w:t>十、乙方不得为甲方和个人购置或者提供通讯工具、家电、高档办公用品等物品。</w:t>
      </w:r>
    </w:p>
    <w:p>
      <w:pPr>
        <w:widowControl/>
        <w:spacing w:line="360" w:lineRule="auto"/>
        <w:ind w:firstLine="420" w:firstLineChars="200"/>
        <w:rPr>
          <w:rFonts w:ascii="宋体" w:hAnsi="宋体" w:eastAsia="宋体" w:cs="宋体"/>
        </w:rPr>
      </w:pPr>
      <w:r>
        <w:rPr>
          <w:rFonts w:hint="eastAsia" w:ascii="宋体" w:hAnsi="宋体" w:eastAsia="宋体" w:cs="宋体"/>
        </w:rPr>
        <w:t>十一、乙方如发现甲方工作人员有违反上述协议者，应向甲方领导或者甲方上级单位举报。甲方不得找任何借口对乙方进行报复。甲方对举报属实和严格遵守廉政协议的乙方，在同等条件下给予承接后续工程的优先邀请投标权。</w:t>
      </w:r>
    </w:p>
    <w:p>
      <w:pPr>
        <w:widowControl/>
        <w:spacing w:line="360" w:lineRule="auto"/>
        <w:ind w:firstLine="420" w:firstLineChars="200"/>
        <w:rPr>
          <w:rFonts w:ascii="宋体" w:hAnsi="宋体" w:eastAsia="宋体" w:cs="宋体"/>
        </w:rPr>
      </w:pPr>
      <w:r>
        <w:rPr>
          <w:rFonts w:hint="eastAsia" w:ascii="宋体" w:hAnsi="宋体" w:eastAsia="宋体" w:cs="宋体"/>
        </w:rPr>
        <w:t>十二、甲方发现乙方有违反本协议或者采用不正当的手段行贿甲方工作人员，甲方根据具体情节和造成的后果追究乙方工程合同造价1%—5%的违约金，由此给甲方造成的损失均由乙方承担，乙方用不正当手段获取的非法所得由甲方单位予以追缴。</w:t>
      </w:r>
    </w:p>
    <w:p>
      <w:pPr>
        <w:widowControl/>
        <w:spacing w:line="360" w:lineRule="auto"/>
        <w:ind w:firstLine="420" w:firstLineChars="200"/>
        <w:rPr>
          <w:rFonts w:ascii="宋体" w:hAnsi="宋体" w:eastAsia="宋体" w:cs="宋体"/>
        </w:rPr>
      </w:pPr>
      <w:r>
        <w:rPr>
          <w:rFonts w:hint="eastAsia" w:ascii="宋体" w:hAnsi="宋体" w:eastAsia="宋体" w:cs="宋体"/>
        </w:rPr>
        <w:t>十三、严格执行中纪委下发的中纪发【2007】7号《中共中央纪委关于严格禁止利用职务上的便利谋取不正当利益的若干规定》。</w:t>
      </w:r>
    </w:p>
    <w:p>
      <w:pPr>
        <w:widowControl/>
        <w:spacing w:line="360" w:lineRule="auto"/>
        <w:ind w:firstLine="420" w:firstLineChars="200"/>
        <w:rPr>
          <w:rFonts w:ascii="宋体" w:hAnsi="宋体" w:eastAsia="宋体" w:cs="宋体"/>
        </w:rPr>
      </w:pPr>
      <w:r>
        <w:rPr>
          <w:rFonts w:hint="eastAsia" w:ascii="宋体" w:hAnsi="宋体" w:eastAsia="宋体" w:cs="宋体"/>
        </w:rPr>
        <w:t>十四、本廉政协议作为工程承发包合同的附件，与工程承发包合同具有同等法律效力，经协议双方签署后立即生效。</w:t>
      </w:r>
    </w:p>
    <w:p>
      <w:pPr>
        <w:widowControl/>
        <w:spacing w:line="360" w:lineRule="auto"/>
        <w:ind w:firstLine="420" w:firstLineChars="200"/>
        <w:rPr>
          <w:rFonts w:ascii="宋体" w:hAnsi="宋体" w:eastAsia="宋体" w:cs="宋体"/>
        </w:rPr>
      </w:pPr>
      <w:r>
        <w:rPr>
          <w:rFonts w:hint="eastAsia" w:ascii="宋体" w:hAnsi="宋体" w:eastAsia="宋体" w:cs="宋体"/>
        </w:rPr>
        <w:t>十五、本协议一式三份，甲、乙双方各执一份，送交见证部门一份。</w:t>
      </w:r>
    </w:p>
    <w:p>
      <w:pPr>
        <w:widowControl/>
        <w:spacing w:line="360" w:lineRule="auto"/>
        <w:ind w:firstLine="420" w:firstLineChars="200"/>
        <w:rPr>
          <w:rFonts w:ascii="宋体" w:hAnsi="宋体" w:eastAsia="宋体" w:cs="宋体"/>
        </w:rPr>
      </w:pPr>
    </w:p>
    <w:p>
      <w:pPr>
        <w:widowControl/>
        <w:spacing w:line="360" w:lineRule="auto"/>
        <w:ind w:firstLine="420" w:firstLineChars="200"/>
        <w:rPr>
          <w:rFonts w:ascii="宋体" w:hAnsi="宋体" w:eastAsia="宋体" w:cs="宋体"/>
        </w:rPr>
      </w:pPr>
      <w:r>
        <w:rPr>
          <w:rFonts w:hint="eastAsia" w:ascii="宋体" w:hAnsi="宋体" w:eastAsia="宋体" w:cs="宋体"/>
        </w:rPr>
        <w:t>发包人（公章）：                                   承包人（公章）：</w:t>
      </w:r>
    </w:p>
    <w:p>
      <w:pPr>
        <w:widowControl/>
        <w:spacing w:line="360" w:lineRule="auto"/>
        <w:ind w:firstLine="420" w:firstLineChars="200"/>
        <w:rPr>
          <w:rFonts w:ascii="宋体" w:hAnsi="宋体" w:eastAsia="宋体" w:cs="宋体"/>
        </w:rPr>
      </w:pPr>
    </w:p>
    <w:p>
      <w:pPr>
        <w:widowControl/>
        <w:spacing w:line="360" w:lineRule="auto"/>
        <w:ind w:firstLine="420" w:firstLineChars="200"/>
        <w:rPr>
          <w:rFonts w:ascii="宋体" w:hAnsi="宋体" w:eastAsia="宋体" w:cs="宋体"/>
        </w:rPr>
      </w:pPr>
      <w:r>
        <w:rPr>
          <w:rFonts w:hint="eastAsia" w:ascii="宋体" w:hAnsi="宋体" w:eastAsia="宋体" w:cs="宋体"/>
        </w:rPr>
        <w:t>法定代表人：                                      法定代表人：</w:t>
      </w:r>
    </w:p>
    <w:p>
      <w:pPr>
        <w:widowControl/>
        <w:spacing w:line="360" w:lineRule="auto"/>
        <w:ind w:firstLine="420" w:firstLineChars="200"/>
        <w:rPr>
          <w:rFonts w:ascii="宋体" w:hAnsi="宋体" w:eastAsia="宋体" w:cs="宋体"/>
        </w:rPr>
      </w:pPr>
    </w:p>
    <w:p>
      <w:pPr>
        <w:widowControl/>
        <w:spacing w:line="360" w:lineRule="auto"/>
        <w:ind w:firstLine="420" w:firstLineChars="200"/>
        <w:rPr>
          <w:rFonts w:ascii="宋体" w:hAnsi="宋体" w:eastAsia="宋体" w:cs="宋体"/>
        </w:rPr>
      </w:pPr>
      <w:r>
        <w:rPr>
          <w:rFonts w:hint="eastAsia" w:ascii="宋体" w:hAnsi="宋体" w:eastAsia="宋体" w:cs="宋体"/>
        </w:rPr>
        <w:t>或委托代理人：                                    或委托代理人：</w:t>
      </w:r>
    </w:p>
    <w:p>
      <w:pPr>
        <w:widowControl/>
        <w:spacing w:line="360" w:lineRule="auto"/>
        <w:ind w:firstLine="420" w:firstLineChars="200"/>
        <w:rPr>
          <w:rFonts w:ascii="宋体" w:hAnsi="宋体" w:eastAsia="宋体" w:cs="宋体"/>
        </w:rPr>
      </w:pPr>
    </w:p>
    <w:p>
      <w:pPr>
        <w:widowControl/>
        <w:spacing w:line="360" w:lineRule="auto"/>
        <w:ind w:firstLine="420" w:firstLineChars="200"/>
        <w:rPr>
          <w:rFonts w:ascii="宋体" w:hAnsi="宋体" w:eastAsia="宋体" w:cs="宋体"/>
        </w:rPr>
        <w:sectPr>
          <w:footerReference r:id="rId14" w:type="default"/>
          <w:pgSz w:w="11906" w:h="16838"/>
          <w:pgMar w:top="1418" w:right="1418" w:bottom="1418" w:left="1418" w:header="851" w:footer="992" w:gutter="0"/>
          <w:pgNumType w:fmt="decimal"/>
          <w:cols w:space="720" w:num="1"/>
          <w:docGrid w:linePitch="380" w:charSpace="0"/>
        </w:sectPr>
      </w:pPr>
      <w:r>
        <w:rPr>
          <w:rFonts w:hint="eastAsia" w:ascii="宋体" w:hAnsi="宋体" w:eastAsia="宋体" w:cs="宋体"/>
        </w:rPr>
        <w:t>年    月   日                                     年    月   日</w:t>
      </w:r>
    </w:p>
    <w:p>
      <w:pPr>
        <w:pStyle w:val="3"/>
      </w:pPr>
      <w:r>
        <w:rPr>
          <w:rFonts w:hint="eastAsia"/>
        </w:rPr>
        <w:t>第五章  评标办法</w:t>
      </w:r>
      <w:bookmarkEnd w:id="205"/>
      <w:bookmarkEnd w:id="206"/>
      <w:bookmarkEnd w:id="207"/>
      <w:bookmarkEnd w:id="208"/>
      <w:bookmarkEnd w:id="209"/>
    </w:p>
    <w:p>
      <w:pPr>
        <w:pStyle w:val="4"/>
      </w:pPr>
      <w:bookmarkStart w:id="769" w:name="_Toc11286"/>
      <w:bookmarkStart w:id="770" w:name="_Toc506358625"/>
      <w:bookmarkStart w:id="771" w:name="_Toc251566662"/>
      <w:bookmarkStart w:id="772" w:name="_Toc295465366"/>
      <w:bookmarkStart w:id="773" w:name="_Toc249760791"/>
      <w:bookmarkStart w:id="774" w:name="_Toc415814139"/>
      <w:bookmarkStart w:id="775" w:name="_Toc367274988"/>
      <w:bookmarkStart w:id="776" w:name="_Toc107822557"/>
      <w:bookmarkStart w:id="777" w:name="_Toc227057965"/>
      <w:bookmarkStart w:id="778" w:name="_Toc226969359"/>
      <w:r>
        <w:rPr>
          <w:rFonts w:hint="eastAsia"/>
        </w:rPr>
        <w:t>一、评标原则</w:t>
      </w:r>
      <w:bookmarkEnd w:id="769"/>
      <w:bookmarkEnd w:id="770"/>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1.1 评标工作由采购代理机构负责组织，具体评标事务由招标人依法组建的评标委员会负责，并独立履行下列职责：</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1.1.1审查投标文件是否符合招标文件要求，并作出评价；</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1.1.2 要求投标供应商对投标文件有关事项作出解释或者澄清；</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1.1.3 推荐中标候选供应商名单，或者受采购人委托按照事先确定的办法直接确定中标供应商；</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1.1.4 向招标采购单位或者有关部门报告非法干预评标工作的行为。</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1.2. 评审专家不得参加与自己有利害关系的采购项目的评审活动。评标委员会成员有下列情形之一的，应当回避：</w:t>
      </w:r>
    </w:p>
    <w:p>
      <w:pPr>
        <w:pStyle w:val="8"/>
        <w:ind w:firstLine="396" w:firstLineChars="200"/>
        <w:rPr>
          <w:rFonts w:hint="eastAsia" w:ascii="宋体" w:hAnsi="宋体" w:eastAsia="宋体" w:cs="宋体"/>
          <w:spacing w:val="-6"/>
          <w:sz w:val="21"/>
          <w:szCs w:val="21"/>
        </w:rPr>
      </w:pPr>
      <w:r>
        <w:rPr>
          <w:rFonts w:hint="eastAsia" w:ascii="宋体" w:hAnsi="宋体" w:eastAsia="宋体" w:cs="宋体"/>
          <w:spacing w:val="-6"/>
          <w:sz w:val="21"/>
          <w:szCs w:val="21"/>
        </w:rPr>
        <w:t>1.2.1 参加采购活动前3年内与供应商存在劳动关系；</w:t>
      </w:r>
    </w:p>
    <w:p>
      <w:pPr>
        <w:pStyle w:val="8"/>
        <w:ind w:firstLine="396" w:firstLineChars="200"/>
        <w:rPr>
          <w:rFonts w:hint="eastAsia" w:ascii="宋体" w:hAnsi="宋体" w:eastAsia="宋体" w:cs="宋体"/>
          <w:spacing w:val="-6"/>
          <w:sz w:val="21"/>
          <w:szCs w:val="21"/>
        </w:rPr>
      </w:pPr>
      <w:r>
        <w:rPr>
          <w:rFonts w:hint="eastAsia" w:ascii="宋体" w:hAnsi="宋体" w:eastAsia="宋体" w:cs="宋体"/>
          <w:spacing w:val="-6"/>
          <w:sz w:val="21"/>
          <w:szCs w:val="21"/>
        </w:rPr>
        <w:t>1.2.2 参加采购活动前3年内担任供应商的董事、监事；</w:t>
      </w:r>
    </w:p>
    <w:p>
      <w:pPr>
        <w:pStyle w:val="8"/>
        <w:ind w:firstLine="396" w:firstLineChars="200"/>
        <w:rPr>
          <w:rFonts w:hint="eastAsia" w:ascii="宋体" w:hAnsi="宋体" w:eastAsia="宋体" w:cs="宋体"/>
          <w:spacing w:val="-6"/>
          <w:sz w:val="21"/>
          <w:szCs w:val="21"/>
        </w:rPr>
      </w:pPr>
      <w:r>
        <w:rPr>
          <w:rFonts w:hint="eastAsia" w:ascii="宋体" w:hAnsi="宋体" w:eastAsia="宋体" w:cs="宋体"/>
          <w:spacing w:val="-6"/>
          <w:sz w:val="21"/>
          <w:szCs w:val="21"/>
        </w:rPr>
        <w:t>1.2.3 参加采购活动前3年内是供应商的控股股东或者实际控制人；</w:t>
      </w:r>
    </w:p>
    <w:p>
      <w:pPr>
        <w:pStyle w:val="8"/>
        <w:ind w:firstLine="396" w:firstLineChars="200"/>
        <w:rPr>
          <w:rFonts w:hint="eastAsia" w:ascii="宋体" w:hAnsi="宋体" w:eastAsia="宋体" w:cs="宋体"/>
          <w:spacing w:val="-6"/>
          <w:sz w:val="21"/>
          <w:szCs w:val="21"/>
        </w:rPr>
      </w:pPr>
      <w:r>
        <w:rPr>
          <w:rFonts w:hint="eastAsia" w:ascii="宋体" w:hAnsi="宋体" w:eastAsia="宋体" w:cs="宋体"/>
          <w:spacing w:val="-6"/>
          <w:sz w:val="21"/>
          <w:szCs w:val="21"/>
        </w:rPr>
        <w:t>1.2.4 与供应商的法定代表人或者负责人有夫妻、直系血亲、三代以内旁系血亲或者近姻亲关系</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1.2.5 与供应商有其他可能影响采购活动公平、公正进行的关系。</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1.3 评标委员会必须公平、公正、客观，不带任何倾向性和启发性；不得向外界透露任何与评标有关的内容；任何单位和个人不得干扰、影响评标的正常进行；评标委员会及有关工作人员不得私下与投标人接触。</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1.4 评标委员会的评审工作应遵循采购的有关规定进行，对投标文件作出的评审结论，应当符合有关法律、法规、规章和招标文件的规定。</w:t>
      </w:r>
    </w:p>
    <w:p>
      <w:pPr>
        <w:pStyle w:val="4"/>
      </w:pPr>
      <w:bookmarkStart w:id="779" w:name="_Toc29568"/>
      <w:bookmarkStart w:id="780" w:name="_Toc506358626"/>
      <w:r>
        <w:rPr>
          <w:rFonts w:hint="eastAsia"/>
        </w:rPr>
        <w:t>二、组建评标委员会</w:t>
      </w:r>
      <w:bookmarkEnd w:id="779"/>
      <w:bookmarkEnd w:id="780"/>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评标工作由招标人依法组建的评标委员会（评标专家组）负责。</w:t>
      </w:r>
    </w:p>
    <w:p>
      <w:pPr>
        <w:pStyle w:val="4"/>
      </w:pPr>
      <w:bookmarkStart w:id="781" w:name="_Toc17151"/>
      <w:bookmarkStart w:id="782" w:name="_Toc506358627"/>
      <w:r>
        <w:rPr>
          <w:rFonts w:hint="eastAsia"/>
        </w:rPr>
        <w:t>三、评标程序和内容（采用综合评估法）</w:t>
      </w:r>
      <w:bookmarkEnd w:id="781"/>
      <w:bookmarkEnd w:id="782"/>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3.1评标的一般程序：</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3.1.1推荐评标委员会组长；</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3.1.2熟悉招标文件和评标办法；</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3.1.3投标文件的初步评审；</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3.1.4投标文件的详细评审；</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3.1.5必要时对投标文件中的问题进行澄清；</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3.1.6根据评标办法对投标文件进行评分；</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3.1.7完成评标报告，推荐中标候选人。</w:t>
      </w:r>
    </w:p>
    <w:p>
      <w:pPr>
        <w:spacing w:line="360" w:lineRule="auto"/>
        <w:ind w:firstLine="413" w:firstLineChars="196"/>
        <w:rPr>
          <w:rFonts w:ascii="宋体" w:hAnsi="宋体" w:eastAsia="宋体" w:cs="宋体"/>
          <w:b/>
          <w:szCs w:val="21"/>
        </w:rPr>
      </w:pPr>
      <w:r>
        <w:rPr>
          <w:rFonts w:hint="eastAsia" w:ascii="宋体" w:hAnsi="宋体" w:eastAsia="宋体" w:cs="宋体"/>
          <w:b/>
          <w:szCs w:val="21"/>
        </w:rPr>
        <w:t>3.2投标文件的资格、符合性评审</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3.2.1开标结束后，采购人和采购代理机构应当依法对投标人的资格进行审查。</w:t>
      </w:r>
    </w:p>
    <w:p>
      <w:pPr>
        <w:pStyle w:val="10"/>
        <w:spacing w:line="360" w:lineRule="auto"/>
        <w:ind w:firstLine="420" w:firstLineChars="200"/>
        <w:rPr>
          <w:rFonts w:ascii="宋体" w:hAnsi="宋体" w:eastAsia="宋体" w:cs="宋体"/>
        </w:rPr>
      </w:pPr>
      <w:r>
        <w:rPr>
          <w:rFonts w:hint="eastAsia" w:ascii="宋体" w:hAnsi="宋体" w:eastAsia="宋体" w:cs="宋体"/>
        </w:rPr>
        <w:t>依据法律法规及采购文件的规定，对投标文件中的提供的资格证明材料进行审查，以确定投标人是否具备投标资格。</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3.2.2投标人不得通过补充、修改或撤销投标文件中的内容使其成为实质性响应的投标。投标人在投标截止以后不得提交任何资料作为评标依据。</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3.2.3符合性审查</w:t>
      </w:r>
    </w:p>
    <w:p>
      <w:pPr>
        <w:pStyle w:val="10"/>
        <w:spacing w:line="360" w:lineRule="auto"/>
        <w:ind w:firstLine="420" w:firstLineChars="200"/>
        <w:rPr>
          <w:rFonts w:ascii="宋体" w:hAnsi="宋体" w:eastAsia="宋体" w:cs="宋体"/>
        </w:rPr>
      </w:pPr>
      <w:r>
        <w:rPr>
          <w:rFonts w:hint="eastAsia" w:ascii="宋体" w:hAnsi="宋体" w:eastAsia="宋体" w:cs="宋体"/>
        </w:rPr>
        <w:t>依据采购文件的规定，从投标文件的有效性、完整性和对采购文件的响应程度进行审查，以确定是否对采购文件的实质性要求作出响应。</w:t>
      </w:r>
    </w:p>
    <w:p>
      <w:pPr>
        <w:pStyle w:val="8"/>
        <w:ind w:firstLine="390" w:firstLineChars="196"/>
        <w:rPr>
          <w:rFonts w:ascii="宋体" w:hAnsi="宋体" w:eastAsia="宋体" w:cs="宋体"/>
          <w:b/>
          <w:spacing w:val="-6"/>
          <w:sz w:val="21"/>
          <w:szCs w:val="21"/>
        </w:rPr>
      </w:pPr>
      <w:r>
        <w:rPr>
          <w:rFonts w:hint="eastAsia" w:ascii="宋体" w:hAnsi="宋体" w:eastAsia="宋体" w:cs="宋体"/>
          <w:b/>
          <w:spacing w:val="-6"/>
          <w:sz w:val="21"/>
          <w:szCs w:val="21"/>
        </w:rPr>
        <w:t>在符合性审查和资信技术评审时，如发现下列情形之一的，投标文件将被视为无效，不再进入技术评审：</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1）报名的投标人与参加投标的投标人发生实质性变更的且未提供有效证明的；</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2）投标人提交两份或两份以上内容不同的投标文件或技术方案，未声明哪一份有效的；</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3）投标文件非投标人法定代表人签署的，未提供或提供无效的法定代表人授权书；</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4）投标文件中法定代表人和授权代表身份证复印件不齐全的；</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5）未按采购文件规定装订；</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6）投标文件内容未按采购文件规定签字或盖章的；</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7）资信及技术文件正、副本份数不足或内容不全或内容字迹模糊辨认不清的等而导致评标活动无法正常进行；</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8）投标人未按采购文件变更通知更改投标文件的；</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9）未实质性响应采购文件中带“▲”条款要求的投标文件；</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10）投标有效期、工期、质保期等商务条款不能满足招标文件要求的；</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11）投标文件附有采购人不能接受的条款；</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12）投标文件中提供了赠品、回扣或者与采购无关的其他商品、服务；</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13）投标人串通投标，妨碍其他投标人的竞争行为，损害采购人或者其他投标人的合法权益；</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14）违反国家及政府部门相关法律、法规、文件规定或经评标委员会认定的其他属于重大偏离。</w:t>
      </w:r>
    </w:p>
    <w:p>
      <w:pPr>
        <w:spacing w:line="360" w:lineRule="auto"/>
        <w:ind w:firstLine="396" w:firstLineChars="200"/>
        <w:rPr>
          <w:rFonts w:ascii="宋体" w:hAnsi="宋体" w:eastAsia="宋体" w:cs="宋体"/>
        </w:rPr>
      </w:pPr>
      <w:r>
        <w:rPr>
          <w:rFonts w:hint="eastAsia" w:ascii="宋体" w:hAnsi="宋体" w:eastAsia="宋体" w:cs="宋体"/>
          <w:spacing w:val="-6"/>
          <w:szCs w:val="21"/>
        </w:rPr>
        <w:t>15）</w:t>
      </w:r>
      <w:r>
        <w:rPr>
          <w:rFonts w:hint="eastAsia" w:ascii="宋体" w:hAnsi="宋体" w:eastAsia="宋体" w:cs="宋体"/>
        </w:rPr>
        <w:t>投标人不以自己的名义或未按招标文件要求提供投标保证金，或提供的投标保证金有缺陷而不能接受的；</w:t>
      </w:r>
    </w:p>
    <w:p>
      <w:pPr>
        <w:pStyle w:val="8"/>
        <w:ind w:firstLine="388" w:firstLineChars="196"/>
        <w:rPr>
          <w:rFonts w:ascii="宋体" w:hAnsi="宋体" w:eastAsia="宋体" w:cs="宋体"/>
          <w:spacing w:val="-6"/>
          <w:sz w:val="21"/>
          <w:szCs w:val="21"/>
        </w:rPr>
      </w:pPr>
    </w:p>
    <w:p>
      <w:pPr>
        <w:pStyle w:val="8"/>
        <w:ind w:firstLine="413" w:firstLineChars="196"/>
        <w:rPr>
          <w:rFonts w:ascii="宋体" w:hAnsi="宋体" w:eastAsia="宋体" w:cs="宋体"/>
          <w:b/>
          <w:bCs/>
          <w:sz w:val="21"/>
          <w:szCs w:val="21"/>
        </w:rPr>
      </w:pPr>
      <w:r>
        <w:rPr>
          <w:rFonts w:hint="eastAsia" w:ascii="宋体" w:hAnsi="宋体" w:eastAsia="宋体" w:cs="宋体"/>
          <w:b/>
          <w:bCs/>
          <w:sz w:val="21"/>
          <w:szCs w:val="21"/>
        </w:rPr>
        <w:t>3.2.4在报价评审时，如发现下列情形之一的，投标文件将被视为无效，不再进入评标排序：</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1）投标人提交两份或两份以上内容不同的投标报价，未声明哪一份有效的；</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2）投标文件内容未按采购文件规定签字或盖章的；</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3）《开标一览表》和《投标价格组成明细表》内容不完整且不接受修正意见或字迹不能辨认的或未提供；</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4）投标报价超过采购文件规定的预算金额或最高限价；</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5）《开标一览表》投标报价为零的，或其报价（大写）无法按正常书写方式进行报价唱标的或无投标报价的；</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6）投标报价明显低于其他通过符合性审查投标人的报价，有可能影响产品质量或者不能诚信履约的，且在规定时间内不能合理说明原因并提供证明材料的；</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7）报价文件正、副本份数不足或内容不全或内容字迹模糊辨认不清的等而导致评标活动无法正常进行；</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8）投标人未按采购文件变更通知更改投标文件的；</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9）未实质性响应采购文件中带“▲”条款要求的投标文件；</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10）投标文件附有采购人不能接受的条款；</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11）投标文件中提供了赠品、回扣或者与采购无关的其他商品、服务；</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12）投标人串通投标，妨碍其他投标人的竞争行为，损害采购人或者其他投标人的合法权益；</w:t>
      </w:r>
    </w:p>
    <w:p>
      <w:pPr>
        <w:pStyle w:val="8"/>
        <w:ind w:firstLine="388" w:firstLineChars="196"/>
        <w:rPr>
          <w:rFonts w:ascii="宋体" w:hAnsi="宋体" w:eastAsia="宋体" w:cs="宋体"/>
          <w:spacing w:val="-6"/>
          <w:sz w:val="21"/>
          <w:szCs w:val="21"/>
        </w:rPr>
      </w:pPr>
      <w:r>
        <w:rPr>
          <w:rFonts w:hint="eastAsia" w:ascii="宋体" w:hAnsi="宋体" w:eastAsia="宋体" w:cs="宋体"/>
          <w:spacing w:val="-6"/>
          <w:sz w:val="21"/>
          <w:szCs w:val="21"/>
        </w:rPr>
        <w:t>13）违反国家及政府部门相关法律、法规、文件规定或经评标委员会认定的其他属于重大偏离。</w:t>
      </w:r>
    </w:p>
    <w:p>
      <w:pPr>
        <w:pStyle w:val="8"/>
        <w:ind w:firstLine="422" w:firstLineChars="200"/>
        <w:rPr>
          <w:rFonts w:ascii="宋体" w:hAnsi="宋体" w:eastAsia="宋体" w:cs="宋体"/>
          <w:b/>
          <w:sz w:val="21"/>
          <w:szCs w:val="21"/>
        </w:rPr>
      </w:pPr>
      <w:r>
        <w:rPr>
          <w:rFonts w:hint="eastAsia" w:ascii="宋体" w:hAnsi="宋体" w:eastAsia="宋体" w:cs="宋体"/>
          <w:b/>
          <w:sz w:val="21"/>
          <w:szCs w:val="21"/>
        </w:rPr>
        <w:t>3.3 评标委员会的专家负责对通过符合性审查的投标人的投标文件进行详细评审，评审内容分以下三部分：</w:t>
      </w:r>
    </w:p>
    <w:p>
      <w:pPr>
        <w:pStyle w:val="8"/>
        <w:ind w:firstLine="420" w:firstLineChars="200"/>
        <w:rPr>
          <w:rFonts w:ascii="宋体" w:hAnsi="宋体" w:eastAsia="宋体" w:cs="宋体"/>
          <w:sz w:val="21"/>
          <w:szCs w:val="21"/>
        </w:rPr>
      </w:pPr>
      <w:r>
        <w:rPr>
          <w:rFonts w:hint="eastAsia" w:ascii="宋体" w:hAnsi="宋体" w:eastAsia="宋体" w:cs="宋体"/>
          <w:sz w:val="21"/>
          <w:szCs w:val="21"/>
        </w:rPr>
        <w:t>3.3.1资信部分：由评标专家集体讨论后，按少数服从多数的原则，统一评分分值。</w:t>
      </w:r>
    </w:p>
    <w:p>
      <w:pPr>
        <w:pStyle w:val="8"/>
        <w:ind w:firstLine="420" w:firstLineChars="200"/>
        <w:rPr>
          <w:rFonts w:ascii="宋体" w:hAnsi="宋体" w:eastAsia="宋体" w:cs="宋体"/>
          <w:sz w:val="21"/>
          <w:szCs w:val="21"/>
        </w:rPr>
      </w:pPr>
      <w:r>
        <w:rPr>
          <w:rFonts w:hint="eastAsia" w:ascii="宋体" w:hAnsi="宋体" w:eastAsia="宋体" w:cs="宋体"/>
          <w:sz w:val="21"/>
          <w:szCs w:val="21"/>
        </w:rPr>
        <w:t>3.3.2技术部分：由评标专家负责，采用记名方式各自评分，此项评分为全部有效评分的算术平均值。如某一份评分表中某一项评分，超过评标细则所规定的分值范围，则该张打分表无效。</w:t>
      </w:r>
    </w:p>
    <w:p>
      <w:pPr>
        <w:pStyle w:val="8"/>
        <w:ind w:firstLine="420" w:firstLineChars="200"/>
        <w:rPr>
          <w:rFonts w:ascii="宋体" w:hAnsi="宋体" w:eastAsia="宋体" w:cs="宋体"/>
          <w:sz w:val="21"/>
          <w:szCs w:val="21"/>
        </w:rPr>
      </w:pPr>
      <w:r>
        <w:rPr>
          <w:rFonts w:hint="eastAsia" w:ascii="宋体" w:hAnsi="宋体" w:eastAsia="宋体" w:cs="宋体"/>
          <w:sz w:val="21"/>
          <w:szCs w:val="21"/>
        </w:rPr>
        <w:t>3.3.3报价部分：</w:t>
      </w:r>
    </w:p>
    <w:p>
      <w:pPr>
        <w:pStyle w:val="8"/>
        <w:ind w:firstLine="420" w:firstLineChars="200"/>
        <w:rPr>
          <w:rFonts w:ascii="宋体" w:hAnsi="宋体" w:eastAsia="宋体" w:cs="宋体"/>
          <w:sz w:val="21"/>
          <w:szCs w:val="21"/>
        </w:rPr>
      </w:pPr>
      <w:r>
        <w:rPr>
          <w:rFonts w:hint="eastAsia" w:ascii="宋体" w:hAnsi="宋体" w:eastAsia="宋体" w:cs="宋体"/>
          <w:sz w:val="21"/>
          <w:szCs w:val="21"/>
        </w:rPr>
        <w:t>报价部分由评标委员会统一计算统一评分。</w:t>
      </w:r>
    </w:p>
    <w:p>
      <w:pPr>
        <w:pStyle w:val="8"/>
        <w:ind w:firstLine="420" w:firstLineChars="200"/>
        <w:rPr>
          <w:rFonts w:ascii="宋体" w:hAnsi="宋体" w:eastAsia="宋体" w:cs="宋体"/>
          <w:sz w:val="21"/>
          <w:szCs w:val="21"/>
        </w:rPr>
      </w:pPr>
      <w:r>
        <w:rPr>
          <w:rFonts w:hint="eastAsia" w:ascii="宋体" w:hAnsi="宋体" w:eastAsia="宋体" w:cs="宋体"/>
          <w:sz w:val="21"/>
          <w:szCs w:val="21"/>
        </w:rPr>
        <w:t>报价部分评分应在报价范围口径一致的评标价基础上进行。评标价应在最终报价的基础上，按照招标文件约定的因素和方法进行计算。凡属招标文件原因造成项目范围或报价口径不一致的，应予以扣除。但因投标人自身失误造成多算、少算或漏算，不得调整。评分由评标委员会对投标文件的报价进行仔细查阅、分析与计算，并指定专人进行检查复核。</w:t>
      </w:r>
    </w:p>
    <w:p>
      <w:pPr>
        <w:pStyle w:val="8"/>
        <w:ind w:firstLine="420" w:firstLineChars="200"/>
        <w:rPr>
          <w:rFonts w:ascii="宋体" w:hAnsi="宋体" w:eastAsia="宋体" w:cs="宋体"/>
          <w:sz w:val="21"/>
          <w:szCs w:val="21"/>
        </w:rPr>
      </w:pPr>
      <w:r>
        <w:rPr>
          <w:rFonts w:hint="eastAsia" w:ascii="宋体" w:hAnsi="宋体" w:eastAsia="宋体" w:cs="宋体"/>
          <w:sz w:val="21"/>
          <w:szCs w:val="21"/>
        </w:rPr>
        <w:t>3.3.4以上评分保留小数2位。</w:t>
      </w:r>
    </w:p>
    <w:p>
      <w:pPr>
        <w:spacing w:line="360" w:lineRule="auto"/>
        <w:ind w:firstLine="422" w:firstLineChars="200"/>
        <w:rPr>
          <w:rFonts w:ascii="宋体" w:hAnsi="宋体" w:eastAsia="宋体" w:cs="宋体"/>
          <w:b/>
          <w:szCs w:val="21"/>
        </w:rPr>
      </w:pPr>
      <w:r>
        <w:rPr>
          <w:rFonts w:hint="eastAsia" w:ascii="宋体" w:hAnsi="宋体" w:eastAsia="宋体" w:cs="宋体"/>
          <w:b/>
          <w:szCs w:val="21"/>
        </w:rPr>
        <w:t>3.4必要时对投标文件中的问题进行澄清</w:t>
      </w:r>
    </w:p>
    <w:p>
      <w:pPr>
        <w:spacing w:line="360" w:lineRule="auto"/>
        <w:ind w:firstLine="396" w:firstLineChars="200"/>
        <w:rPr>
          <w:rFonts w:ascii="宋体" w:hAnsi="宋体" w:eastAsia="宋体" w:cs="宋体"/>
          <w:spacing w:val="-6"/>
          <w:szCs w:val="21"/>
        </w:rPr>
      </w:pPr>
      <w:r>
        <w:rPr>
          <w:rFonts w:hint="eastAsia" w:ascii="宋体" w:hAnsi="宋体" w:eastAsia="宋体" w:cs="宋体"/>
          <w:spacing w:val="-6"/>
          <w:szCs w:val="21"/>
        </w:rPr>
        <w:t>3.4.1投标文件的澄清</w:t>
      </w:r>
    </w:p>
    <w:p>
      <w:pPr>
        <w:spacing w:line="360" w:lineRule="auto"/>
        <w:ind w:firstLine="396" w:firstLineChars="200"/>
        <w:rPr>
          <w:rFonts w:ascii="宋体" w:hAnsi="宋体" w:eastAsia="宋体" w:cs="宋体"/>
          <w:spacing w:val="-6"/>
          <w:szCs w:val="21"/>
        </w:rPr>
      </w:pPr>
      <w:r>
        <w:rPr>
          <w:rFonts w:hint="eastAsia" w:ascii="宋体" w:hAnsi="宋体" w:eastAsia="宋体" w:cs="宋体"/>
          <w:spacing w:val="-6"/>
          <w:szCs w:val="21"/>
        </w:rPr>
        <w:t>对投标文件中含义不明确、同类问题表述不一致或者有明显文字和计算错误的内容，评标委员会可要求投标人作出必要的澄清、说明或者纠正。投标人的澄清、说明或者补正应当采用书面形式，由其全权代表签字或盖章确认，并不得超出投标文件的范围或者改变投标文件的实质性内容。</w:t>
      </w:r>
    </w:p>
    <w:p>
      <w:pPr>
        <w:spacing w:line="360" w:lineRule="auto"/>
        <w:ind w:firstLine="396" w:firstLineChars="200"/>
        <w:rPr>
          <w:rFonts w:ascii="宋体" w:hAnsi="宋体" w:eastAsia="宋体" w:cs="宋体"/>
          <w:spacing w:val="-6"/>
          <w:szCs w:val="21"/>
        </w:rPr>
      </w:pPr>
      <w:r>
        <w:rPr>
          <w:rFonts w:hint="eastAsia" w:ascii="宋体" w:hAnsi="宋体" w:eastAsia="宋体" w:cs="宋体"/>
          <w:spacing w:val="-6"/>
          <w:szCs w:val="21"/>
        </w:rPr>
        <w:t>3.4.2错误修正</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投标文件报价出现前后不一致的，按照下列规定修正：</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(1)投标文件中开标一览表(报价表)内容与投标文件中相应内容不一致的，以开标一览表(报价表)为准；</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(2)大写金额和小写金额不一致的，以大写金额为准；</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(3)单价金额小数点或者百分比有明显错位的，以开标一览表的总价为准，并修改单价；</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(4)总价金额与按单价汇总金额不一致的，以单价金额计算结果为准。</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同时出现两种以上不一致的，按照前款规定的顺序修正。</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对投标文件中含义不明、表述不一致或有明显计算错误等内容，评标委员会将对投标人进行询标，并要求投标人作书面澄清；投标人的书面澄清，应由法定代表人或授权代表签字，作为投标文件的补充部分，但澄清的内容不得改变投标文件的实质性内容。</w:t>
      </w:r>
    </w:p>
    <w:p>
      <w:pPr>
        <w:pStyle w:val="8"/>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按上述修正错误的原则及方法调整或修正投标文件的投标报价，投标人同意后，调整后的投标报价对投标人起约束作用。如果投标人不接受修正后的报价，则其投标将被拒绝并且其投标保证金或投标保函也将被没收，并不影响评标工作。</w:t>
      </w:r>
    </w:p>
    <w:p>
      <w:pPr>
        <w:spacing w:line="360" w:lineRule="auto"/>
        <w:ind w:firstLine="398" w:firstLineChars="200"/>
        <w:rPr>
          <w:rFonts w:ascii="宋体" w:hAnsi="宋体" w:eastAsia="宋体" w:cs="宋体"/>
          <w:b/>
          <w:szCs w:val="21"/>
        </w:rPr>
      </w:pPr>
      <w:r>
        <w:rPr>
          <w:rFonts w:hint="eastAsia" w:ascii="宋体" w:hAnsi="宋体" w:eastAsia="宋体" w:cs="宋体"/>
          <w:b/>
          <w:spacing w:val="-6"/>
          <w:szCs w:val="21"/>
        </w:rPr>
        <w:t>3.5评分细则</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ascii="宋体" w:hAnsi="宋体" w:eastAsia="宋体" w:cs="宋体"/>
          <w:b/>
          <w:szCs w:val="21"/>
        </w:rPr>
      </w:pPr>
      <w:r>
        <w:rPr>
          <w:rFonts w:hint="eastAsia" w:ascii="宋体" w:hAnsi="宋体" w:eastAsia="宋体" w:cs="宋体"/>
          <w:b/>
          <w:szCs w:val="21"/>
        </w:rPr>
        <w:t>评标委员会对各投标人的技术和服务方案、资信业绩充分审核、讨论及评议后，每人一份评分表，进行独自打分并签名。在统计得分时，如发现某一单项评分超过评分细则规定的分值范围，则该张评分表无效。投标人技术部分的得分为评标委员会各成员的有效评分的算术平均值。</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ascii="宋体" w:hAnsi="宋体" w:eastAsia="宋体" w:cs="宋体"/>
          <w:b/>
          <w:szCs w:val="21"/>
        </w:rPr>
      </w:pPr>
      <w:r>
        <w:rPr>
          <w:rFonts w:hint="eastAsia" w:ascii="宋体" w:hAnsi="宋体" w:eastAsia="宋体" w:cs="宋体"/>
          <w:b/>
          <w:szCs w:val="21"/>
        </w:rPr>
        <w:t>投标人的最终总得分为资信、技术、报价各部分得分的总和。</w:t>
      </w:r>
    </w:p>
    <w:tbl>
      <w:tblPr>
        <w:tblStyle w:val="18"/>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708"/>
        <w:gridCol w:w="7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9" w:type="dxa"/>
            <w:vAlign w:val="center"/>
          </w:tcPr>
          <w:p>
            <w:pPr>
              <w:spacing w:line="288" w:lineRule="auto"/>
              <w:jc w:val="center"/>
              <w:rPr>
                <w:rFonts w:ascii="宋体" w:hAnsi="宋体"/>
                <w:spacing w:val="-6"/>
                <w:szCs w:val="21"/>
              </w:rPr>
            </w:pPr>
            <w:r>
              <w:rPr>
                <w:rFonts w:hint="eastAsia" w:ascii="宋体" w:hAnsi="宋体"/>
                <w:spacing w:val="-6"/>
              </w:rPr>
              <w:t>评审因素</w:t>
            </w:r>
          </w:p>
        </w:tc>
        <w:tc>
          <w:tcPr>
            <w:tcW w:w="708" w:type="dxa"/>
            <w:vAlign w:val="center"/>
          </w:tcPr>
          <w:p>
            <w:pPr>
              <w:jc w:val="center"/>
              <w:rPr>
                <w:rFonts w:ascii="宋体" w:hAnsi="宋体"/>
                <w:spacing w:val="-6"/>
              </w:rPr>
            </w:pPr>
            <w:r>
              <w:rPr>
                <w:rFonts w:hint="eastAsia" w:ascii="宋体" w:hAnsi="宋体"/>
                <w:b/>
                <w:spacing w:val="-6"/>
              </w:rPr>
              <w:t>分值</w:t>
            </w:r>
          </w:p>
        </w:tc>
        <w:tc>
          <w:tcPr>
            <w:tcW w:w="7371" w:type="dxa"/>
            <w:vAlign w:val="center"/>
          </w:tcPr>
          <w:p>
            <w:pPr>
              <w:jc w:val="center"/>
              <w:rPr>
                <w:rFonts w:ascii="宋体" w:hAnsi="宋体"/>
                <w:spacing w:val="-6"/>
              </w:rPr>
            </w:pPr>
            <w:r>
              <w:rPr>
                <w:rFonts w:ascii="宋体" w:hAnsi="宋体"/>
                <w:b/>
                <w:spacing w:val="-6"/>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98" w:type="dxa"/>
            <w:gridSpan w:val="3"/>
            <w:vAlign w:val="center"/>
          </w:tcPr>
          <w:p>
            <w:pPr>
              <w:jc w:val="center"/>
              <w:rPr>
                <w:rFonts w:ascii="宋体" w:hAnsi="宋体"/>
                <w:b/>
                <w:spacing w:val="-6"/>
              </w:rPr>
            </w:pPr>
            <w:r>
              <w:rPr>
                <w:rFonts w:hint="eastAsia" w:ascii="宋体" w:hAnsi="宋体"/>
                <w:b/>
                <w:spacing w:val="-6"/>
              </w:rPr>
              <w:t>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9" w:type="dxa"/>
            <w:vAlign w:val="center"/>
          </w:tcPr>
          <w:p>
            <w:pPr>
              <w:spacing w:line="288" w:lineRule="auto"/>
              <w:jc w:val="center"/>
              <w:rPr>
                <w:rFonts w:ascii="宋体" w:hAnsi="宋体"/>
                <w:spacing w:val="-6"/>
              </w:rPr>
            </w:pPr>
            <w:r>
              <w:rPr>
                <w:rFonts w:ascii="宋体" w:hAnsi="宋体"/>
                <w:spacing w:val="-6"/>
              </w:rPr>
              <w:t>投标报价</w:t>
            </w:r>
          </w:p>
        </w:tc>
        <w:tc>
          <w:tcPr>
            <w:tcW w:w="708" w:type="dxa"/>
            <w:vAlign w:val="center"/>
          </w:tcPr>
          <w:p>
            <w:pPr>
              <w:spacing w:line="288" w:lineRule="auto"/>
              <w:jc w:val="center"/>
              <w:rPr>
                <w:rFonts w:ascii="宋体" w:hAnsi="宋体" w:cs="宋体"/>
                <w:b/>
                <w:spacing w:val="-6"/>
              </w:rPr>
            </w:pPr>
            <w:r>
              <w:rPr>
                <w:rFonts w:hint="eastAsia" w:ascii="宋体" w:hAnsi="宋体" w:cs="宋体"/>
                <w:spacing w:val="-6"/>
              </w:rPr>
              <w:t>30</w:t>
            </w:r>
          </w:p>
        </w:tc>
        <w:tc>
          <w:tcPr>
            <w:tcW w:w="7371" w:type="dxa"/>
            <w:vAlign w:val="center"/>
          </w:tcPr>
          <w:p>
            <w:pPr>
              <w:spacing w:line="288" w:lineRule="auto"/>
            </w:pPr>
            <w:r>
              <w:rPr>
                <w:rFonts w:hint="eastAsia"/>
              </w:rPr>
              <w:t>投标报价评分=所有有效投标总报价的算术平均值的作为基准价，投标报价等于基准价格的得满分30分，高于或低于该价格均扣分：每高于基准价的1%扣0.3分，每低于基准价1%扣0.2分。不为整数时用插入法计算（分值保留二位小数，四舍五入）。高低各扣5分即止。</w:t>
            </w:r>
          </w:p>
          <w:p>
            <w:r>
              <w:rPr>
                <w:rFonts w:hint="eastAsia"/>
              </w:rPr>
              <w:t>价低于风险控制价时，每低于评标基准价1%扣0.4分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98" w:type="dxa"/>
            <w:gridSpan w:val="3"/>
            <w:vAlign w:val="center"/>
          </w:tcPr>
          <w:p>
            <w:pPr>
              <w:jc w:val="center"/>
              <w:rPr>
                <w:rFonts w:ascii="宋体" w:hAnsi="宋体"/>
                <w:b/>
                <w:spacing w:val="-6"/>
              </w:rPr>
            </w:pPr>
            <w:r>
              <w:rPr>
                <w:rFonts w:ascii="宋体" w:hAnsi="宋体"/>
                <w:b/>
                <w:spacing w:val="-6"/>
              </w:rPr>
              <w:t>商务分</w:t>
            </w:r>
            <w:r>
              <w:rPr>
                <w:rFonts w:hint="eastAsia" w:ascii="宋体" w:hAnsi="宋体"/>
                <w:b/>
                <w:spacing w:val="-6"/>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9" w:type="dxa"/>
            <w:vMerge w:val="restart"/>
            <w:vAlign w:val="center"/>
          </w:tcPr>
          <w:p>
            <w:pPr>
              <w:spacing w:line="288" w:lineRule="auto"/>
              <w:jc w:val="center"/>
              <w:rPr>
                <w:rFonts w:ascii="宋体" w:hAnsi="宋体" w:cs="宋体"/>
              </w:rPr>
            </w:pPr>
            <w:r>
              <w:rPr>
                <w:rFonts w:hint="eastAsia" w:ascii="宋体" w:hAnsi="宋体"/>
                <w:spacing w:val="-6"/>
              </w:rPr>
              <w:t>投标人信誉</w:t>
            </w:r>
          </w:p>
        </w:tc>
        <w:tc>
          <w:tcPr>
            <w:tcW w:w="708" w:type="dxa"/>
            <w:vMerge w:val="restart"/>
            <w:vAlign w:val="center"/>
          </w:tcPr>
          <w:p>
            <w:pPr>
              <w:spacing w:line="288" w:lineRule="auto"/>
              <w:jc w:val="center"/>
              <w:rPr>
                <w:rFonts w:ascii="宋体" w:hAnsi="宋体"/>
              </w:rPr>
            </w:pPr>
            <w:r>
              <w:rPr>
                <w:rFonts w:hint="eastAsia" w:ascii="宋体" w:hAnsi="宋体"/>
              </w:rPr>
              <w:t>5</w:t>
            </w:r>
          </w:p>
        </w:tc>
        <w:tc>
          <w:tcPr>
            <w:tcW w:w="7371" w:type="dxa"/>
            <w:vAlign w:val="center"/>
          </w:tcPr>
          <w:p>
            <w:pPr>
              <w:spacing w:line="288" w:lineRule="auto"/>
              <w:rPr>
                <w:rFonts w:ascii="宋体" w:hAnsi="宋体" w:cs="宋体"/>
              </w:rPr>
            </w:pPr>
            <w:r>
              <w:rPr>
                <w:rFonts w:hint="eastAsia" w:ascii="宋体" w:hAnsi="宋体" w:cs="宋体"/>
              </w:rPr>
              <w:t>投标人具有政府部门认定的与实验室相关的技术研究中心或工程技术研究中心的得2分，提供政府部门的认定证明材料（投标文件中提供复印件并加盖公章，未提供不得分，原件备查）。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9" w:type="dxa"/>
            <w:vMerge w:val="continue"/>
            <w:vAlign w:val="center"/>
          </w:tcPr>
          <w:p>
            <w:pPr>
              <w:spacing w:line="288" w:lineRule="auto"/>
              <w:jc w:val="center"/>
              <w:rPr>
                <w:rFonts w:hint="eastAsia" w:ascii="宋体" w:hAnsi="宋体"/>
                <w:spacing w:val="-6"/>
              </w:rPr>
            </w:pPr>
          </w:p>
        </w:tc>
        <w:tc>
          <w:tcPr>
            <w:tcW w:w="708" w:type="dxa"/>
            <w:vMerge w:val="continue"/>
            <w:vAlign w:val="center"/>
          </w:tcPr>
          <w:p>
            <w:pPr>
              <w:spacing w:line="288" w:lineRule="auto"/>
              <w:jc w:val="center"/>
              <w:rPr>
                <w:rFonts w:hint="eastAsia" w:ascii="宋体" w:hAnsi="宋体"/>
              </w:rPr>
            </w:pPr>
          </w:p>
        </w:tc>
        <w:tc>
          <w:tcPr>
            <w:tcW w:w="7371" w:type="dxa"/>
            <w:vAlign w:val="center"/>
          </w:tcPr>
          <w:p>
            <w:pPr>
              <w:spacing w:line="288" w:lineRule="auto"/>
              <w:rPr>
                <w:rFonts w:hint="eastAsia" w:ascii="宋体" w:hAnsi="宋体" w:cs="宋体"/>
              </w:rPr>
            </w:pPr>
            <w:r>
              <w:rPr>
                <w:rFonts w:hint="eastAsia" w:ascii="宋体" w:hAnsi="宋体" w:cs="宋体"/>
                <w:spacing w:val="-6"/>
              </w:rPr>
              <w:t>投标人具有省级及以上主管部门颁发的高新技术企业证书的得1分</w:t>
            </w:r>
            <w:r>
              <w:rPr>
                <w:rFonts w:hint="eastAsia" w:ascii="宋体" w:hAnsi="宋体" w:cs="宋体"/>
              </w:rPr>
              <w:t>（投标文件中提供复印件并加盖公章，未提供不得分，原件备查）。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9" w:type="dxa"/>
            <w:vMerge w:val="continue"/>
            <w:vAlign w:val="center"/>
          </w:tcPr>
          <w:p>
            <w:pPr>
              <w:spacing w:line="288" w:lineRule="auto"/>
              <w:jc w:val="center"/>
              <w:rPr>
                <w:rFonts w:ascii="宋体" w:hAnsi="宋体"/>
                <w:spacing w:val="-6"/>
              </w:rPr>
            </w:pPr>
          </w:p>
        </w:tc>
        <w:tc>
          <w:tcPr>
            <w:tcW w:w="708" w:type="dxa"/>
            <w:vMerge w:val="continue"/>
            <w:vAlign w:val="center"/>
          </w:tcPr>
          <w:p>
            <w:pPr>
              <w:spacing w:line="288" w:lineRule="auto"/>
              <w:jc w:val="center"/>
              <w:rPr>
                <w:rFonts w:ascii="宋体" w:hAnsi="宋体"/>
                <w:spacing w:val="-6"/>
              </w:rPr>
            </w:pPr>
          </w:p>
        </w:tc>
        <w:tc>
          <w:tcPr>
            <w:tcW w:w="7371" w:type="dxa"/>
            <w:vAlign w:val="center"/>
          </w:tcPr>
          <w:p>
            <w:pPr>
              <w:spacing w:line="288" w:lineRule="auto"/>
              <w:rPr>
                <w:rFonts w:ascii="宋体" w:hAnsi="宋体" w:cs="宋体"/>
                <w:spacing w:val="-6"/>
              </w:rPr>
            </w:pPr>
            <w:r>
              <w:rPr>
                <w:rFonts w:hint="eastAsia" w:ascii="宋体" w:hAnsi="宋体" w:cs="宋体"/>
                <w:spacing w:val="-6"/>
              </w:rPr>
              <w:t>投标人具有省级（或直辖市）及以上建设工程荣誉相关证书的得2分</w:t>
            </w:r>
            <w:r>
              <w:rPr>
                <w:rFonts w:hint="eastAsia" w:ascii="宋体" w:hAnsi="宋体" w:cs="宋体"/>
              </w:rPr>
              <w:t>（投标文件中提供复印件并加盖公章，未提供不得分，原件备查）</w:t>
            </w:r>
            <w:r>
              <w:rPr>
                <w:rFonts w:hint="eastAsia" w:ascii="宋体" w:hAnsi="宋体" w:cs="宋体"/>
                <w:spacing w:val="-6"/>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9" w:type="dxa"/>
            <w:vMerge w:val="continue"/>
            <w:vAlign w:val="center"/>
          </w:tcPr>
          <w:p>
            <w:pPr>
              <w:jc w:val="center"/>
              <w:rPr>
                <w:rFonts w:ascii="宋体" w:hAnsi="宋体" w:cs="宋体"/>
              </w:rPr>
            </w:pPr>
          </w:p>
        </w:tc>
        <w:tc>
          <w:tcPr>
            <w:tcW w:w="708" w:type="dxa"/>
            <w:vAlign w:val="center"/>
          </w:tcPr>
          <w:p>
            <w:pPr>
              <w:jc w:val="center"/>
              <w:rPr>
                <w:rFonts w:ascii="宋体" w:hAnsi="宋体"/>
              </w:rPr>
            </w:pPr>
            <w:r>
              <w:rPr>
                <w:rFonts w:hint="eastAsia" w:ascii="宋体" w:hAnsi="宋体"/>
              </w:rPr>
              <w:t>10</w:t>
            </w:r>
          </w:p>
        </w:tc>
        <w:tc>
          <w:tcPr>
            <w:tcW w:w="7371" w:type="dxa"/>
            <w:vAlign w:val="center"/>
          </w:tcPr>
          <w:p>
            <w:pPr>
              <w:jc w:val="left"/>
              <w:rPr>
                <w:rFonts w:ascii="宋体" w:hAnsi="宋体" w:cs="宋体"/>
              </w:rPr>
            </w:pPr>
            <w:r>
              <w:rPr>
                <w:rFonts w:hint="eastAsia" w:ascii="宋体" w:hAnsi="宋体" w:cs="宋体"/>
              </w:rPr>
              <w:t>投标人提供的实验室建设业绩中如包括恒温恒湿洁净实验室建设内容且实测温度波动度达到或者优于±0.1℃、湿度波动度达到或者优于±1.5%、尘埃粒子数0.3μm的不超过10200个、0.5μm的不超过3520个的，每提供一个得2分，最多得10分，未提供证明材料不得分。</w:t>
            </w:r>
          </w:p>
          <w:p>
            <w:pPr>
              <w:jc w:val="left"/>
              <w:rPr>
                <w:rFonts w:ascii="宋体" w:hAnsi="宋体" w:cs="宋体"/>
              </w:rPr>
            </w:pPr>
            <w:r>
              <w:rPr>
                <w:rFonts w:hint="eastAsia" w:ascii="宋体" w:hAnsi="宋体" w:cs="宋体"/>
              </w:rPr>
              <w:t>证明材料：提供省级及以上计量检测机构出具的检测报告（或校准证书），加盖投标人公章，相关数据以检测报告（或校准证书）为准，所提供的资料必须能反映出相关内容，否则视同未提供，原件备查。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98" w:type="dxa"/>
            <w:gridSpan w:val="3"/>
            <w:vAlign w:val="center"/>
          </w:tcPr>
          <w:p>
            <w:pPr>
              <w:jc w:val="center"/>
              <w:rPr>
                <w:rFonts w:ascii="宋体" w:hAnsi="宋体" w:cs="宋体"/>
              </w:rPr>
            </w:pPr>
            <w:r>
              <w:rPr>
                <w:rFonts w:hint="eastAsia" w:ascii="宋体" w:hAnsi="宋体"/>
                <w:b/>
                <w:spacing w:val="-6"/>
              </w:rPr>
              <w:t>技术分（55分）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419" w:type="dxa"/>
            <w:vMerge w:val="restart"/>
            <w:vAlign w:val="center"/>
          </w:tcPr>
          <w:p>
            <w:pPr>
              <w:jc w:val="center"/>
              <w:rPr>
                <w:rFonts w:ascii="宋体" w:hAnsi="宋体" w:cs="宋体"/>
              </w:rPr>
            </w:pPr>
            <w:r>
              <w:rPr>
                <w:rFonts w:hint="eastAsia" w:ascii="宋体" w:hAnsi="宋体" w:cs="宋体"/>
              </w:rPr>
              <w:t>技术方案</w:t>
            </w:r>
          </w:p>
        </w:tc>
        <w:tc>
          <w:tcPr>
            <w:tcW w:w="708" w:type="dxa"/>
            <w:vAlign w:val="center"/>
          </w:tcPr>
          <w:p>
            <w:pPr>
              <w:jc w:val="center"/>
              <w:rPr>
                <w:rFonts w:ascii="宋体" w:hAnsi="宋体" w:cs="宋体"/>
              </w:rPr>
            </w:pPr>
            <w:r>
              <w:rPr>
                <w:rFonts w:ascii="宋体" w:hAnsi="宋体" w:cs="宋体"/>
              </w:rPr>
              <w:t>26</w:t>
            </w:r>
          </w:p>
        </w:tc>
        <w:tc>
          <w:tcPr>
            <w:tcW w:w="7371" w:type="dxa"/>
            <w:vAlign w:val="center"/>
          </w:tcPr>
          <w:p>
            <w:pPr>
              <w:rPr>
                <w:rFonts w:ascii="宋体" w:hAnsi="宋体" w:cs="宋体"/>
              </w:rPr>
            </w:pPr>
            <w:r>
              <w:rPr>
                <w:rFonts w:hint="eastAsia" w:ascii="宋体" w:hAnsi="宋体" w:cs="宋体"/>
              </w:rPr>
              <w:t xml:space="preserve">根据所供设备、材料的技术参数、指标及功能描述的详细程度及响应（满足）招标文件第三章“六、工程技术规范”要求的程度进行评价： </w:t>
            </w:r>
          </w:p>
          <w:p>
            <w:pPr>
              <w:rPr>
                <w:rFonts w:ascii="宋体" w:hAnsi="宋体" w:cs="宋体"/>
                <w:szCs w:val="21"/>
              </w:rPr>
            </w:pPr>
            <w:r>
              <w:rPr>
                <w:rFonts w:hint="eastAsia" w:ascii="宋体" w:hAnsi="宋体" w:cs="宋体"/>
              </w:rPr>
              <w:t>允许偏离的功能、性能和技术指标低于工程技术规范要求（负偏离）的，带“</w:t>
            </w:r>
            <w:r>
              <w:rPr>
                <w:rFonts w:ascii="宋体" w:hAnsi="宋体" w:cs="宋体"/>
              </w:rPr>
              <w:t>★</w:t>
            </w:r>
            <w:r>
              <w:rPr>
                <w:rFonts w:hint="eastAsia" w:ascii="宋体" w:hAnsi="宋体" w:cs="宋体"/>
              </w:rPr>
              <w:t>”为关键指标，每项扣2分，其余每项扣1分，扣完为止。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9" w:type="dxa"/>
            <w:vMerge w:val="continue"/>
            <w:vAlign w:val="center"/>
          </w:tcPr>
          <w:p>
            <w:pPr>
              <w:jc w:val="center"/>
              <w:rPr>
                <w:rFonts w:ascii="宋体" w:hAnsi="宋体" w:cs="宋体"/>
              </w:rPr>
            </w:pPr>
          </w:p>
        </w:tc>
        <w:tc>
          <w:tcPr>
            <w:tcW w:w="708" w:type="dxa"/>
            <w:vAlign w:val="center"/>
          </w:tcPr>
          <w:p>
            <w:pPr>
              <w:jc w:val="center"/>
              <w:rPr>
                <w:rFonts w:ascii="宋体" w:hAnsi="宋体" w:cs="宋体"/>
              </w:rPr>
            </w:pPr>
            <w:r>
              <w:rPr>
                <w:rFonts w:hint="eastAsia" w:ascii="宋体" w:hAnsi="宋体" w:cs="宋体"/>
              </w:rPr>
              <w:t>6</w:t>
            </w:r>
          </w:p>
        </w:tc>
        <w:tc>
          <w:tcPr>
            <w:tcW w:w="7371" w:type="dxa"/>
            <w:vAlign w:val="center"/>
          </w:tcPr>
          <w:p>
            <w:pPr>
              <w:rPr>
                <w:rFonts w:ascii="宋体" w:hAnsi="宋体" w:cs="宋体"/>
              </w:rPr>
            </w:pPr>
            <w:r>
              <w:rPr>
                <w:rFonts w:hint="eastAsia" w:ascii="宋体" w:hAnsi="宋体" w:cs="宋体"/>
              </w:rPr>
              <w:t>对投标人编制的洁净系统及恒温系统的方案及配置进行综合评审：</w:t>
            </w:r>
          </w:p>
          <w:p>
            <w:pPr>
              <w:rPr>
                <w:rFonts w:ascii="宋体" w:hAnsi="宋体" w:cs="宋体"/>
              </w:rPr>
            </w:pPr>
            <w:r>
              <w:rPr>
                <w:rFonts w:hint="eastAsia" w:ascii="宋体" w:hAnsi="宋体" w:cs="宋体"/>
              </w:rPr>
              <w:t>方案的编制和配置非常合理，得6分；方案编制和配置比较合理，得4分；方案设计和配置基本合理，得2分；方案设计和配置欠合理，得</w:t>
            </w:r>
            <w:r>
              <w:rPr>
                <w:rFonts w:ascii="宋体" w:hAnsi="宋体" w:cs="宋体"/>
              </w:rPr>
              <w:t>1</w:t>
            </w:r>
            <w:r>
              <w:rPr>
                <w:rFonts w:hint="eastAsia" w:ascii="宋体" w:hAnsi="宋体" w:cs="宋体"/>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9" w:type="dxa"/>
            <w:vMerge w:val="continue"/>
            <w:vAlign w:val="center"/>
          </w:tcPr>
          <w:p>
            <w:pPr>
              <w:jc w:val="center"/>
              <w:rPr>
                <w:rFonts w:ascii="宋体" w:hAnsi="宋体" w:cs="宋体"/>
              </w:rPr>
            </w:pPr>
          </w:p>
        </w:tc>
        <w:tc>
          <w:tcPr>
            <w:tcW w:w="708" w:type="dxa"/>
            <w:vAlign w:val="center"/>
          </w:tcPr>
          <w:p>
            <w:pPr>
              <w:jc w:val="center"/>
              <w:rPr>
                <w:rFonts w:ascii="宋体" w:hAnsi="宋体" w:cs="宋体"/>
              </w:rPr>
            </w:pPr>
            <w:r>
              <w:rPr>
                <w:rFonts w:hint="eastAsia" w:ascii="宋体" w:hAnsi="宋体" w:cs="宋体"/>
              </w:rPr>
              <w:t>6</w:t>
            </w:r>
          </w:p>
        </w:tc>
        <w:tc>
          <w:tcPr>
            <w:tcW w:w="7371" w:type="dxa"/>
            <w:vAlign w:val="center"/>
          </w:tcPr>
          <w:p>
            <w:pPr>
              <w:rPr>
                <w:rFonts w:ascii="宋体" w:hAnsi="宋体" w:cs="宋体"/>
              </w:rPr>
            </w:pPr>
            <w:r>
              <w:rPr>
                <w:rFonts w:hint="eastAsia" w:ascii="宋体" w:hAnsi="宋体" w:cs="宋体"/>
              </w:rPr>
              <w:t>对投标人编制的自控系统方案及配置进行综合评审：</w:t>
            </w:r>
          </w:p>
          <w:p>
            <w:pPr>
              <w:rPr>
                <w:rFonts w:ascii="宋体" w:hAnsi="宋体" w:cs="宋体"/>
              </w:rPr>
            </w:pPr>
            <w:r>
              <w:rPr>
                <w:rFonts w:hint="eastAsia" w:ascii="宋体" w:hAnsi="宋体" w:cs="宋体"/>
              </w:rPr>
              <w:t>方案的编制和配置非常合理，得6分；方案编制和配置比较合理，得4分；方案设计和配置基本合理，得2分；方案设计和配置欠合理，得</w:t>
            </w:r>
            <w:r>
              <w:rPr>
                <w:rFonts w:ascii="宋体" w:hAnsi="宋体" w:cs="宋体"/>
              </w:rPr>
              <w:t>1</w:t>
            </w:r>
            <w:r>
              <w:rPr>
                <w:rFonts w:hint="eastAsia" w:ascii="宋体" w:hAnsi="宋体" w:cs="宋体"/>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9" w:type="dxa"/>
            <w:vMerge w:val="restart"/>
            <w:vAlign w:val="center"/>
          </w:tcPr>
          <w:p>
            <w:pPr>
              <w:jc w:val="center"/>
              <w:rPr>
                <w:rFonts w:ascii="宋体" w:hAnsi="宋体" w:cs="宋体"/>
              </w:rPr>
            </w:pPr>
            <w:r>
              <w:rPr>
                <w:rFonts w:hint="eastAsia" w:ascii="宋体" w:hAnsi="宋体" w:cs="宋体"/>
              </w:rPr>
              <w:t>保障措施</w:t>
            </w:r>
          </w:p>
        </w:tc>
        <w:tc>
          <w:tcPr>
            <w:tcW w:w="708" w:type="dxa"/>
            <w:vAlign w:val="center"/>
          </w:tcPr>
          <w:p>
            <w:pPr>
              <w:jc w:val="center"/>
              <w:rPr>
                <w:rFonts w:ascii="宋体" w:hAnsi="宋体" w:cs="宋体"/>
              </w:rPr>
            </w:pPr>
            <w:r>
              <w:rPr>
                <w:rFonts w:hint="eastAsia" w:ascii="宋体" w:hAnsi="宋体" w:cs="宋体"/>
              </w:rPr>
              <w:t>3</w:t>
            </w:r>
          </w:p>
        </w:tc>
        <w:tc>
          <w:tcPr>
            <w:tcW w:w="7371" w:type="dxa"/>
            <w:vAlign w:val="center"/>
          </w:tcPr>
          <w:p>
            <w:pPr>
              <w:rPr>
                <w:rFonts w:ascii="宋体" w:hAnsi="宋体" w:cs="宋体"/>
              </w:rPr>
            </w:pPr>
            <w:r>
              <w:rPr>
                <w:rFonts w:hint="eastAsia" w:ascii="宋体" w:hAnsi="宋体" w:cs="宋体"/>
              </w:rPr>
              <w:t>设备材料选用档次、及施工质量保证体系及保证质量措施的合理性、科学性、全面完善程度。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419" w:type="dxa"/>
            <w:vMerge w:val="continue"/>
            <w:vAlign w:val="center"/>
          </w:tcPr>
          <w:p>
            <w:pPr>
              <w:jc w:val="center"/>
              <w:rPr>
                <w:rFonts w:ascii="宋体" w:hAnsi="宋体" w:cs="宋体"/>
              </w:rPr>
            </w:pPr>
          </w:p>
        </w:tc>
        <w:tc>
          <w:tcPr>
            <w:tcW w:w="708" w:type="dxa"/>
            <w:vAlign w:val="center"/>
          </w:tcPr>
          <w:p>
            <w:pPr>
              <w:jc w:val="center"/>
              <w:rPr>
                <w:rFonts w:ascii="宋体" w:hAnsi="宋体" w:cs="宋体"/>
              </w:rPr>
            </w:pPr>
            <w:r>
              <w:rPr>
                <w:rFonts w:hint="eastAsia" w:ascii="宋体" w:hAnsi="宋体" w:cs="宋体"/>
              </w:rPr>
              <w:t>2</w:t>
            </w:r>
          </w:p>
        </w:tc>
        <w:tc>
          <w:tcPr>
            <w:tcW w:w="7371" w:type="dxa"/>
            <w:vAlign w:val="center"/>
          </w:tcPr>
          <w:p>
            <w:pPr>
              <w:rPr>
                <w:rFonts w:ascii="宋体" w:hAnsi="宋体" w:cs="宋体"/>
              </w:rPr>
            </w:pPr>
            <w:r>
              <w:rPr>
                <w:rFonts w:hint="eastAsia" w:ascii="宋体" w:hAnsi="宋体" w:cs="宋体"/>
              </w:rPr>
              <w:t>工期计划及保障措施：工期、施工进度网络计划的科学性、安排的合理性，安装进度计划表提供情况，工期保障措施的有效性、科学性评价。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9" w:type="dxa"/>
            <w:vMerge w:val="restart"/>
            <w:vAlign w:val="center"/>
          </w:tcPr>
          <w:p>
            <w:pPr>
              <w:jc w:val="center"/>
              <w:rPr>
                <w:rFonts w:ascii="宋体" w:hAnsi="宋体" w:cs="宋体"/>
              </w:rPr>
            </w:pPr>
            <w:r>
              <w:rPr>
                <w:rFonts w:hint="eastAsia" w:ascii="宋体" w:hAnsi="宋体" w:cs="宋体"/>
              </w:rPr>
              <w:t>技术配置</w:t>
            </w:r>
          </w:p>
        </w:tc>
        <w:tc>
          <w:tcPr>
            <w:tcW w:w="708" w:type="dxa"/>
            <w:vAlign w:val="center"/>
          </w:tcPr>
          <w:p>
            <w:pPr>
              <w:jc w:val="center"/>
              <w:rPr>
                <w:rFonts w:ascii="宋体" w:hAnsi="宋体" w:cs="宋体"/>
              </w:rPr>
            </w:pPr>
            <w:r>
              <w:rPr>
                <w:rFonts w:hint="eastAsia" w:ascii="宋体" w:hAnsi="宋体" w:cs="宋体"/>
              </w:rPr>
              <w:t>4</w:t>
            </w:r>
          </w:p>
        </w:tc>
        <w:tc>
          <w:tcPr>
            <w:tcW w:w="7371" w:type="dxa"/>
            <w:vAlign w:val="center"/>
          </w:tcPr>
          <w:p>
            <w:pPr>
              <w:rPr>
                <w:rFonts w:ascii="楷体" w:hAnsi="楷体" w:cs="宋体"/>
              </w:rPr>
            </w:pPr>
            <w:r>
              <w:rPr>
                <w:rFonts w:hint="eastAsia" w:ascii="宋体" w:hAnsi="宋体" w:cs="宋体"/>
              </w:rPr>
              <w:t>技术人员配置：根据投标人拟派本项目的项目负责人、管理人员的专业配置合理性，及各专业工种的配置和劳动力的投入能满足本工程的需要的程度。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9" w:type="dxa"/>
            <w:vMerge w:val="continue"/>
            <w:vAlign w:val="center"/>
          </w:tcPr>
          <w:p>
            <w:pPr>
              <w:jc w:val="center"/>
              <w:rPr>
                <w:rFonts w:ascii="宋体" w:hAnsi="宋体" w:cs="宋体"/>
              </w:rPr>
            </w:pPr>
          </w:p>
        </w:tc>
        <w:tc>
          <w:tcPr>
            <w:tcW w:w="708" w:type="dxa"/>
            <w:vAlign w:val="center"/>
          </w:tcPr>
          <w:p>
            <w:pPr>
              <w:jc w:val="center"/>
              <w:rPr>
                <w:rFonts w:ascii="宋体" w:hAnsi="宋体" w:cs="宋体"/>
              </w:rPr>
            </w:pPr>
            <w:r>
              <w:rPr>
                <w:rFonts w:hint="eastAsia" w:ascii="宋体" w:hAnsi="宋体" w:cs="宋体"/>
              </w:rPr>
              <w:t>6</w:t>
            </w:r>
          </w:p>
        </w:tc>
        <w:tc>
          <w:tcPr>
            <w:tcW w:w="7371" w:type="dxa"/>
            <w:vAlign w:val="center"/>
          </w:tcPr>
          <w:p>
            <w:pPr>
              <w:rPr>
                <w:rFonts w:ascii="宋体" w:hAnsi="宋体" w:cs="宋体"/>
              </w:rPr>
            </w:pPr>
            <w:r>
              <w:rPr>
                <w:rFonts w:hint="eastAsia" w:ascii="宋体" w:hAnsi="宋体" w:cs="宋体"/>
              </w:rPr>
              <w:t>拟派本项目的团队人员中有：“高级实验室工程师”、“高级建筑节能工程师”、“实验室质量管理师”的，每提供一个得2分（以人员证书复印件加盖公章为准，原件备查），最高得6分。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1419" w:type="dxa"/>
            <w:vAlign w:val="center"/>
          </w:tcPr>
          <w:p>
            <w:pPr>
              <w:jc w:val="center"/>
              <w:rPr>
                <w:rFonts w:ascii="宋体" w:hAnsi="宋体" w:cs="宋体"/>
              </w:rPr>
            </w:pPr>
            <w:r>
              <w:rPr>
                <w:rFonts w:hint="eastAsia" w:ascii="宋体" w:hAnsi="宋体" w:cs="宋体"/>
              </w:rPr>
              <w:t>培训、售后技术服务</w:t>
            </w:r>
          </w:p>
        </w:tc>
        <w:tc>
          <w:tcPr>
            <w:tcW w:w="708" w:type="dxa"/>
            <w:vAlign w:val="center"/>
          </w:tcPr>
          <w:p>
            <w:pPr>
              <w:jc w:val="center"/>
              <w:rPr>
                <w:rFonts w:ascii="宋体" w:hAnsi="宋体" w:cs="宋体"/>
              </w:rPr>
            </w:pPr>
            <w:r>
              <w:rPr>
                <w:rFonts w:hint="eastAsia" w:ascii="宋体" w:hAnsi="宋体" w:cs="宋体"/>
              </w:rPr>
              <w:t>2</w:t>
            </w:r>
          </w:p>
        </w:tc>
        <w:tc>
          <w:tcPr>
            <w:tcW w:w="7371" w:type="dxa"/>
            <w:vAlign w:val="center"/>
          </w:tcPr>
          <w:p>
            <w:pPr>
              <w:rPr>
                <w:rFonts w:ascii="宋体" w:hAnsi="宋体" w:cs="宋体"/>
              </w:rPr>
            </w:pPr>
            <w:bookmarkStart w:id="783" w:name="_Toc25310"/>
            <w:r>
              <w:rPr>
                <w:rFonts w:hint="eastAsia" w:ascii="宋体" w:hAnsi="宋体" w:cs="宋体"/>
              </w:rPr>
              <w:t>针对本项目进行后期维护管理、技术、人员支持等服务承诺，为使用单位培训操作维护人员，并在标书中列出培训的内容及方式，服务措施完善、明确、可行性强，按其响应程度计2分</w:t>
            </w:r>
            <w:bookmarkEnd w:id="783"/>
          </w:p>
        </w:tc>
      </w:tr>
    </w:tbl>
    <w:p/>
    <w:bookmarkEnd w:id="771"/>
    <w:bookmarkEnd w:id="772"/>
    <w:bookmarkEnd w:id="773"/>
    <w:bookmarkEnd w:id="774"/>
    <w:bookmarkEnd w:id="775"/>
    <w:p>
      <w:pPr>
        <w:spacing w:line="360" w:lineRule="auto"/>
        <w:ind w:firstLine="398" w:firstLineChars="200"/>
        <w:rPr>
          <w:rFonts w:ascii="宋体" w:hAnsi="宋体" w:eastAsia="宋体" w:cs="宋体"/>
          <w:b/>
          <w:spacing w:val="-6"/>
          <w:szCs w:val="21"/>
        </w:rPr>
      </w:pPr>
      <w:r>
        <w:rPr>
          <w:rFonts w:hint="eastAsia" w:ascii="宋体" w:hAnsi="宋体" w:eastAsia="宋体" w:cs="宋体"/>
          <w:b/>
          <w:spacing w:val="-6"/>
          <w:szCs w:val="21"/>
        </w:rPr>
        <w:t>3.6完成评标报告，推荐中标候选人</w:t>
      </w:r>
    </w:p>
    <w:p>
      <w:pPr>
        <w:spacing w:line="360" w:lineRule="auto"/>
        <w:ind w:firstLine="420" w:firstLineChars="200"/>
        <w:rPr>
          <w:rFonts w:ascii="宋体" w:hAnsi="宋体" w:eastAsia="宋体" w:cs="宋体"/>
          <w:snapToGrid w:val="0"/>
          <w:kern w:val="0"/>
          <w:szCs w:val="21"/>
        </w:rPr>
      </w:pPr>
      <w:r>
        <w:rPr>
          <w:rFonts w:hint="eastAsia" w:ascii="宋体" w:hAnsi="宋体" w:eastAsia="宋体" w:cs="宋体"/>
          <w:snapToGrid w:val="0"/>
          <w:kern w:val="0"/>
          <w:szCs w:val="21"/>
        </w:rPr>
        <w:t>3.6.1评标委员会应根据评标情况和结果，向招标人提交评标报告。评标报告由评标委员会成员起草，经评标委员会三分之二以上的成员同意通过。评标委员会全体成员应在评标报告上签字确认，评标专家如有保留意见可以在评标报告中阐明。</w:t>
      </w:r>
    </w:p>
    <w:p>
      <w:pPr>
        <w:spacing w:line="360" w:lineRule="auto"/>
        <w:ind w:firstLine="420" w:firstLineChars="200"/>
        <w:rPr>
          <w:rFonts w:ascii="宋体" w:hAnsi="宋体" w:eastAsia="宋体" w:cs="宋体"/>
          <w:snapToGrid w:val="0"/>
          <w:kern w:val="0"/>
          <w:szCs w:val="21"/>
        </w:rPr>
      </w:pPr>
      <w:r>
        <w:rPr>
          <w:rFonts w:hint="eastAsia" w:ascii="宋体" w:hAnsi="宋体" w:eastAsia="宋体" w:cs="宋体"/>
          <w:snapToGrid w:val="0"/>
          <w:kern w:val="0"/>
          <w:szCs w:val="21"/>
        </w:rPr>
        <w:t>3.6.2评标委员会根据综合评分对进入评分范围的投标文件综合评分由高到低进行排序，依次按招标文件规定的数量推荐中标候选人，</w:t>
      </w:r>
      <w:r>
        <w:rPr>
          <w:rFonts w:hint="eastAsia" w:ascii="宋体" w:hAnsi="宋体" w:eastAsia="宋体" w:cs="宋体"/>
          <w:bCs/>
          <w:spacing w:val="-6"/>
        </w:rPr>
        <w:t>若排名第一的投标人为第一中标候选人,排名第二的投标人为第二中标候选人</w:t>
      </w:r>
      <w:r>
        <w:rPr>
          <w:rFonts w:hint="eastAsia" w:ascii="宋体" w:hAnsi="宋体" w:eastAsia="宋体" w:cs="宋体"/>
          <w:snapToGrid w:val="0"/>
          <w:kern w:val="0"/>
          <w:szCs w:val="21"/>
        </w:rPr>
        <w:t>。评分相同时，报价低者优先。评分、报价均相同时，技术的分高者优先。评分、报价、技术的分均相同时，由评标委员会全体成员记名投票（不得弃权）决定排序。</w:t>
      </w:r>
    </w:p>
    <w:p>
      <w:pPr>
        <w:spacing w:line="360" w:lineRule="auto"/>
        <w:ind w:firstLine="420" w:firstLineChars="200"/>
        <w:rPr>
          <w:rFonts w:ascii="宋体" w:hAnsi="宋体" w:eastAsia="宋体" w:cs="宋体"/>
          <w:b/>
          <w:spacing w:val="-6"/>
          <w:szCs w:val="21"/>
        </w:rPr>
      </w:pPr>
      <w:r>
        <w:rPr>
          <w:rFonts w:hint="eastAsia" w:ascii="宋体" w:hAnsi="宋体" w:eastAsia="宋体" w:cs="宋体"/>
          <w:snapToGrid w:val="0"/>
          <w:kern w:val="0"/>
        </w:rPr>
        <w:t>3.6.3</w:t>
      </w:r>
      <w:r>
        <w:rPr>
          <w:rFonts w:hint="eastAsia" w:ascii="宋体" w:hAnsi="宋体" w:eastAsia="宋体" w:cs="宋体"/>
          <w:bCs/>
          <w:spacing w:val="-6"/>
        </w:rPr>
        <w:t>若第一中标候选人在履约过程中违约及不响应招标文件要求的,排名第二的投标人为第二中标候选人</w:t>
      </w:r>
      <w:r>
        <w:rPr>
          <w:rFonts w:hint="eastAsia" w:ascii="宋体" w:hAnsi="宋体" w:eastAsia="宋体" w:cs="宋体"/>
          <w:snapToGrid w:val="0"/>
          <w:kern w:val="0"/>
        </w:rPr>
        <w:t>。</w:t>
      </w:r>
    </w:p>
    <w:p>
      <w:pPr>
        <w:pStyle w:val="8"/>
        <w:ind w:firstLine="480" w:firstLineChars="200"/>
        <w:rPr>
          <w:rFonts w:ascii="宋体" w:hAnsi="宋体" w:eastAsia="宋体" w:cs="宋体"/>
        </w:rPr>
        <w:sectPr>
          <w:footerReference r:id="rId15" w:type="default"/>
          <w:pgSz w:w="11906" w:h="16838"/>
          <w:pgMar w:top="1418" w:right="1418" w:bottom="1418" w:left="1418" w:header="851" w:footer="992" w:gutter="0"/>
          <w:pgNumType w:fmt="decimal"/>
          <w:cols w:space="720" w:num="1"/>
          <w:docGrid w:linePitch="380" w:charSpace="0"/>
        </w:sectPr>
      </w:pPr>
    </w:p>
    <w:p>
      <w:pPr>
        <w:spacing w:beforeLines="50" w:afterLines="50" w:line="360" w:lineRule="auto"/>
        <w:jc w:val="center"/>
        <w:outlineLvl w:val="0"/>
        <w:rPr>
          <w:rFonts w:ascii="宋体" w:hAnsi="宋体" w:eastAsia="宋体" w:cs="宋体"/>
          <w:b/>
          <w:sz w:val="32"/>
          <w:szCs w:val="32"/>
        </w:rPr>
      </w:pPr>
      <w:bookmarkStart w:id="784" w:name="_Toc506358628"/>
      <w:bookmarkStart w:id="785" w:name="_Toc13952"/>
      <w:bookmarkStart w:id="786" w:name="_Toc415814145"/>
      <w:r>
        <w:rPr>
          <w:rFonts w:hint="eastAsia" w:ascii="宋体" w:hAnsi="宋体" w:eastAsia="宋体" w:cs="宋体"/>
          <w:b/>
          <w:sz w:val="32"/>
          <w:szCs w:val="32"/>
        </w:rPr>
        <w:t>第六章  投标文件格式</w:t>
      </w:r>
      <w:bookmarkEnd w:id="784"/>
      <w:bookmarkEnd w:id="785"/>
      <w:bookmarkEnd w:id="786"/>
    </w:p>
    <w:p>
      <w:pPr>
        <w:tabs>
          <w:tab w:val="left" w:pos="709"/>
        </w:tabs>
        <w:spacing w:line="360" w:lineRule="auto"/>
        <w:ind w:firstLine="420" w:firstLineChars="200"/>
        <w:jc w:val="left"/>
        <w:rPr>
          <w:rFonts w:ascii="宋体" w:hAnsi="宋体" w:eastAsia="宋体" w:cs="宋体"/>
          <w:szCs w:val="21"/>
        </w:rPr>
      </w:pPr>
      <w:r>
        <w:rPr>
          <w:rFonts w:hint="eastAsia" w:ascii="宋体" w:hAnsi="宋体" w:eastAsia="宋体" w:cs="宋体"/>
          <w:szCs w:val="21"/>
        </w:rPr>
        <w:t>说明：</w:t>
      </w:r>
    </w:p>
    <w:p>
      <w:pPr>
        <w:tabs>
          <w:tab w:val="left" w:pos="709"/>
        </w:tabs>
        <w:spacing w:line="360" w:lineRule="auto"/>
        <w:ind w:firstLine="420" w:firstLineChars="200"/>
        <w:jc w:val="left"/>
        <w:rPr>
          <w:rFonts w:ascii="宋体" w:hAnsi="宋体" w:eastAsia="宋体" w:cs="宋体"/>
          <w:szCs w:val="21"/>
        </w:rPr>
      </w:pPr>
      <w:r>
        <w:rPr>
          <w:rFonts w:hint="eastAsia" w:ascii="宋体" w:hAnsi="宋体" w:eastAsia="宋体" w:cs="宋体"/>
          <w:szCs w:val="21"/>
        </w:rPr>
        <w:t>1．投标文件建议根据照招标文件要求参照附件格式编制、选用。</w:t>
      </w:r>
    </w:p>
    <w:p>
      <w:pPr>
        <w:tabs>
          <w:tab w:val="left" w:pos="709"/>
        </w:tabs>
        <w:spacing w:line="360" w:lineRule="auto"/>
        <w:ind w:firstLine="420" w:firstLineChars="200"/>
        <w:jc w:val="left"/>
        <w:rPr>
          <w:rFonts w:ascii="宋体" w:hAnsi="宋体" w:eastAsia="宋体" w:cs="宋体"/>
          <w:szCs w:val="21"/>
        </w:rPr>
      </w:pPr>
      <w:r>
        <w:rPr>
          <w:rFonts w:hint="eastAsia" w:ascii="宋体" w:hAnsi="宋体" w:eastAsia="宋体" w:cs="宋体"/>
          <w:szCs w:val="21"/>
        </w:rPr>
        <w:t>2．投标人根据实际情况，格式的字体、编排，表格的内容可以做适当调整。</w:t>
      </w:r>
    </w:p>
    <w:p>
      <w:pPr>
        <w:tabs>
          <w:tab w:val="left" w:pos="709"/>
        </w:tabs>
        <w:spacing w:line="360" w:lineRule="auto"/>
        <w:ind w:firstLine="420" w:firstLineChars="200"/>
        <w:jc w:val="left"/>
        <w:rPr>
          <w:rFonts w:ascii="宋体" w:hAnsi="宋体" w:eastAsia="宋体" w:cs="宋体"/>
          <w:szCs w:val="21"/>
        </w:rPr>
      </w:pPr>
      <w:r>
        <w:rPr>
          <w:rFonts w:hint="eastAsia" w:ascii="宋体" w:hAnsi="宋体" w:eastAsia="宋体" w:cs="宋体"/>
          <w:szCs w:val="21"/>
        </w:rPr>
        <w:t>3．招标文件中没有参考格式的，投标人自行编制。</w:t>
      </w:r>
    </w:p>
    <w:p>
      <w:pPr>
        <w:tabs>
          <w:tab w:val="left" w:pos="709"/>
        </w:tabs>
        <w:spacing w:line="360" w:lineRule="auto"/>
        <w:ind w:firstLine="480" w:firstLineChars="200"/>
        <w:jc w:val="left"/>
        <w:rPr>
          <w:rFonts w:ascii="宋体" w:hAnsi="宋体" w:eastAsia="宋体" w:cs="宋体"/>
          <w:sz w:val="24"/>
        </w:rPr>
      </w:pPr>
    </w:p>
    <w:p>
      <w:pPr>
        <w:tabs>
          <w:tab w:val="left" w:pos="709"/>
        </w:tabs>
        <w:spacing w:line="360" w:lineRule="auto"/>
        <w:ind w:firstLine="480" w:firstLineChars="200"/>
        <w:jc w:val="left"/>
        <w:rPr>
          <w:rFonts w:ascii="宋体" w:hAnsi="宋体" w:eastAsia="宋体" w:cs="宋体"/>
          <w:sz w:val="24"/>
        </w:rPr>
      </w:pPr>
    </w:p>
    <w:p>
      <w:pPr>
        <w:tabs>
          <w:tab w:val="left" w:pos="709"/>
        </w:tabs>
        <w:spacing w:line="360" w:lineRule="auto"/>
        <w:ind w:firstLine="480" w:firstLineChars="200"/>
        <w:jc w:val="left"/>
        <w:rPr>
          <w:rFonts w:ascii="宋体" w:hAnsi="宋体" w:eastAsia="宋体" w:cs="宋体"/>
          <w:sz w:val="24"/>
        </w:rPr>
      </w:pPr>
    </w:p>
    <w:p>
      <w:pPr>
        <w:rPr>
          <w:rFonts w:ascii="宋体" w:hAnsi="宋体" w:eastAsia="宋体" w:cs="宋体"/>
          <w:sz w:val="24"/>
        </w:rPr>
        <w:sectPr>
          <w:footerReference r:id="rId16" w:type="default"/>
          <w:footerReference r:id="rId17" w:type="even"/>
          <w:pgSz w:w="11906" w:h="16838"/>
          <w:pgMar w:top="1418" w:right="1418" w:bottom="1418" w:left="1418" w:header="851" w:footer="992" w:gutter="0"/>
          <w:pgNumType w:fmt="decimal"/>
          <w:cols w:space="720" w:num="1"/>
          <w:docGrid w:linePitch="380" w:charSpace="0"/>
        </w:sectPr>
      </w:pPr>
    </w:p>
    <w:bookmarkEnd w:id="776"/>
    <w:bookmarkEnd w:id="777"/>
    <w:bookmarkEnd w:id="778"/>
    <w:p>
      <w:pPr>
        <w:pStyle w:val="10"/>
        <w:spacing w:line="264" w:lineRule="auto"/>
        <w:jc w:val="center"/>
        <w:rPr>
          <w:rFonts w:ascii="宋体" w:hAnsi="宋体" w:eastAsia="宋体" w:cs="宋体"/>
          <w:sz w:val="36"/>
        </w:rPr>
      </w:pPr>
    </w:p>
    <w:p>
      <w:pPr>
        <w:pStyle w:val="10"/>
        <w:spacing w:line="264" w:lineRule="auto"/>
        <w:jc w:val="left"/>
        <w:rPr>
          <w:rFonts w:ascii="宋体" w:hAnsi="宋体" w:eastAsia="宋体" w:cs="宋体"/>
          <w:b/>
          <w:snapToGrid w:val="0"/>
          <w:kern w:val="0"/>
          <w:sz w:val="32"/>
          <w:szCs w:val="32"/>
        </w:rPr>
      </w:pPr>
      <w:r>
        <w:rPr>
          <w:rFonts w:hint="eastAsia" w:ascii="宋体" w:hAnsi="宋体" w:eastAsia="宋体" w:cs="宋体"/>
          <w:b/>
          <w:snapToGrid w:val="0"/>
          <w:kern w:val="0"/>
          <w:sz w:val="32"/>
          <w:szCs w:val="32"/>
        </w:rPr>
        <w:t>项目名称：</w:t>
      </w:r>
    </w:p>
    <w:p>
      <w:pPr>
        <w:pStyle w:val="10"/>
        <w:spacing w:line="264" w:lineRule="auto"/>
        <w:jc w:val="left"/>
        <w:rPr>
          <w:rFonts w:ascii="宋体" w:hAnsi="宋体" w:eastAsia="宋体" w:cs="宋体"/>
          <w:b/>
          <w:snapToGrid w:val="0"/>
          <w:kern w:val="0"/>
          <w:sz w:val="32"/>
          <w:szCs w:val="32"/>
        </w:rPr>
      </w:pPr>
      <w:r>
        <w:rPr>
          <w:rFonts w:hint="eastAsia" w:ascii="宋体" w:hAnsi="宋体" w:eastAsia="宋体" w:cs="宋体"/>
          <w:b/>
          <w:snapToGrid w:val="0"/>
          <w:kern w:val="0"/>
          <w:sz w:val="32"/>
          <w:szCs w:val="32"/>
        </w:rPr>
        <w:t>招标编号</w:t>
      </w:r>
    </w:p>
    <w:p>
      <w:pPr>
        <w:pStyle w:val="10"/>
        <w:spacing w:line="264" w:lineRule="auto"/>
        <w:jc w:val="center"/>
        <w:rPr>
          <w:rFonts w:ascii="宋体" w:hAnsi="宋体" w:eastAsia="宋体" w:cs="宋体"/>
          <w:sz w:val="36"/>
        </w:rPr>
      </w:pPr>
    </w:p>
    <w:p>
      <w:pPr>
        <w:pStyle w:val="10"/>
        <w:spacing w:line="264" w:lineRule="auto"/>
        <w:jc w:val="center"/>
        <w:rPr>
          <w:rFonts w:ascii="宋体" w:hAnsi="宋体" w:eastAsia="宋体" w:cs="宋体"/>
          <w:b/>
          <w:sz w:val="84"/>
        </w:rPr>
      </w:pPr>
    </w:p>
    <w:p>
      <w:pPr>
        <w:pStyle w:val="10"/>
        <w:spacing w:line="264" w:lineRule="auto"/>
        <w:jc w:val="center"/>
        <w:rPr>
          <w:rFonts w:ascii="宋体" w:hAnsi="宋体" w:eastAsia="宋体" w:cs="宋体"/>
          <w:sz w:val="28"/>
        </w:rPr>
      </w:pPr>
      <w:r>
        <w:rPr>
          <w:rFonts w:hint="eastAsia" w:ascii="宋体" w:hAnsi="宋体" w:eastAsia="宋体" w:cs="宋体"/>
          <w:b/>
          <w:sz w:val="84"/>
        </w:rPr>
        <w:t>投 标 文 件</w:t>
      </w:r>
    </w:p>
    <w:p>
      <w:pPr>
        <w:pStyle w:val="10"/>
        <w:spacing w:line="264" w:lineRule="auto"/>
        <w:jc w:val="center"/>
        <w:rPr>
          <w:rFonts w:ascii="宋体" w:hAnsi="宋体" w:eastAsia="宋体" w:cs="宋体"/>
          <w:sz w:val="72"/>
        </w:rPr>
      </w:pPr>
      <w:r>
        <w:rPr>
          <w:rFonts w:hint="eastAsia" w:ascii="宋体" w:hAnsi="宋体" w:eastAsia="宋体" w:cs="宋体"/>
          <w:sz w:val="72"/>
        </w:rPr>
        <w:t>（</w:t>
      </w:r>
      <w:r>
        <w:rPr>
          <w:rFonts w:hint="eastAsia" w:ascii="宋体" w:hAnsi="宋体" w:eastAsia="宋体" w:cs="宋体"/>
          <w:sz w:val="72"/>
          <w:u w:val="single"/>
        </w:rPr>
        <w:t>资格证明文件</w:t>
      </w:r>
      <w:r>
        <w:rPr>
          <w:rFonts w:hint="eastAsia" w:ascii="宋体" w:hAnsi="宋体" w:eastAsia="宋体" w:cs="宋体"/>
          <w:sz w:val="72"/>
        </w:rPr>
        <w:t>）</w:t>
      </w:r>
    </w:p>
    <w:p>
      <w:pPr>
        <w:pStyle w:val="10"/>
        <w:spacing w:line="264" w:lineRule="auto"/>
        <w:jc w:val="center"/>
        <w:rPr>
          <w:rFonts w:ascii="宋体" w:hAnsi="宋体" w:eastAsia="宋体" w:cs="宋体"/>
          <w:sz w:val="72"/>
        </w:rPr>
      </w:pPr>
    </w:p>
    <w:p>
      <w:pPr>
        <w:pStyle w:val="10"/>
        <w:spacing w:line="264" w:lineRule="auto"/>
        <w:jc w:val="center"/>
        <w:rPr>
          <w:rFonts w:ascii="宋体" w:hAnsi="宋体" w:eastAsia="宋体" w:cs="宋体"/>
          <w:sz w:val="72"/>
        </w:rPr>
      </w:pPr>
    </w:p>
    <w:p>
      <w:pPr>
        <w:pStyle w:val="10"/>
        <w:spacing w:before="240" w:after="240"/>
        <w:ind w:left="630"/>
        <w:jc w:val="left"/>
        <w:rPr>
          <w:rFonts w:ascii="宋体" w:hAnsi="宋体" w:eastAsia="宋体" w:cs="宋体"/>
          <w:sz w:val="30"/>
        </w:rPr>
      </w:pPr>
      <w:r>
        <w:rPr>
          <w:rFonts w:hint="eastAsia" w:ascii="宋体" w:hAnsi="宋体" w:eastAsia="宋体" w:cs="宋体"/>
          <w:sz w:val="30"/>
        </w:rPr>
        <w:t>投   标   人:</w:t>
      </w:r>
      <w:r>
        <w:rPr>
          <w:rFonts w:hint="eastAsia" w:ascii="宋体" w:hAnsi="宋体" w:eastAsia="宋体" w:cs="宋体"/>
          <w:sz w:val="30"/>
          <w:u w:val="single"/>
        </w:rPr>
        <w:t xml:space="preserve">          （盖投标人单位公章）           </w:t>
      </w:r>
    </w:p>
    <w:p>
      <w:pPr>
        <w:pStyle w:val="10"/>
        <w:spacing w:before="240" w:after="240"/>
        <w:ind w:left="630"/>
        <w:rPr>
          <w:rFonts w:ascii="宋体" w:hAnsi="宋体" w:eastAsia="宋体" w:cs="宋体"/>
          <w:sz w:val="30"/>
        </w:rPr>
      </w:pPr>
      <w:r>
        <w:rPr>
          <w:rFonts w:hint="eastAsia" w:ascii="宋体" w:hAnsi="宋体" w:eastAsia="宋体" w:cs="宋体"/>
          <w:sz w:val="30"/>
        </w:rPr>
        <w:t>法定代表人或其委托代理人：</w:t>
      </w:r>
      <w:r>
        <w:rPr>
          <w:rFonts w:hint="eastAsia" w:ascii="宋体" w:hAnsi="宋体" w:eastAsia="宋体" w:cs="宋体"/>
          <w:sz w:val="30"/>
          <w:u w:val="single"/>
        </w:rPr>
        <w:t xml:space="preserve">   （签字或盖章）</w:t>
      </w:r>
    </w:p>
    <w:p>
      <w:pPr>
        <w:pStyle w:val="10"/>
        <w:spacing w:before="240" w:after="240"/>
        <w:ind w:left="630"/>
        <w:rPr>
          <w:rFonts w:ascii="宋体" w:hAnsi="宋体" w:eastAsia="宋体" w:cs="宋体"/>
          <w:sz w:val="30"/>
        </w:rPr>
      </w:pPr>
      <w:r>
        <w:rPr>
          <w:rFonts w:hint="eastAsia" w:ascii="宋体" w:hAnsi="宋体" w:eastAsia="宋体" w:cs="宋体"/>
          <w:sz w:val="30"/>
        </w:rPr>
        <w:t>日期：__________年_____月_____日</w:t>
      </w:r>
    </w:p>
    <w:p>
      <w:pPr>
        <w:pStyle w:val="10"/>
        <w:spacing w:before="240" w:after="240"/>
        <w:ind w:left="630"/>
        <w:rPr>
          <w:rFonts w:ascii="宋体" w:hAnsi="宋体" w:eastAsia="宋体" w:cs="宋体"/>
          <w:sz w:val="30"/>
        </w:rPr>
      </w:pPr>
    </w:p>
    <w:p>
      <w:pPr>
        <w:pStyle w:val="10"/>
        <w:spacing w:before="240" w:after="240"/>
        <w:ind w:left="630"/>
        <w:rPr>
          <w:rFonts w:ascii="宋体" w:hAnsi="宋体" w:eastAsia="宋体" w:cs="宋体"/>
          <w:sz w:val="30"/>
        </w:rPr>
      </w:pPr>
    </w:p>
    <w:p>
      <w:pPr>
        <w:pStyle w:val="10"/>
        <w:spacing w:before="240" w:after="240"/>
        <w:ind w:left="630"/>
        <w:rPr>
          <w:rFonts w:ascii="宋体" w:hAnsi="宋体" w:eastAsia="宋体" w:cs="宋体"/>
          <w:sz w:val="30"/>
        </w:rPr>
      </w:pPr>
    </w:p>
    <w:p>
      <w:pPr>
        <w:spacing w:line="360" w:lineRule="auto"/>
        <w:rPr>
          <w:rFonts w:ascii="宋体" w:hAnsi="宋体" w:eastAsia="宋体" w:cs="宋体"/>
          <w:snapToGrid w:val="0"/>
          <w:kern w:val="0"/>
          <w:szCs w:val="21"/>
        </w:rPr>
      </w:pPr>
      <w:r>
        <w:rPr>
          <w:rFonts w:hint="eastAsia" w:ascii="宋体" w:hAnsi="宋体" w:eastAsia="宋体" w:cs="宋体"/>
          <w:snapToGrid w:val="0"/>
          <w:kern w:val="0"/>
          <w:szCs w:val="21"/>
        </w:rPr>
        <w:t>说明：“</w:t>
      </w:r>
      <w:r>
        <w:rPr>
          <w:rFonts w:hint="eastAsia" w:ascii="宋体" w:hAnsi="宋体" w:eastAsia="宋体" w:cs="宋体"/>
          <w:snapToGrid w:val="0"/>
          <w:kern w:val="0"/>
          <w:szCs w:val="21"/>
          <w:u w:val="single"/>
        </w:rPr>
        <w:t xml:space="preserve">        </w:t>
      </w:r>
      <w:r>
        <w:rPr>
          <w:rFonts w:hint="eastAsia" w:ascii="宋体" w:hAnsi="宋体" w:eastAsia="宋体" w:cs="宋体"/>
          <w:snapToGrid w:val="0"/>
          <w:kern w:val="0"/>
          <w:szCs w:val="21"/>
        </w:rPr>
        <w:t>部分”为资格证明文件、或资信及技术文件部分、或报价文件部分。</w:t>
      </w:r>
    </w:p>
    <w:p>
      <w:pPr>
        <w:spacing w:line="366" w:lineRule="exact"/>
        <w:jc w:val="center"/>
        <w:outlineLvl w:val="1"/>
        <w:rPr>
          <w:rFonts w:ascii="宋体" w:hAnsi="宋体" w:eastAsia="宋体" w:cs="宋体"/>
          <w:b/>
          <w:bCs/>
          <w:sz w:val="28"/>
          <w:szCs w:val="28"/>
        </w:rPr>
      </w:pPr>
      <w:r>
        <w:rPr>
          <w:rFonts w:hint="eastAsia" w:ascii="宋体" w:hAnsi="宋体" w:eastAsia="宋体" w:cs="宋体"/>
          <w:snapToGrid w:val="0"/>
          <w:kern w:val="0"/>
        </w:rPr>
        <w:br w:type="page"/>
      </w:r>
      <w:bookmarkStart w:id="787" w:name="_Toc506358631"/>
      <w:r>
        <w:rPr>
          <w:rFonts w:hint="eastAsia" w:ascii="宋体" w:hAnsi="宋体" w:eastAsia="宋体" w:cs="宋体"/>
          <w:b/>
          <w:bCs/>
          <w:sz w:val="28"/>
          <w:szCs w:val="28"/>
        </w:rPr>
        <w:t>资格审查资料</w:t>
      </w:r>
    </w:p>
    <w:p>
      <w:pPr>
        <w:spacing w:line="33" w:lineRule="exact"/>
        <w:rPr>
          <w:rFonts w:ascii="宋体" w:hAnsi="宋体" w:eastAsia="宋体" w:cs="宋体"/>
          <w:sz w:val="20"/>
          <w:szCs w:val="20"/>
        </w:rPr>
      </w:pPr>
    </w:p>
    <w:p>
      <w:pPr>
        <w:spacing w:line="258" w:lineRule="exact"/>
        <w:rPr>
          <w:rFonts w:ascii="宋体" w:hAnsi="宋体" w:eastAsia="宋体" w:cs="宋体"/>
          <w:sz w:val="20"/>
          <w:szCs w:val="20"/>
        </w:rPr>
      </w:pPr>
    </w:p>
    <w:p>
      <w:pPr>
        <w:widowControl/>
        <w:spacing w:line="360" w:lineRule="auto"/>
        <w:ind w:left="780"/>
        <w:rPr>
          <w:rFonts w:ascii="宋体" w:hAnsi="宋体" w:eastAsia="宋体" w:cs="宋体"/>
          <w:b/>
          <w:bCs/>
          <w:sz w:val="20"/>
          <w:szCs w:val="20"/>
        </w:rPr>
      </w:pPr>
      <w:r>
        <w:rPr>
          <w:rFonts w:hint="eastAsia" w:ascii="宋体" w:hAnsi="宋体" w:eastAsia="宋体" w:cs="宋体"/>
          <w:b/>
          <w:bCs/>
          <w:szCs w:val="21"/>
        </w:rPr>
        <w:t>（一）资格审查须知</w:t>
      </w:r>
    </w:p>
    <w:p>
      <w:pPr>
        <w:widowControl/>
        <w:spacing w:line="360" w:lineRule="auto"/>
        <w:ind w:left="780"/>
        <w:rPr>
          <w:rFonts w:ascii="宋体" w:hAnsi="宋体" w:eastAsia="宋体" w:cs="宋体"/>
          <w:sz w:val="20"/>
          <w:szCs w:val="20"/>
        </w:rPr>
      </w:pPr>
      <w:r>
        <w:rPr>
          <w:rFonts w:hint="eastAsia" w:ascii="宋体" w:hAnsi="宋体" w:eastAsia="宋体" w:cs="宋体"/>
          <w:szCs w:val="21"/>
        </w:rPr>
        <w:t>1、供应商必须认真填写招标文件规定的所有表格，并对其真实性负责，招标人</w:t>
      </w:r>
    </w:p>
    <w:p>
      <w:pPr>
        <w:widowControl/>
        <w:spacing w:line="360" w:lineRule="auto"/>
        <w:ind w:left="360"/>
        <w:rPr>
          <w:rFonts w:ascii="宋体" w:hAnsi="宋体" w:eastAsia="宋体" w:cs="宋体"/>
          <w:sz w:val="20"/>
          <w:szCs w:val="20"/>
        </w:rPr>
      </w:pPr>
      <w:r>
        <w:rPr>
          <w:rFonts w:hint="eastAsia" w:ascii="宋体" w:hAnsi="宋体" w:eastAsia="宋体" w:cs="宋体"/>
          <w:szCs w:val="21"/>
        </w:rPr>
        <w:t>有权对其进行调查核实和要求澄清。</w:t>
      </w:r>
    </w:p>
    <w:p>
      <w:pPr>
        <w:widowControl/>
        <w:spacing w:line="360" w:lineRule="auto"/>
        <w:ind w:left="780"/>
        <w:rPr>
          <w:rFonts w:ascii="宋体" w:hAnsi="宋体" w:eastAsia="宋体" w:cs="宋体"/>
          <w:sz w:val="20"/>
          <w:szCs w:val="20"/>
        </w:rPr>
      </w:pPr>
      <w:r>
        <w:rPr>
          <w:rFonts w:hint="eastAsia" w:ascii="宋体" w:hAnsi="宋体" w:eastAsia="宋体" w:cs="宋体"/>
          <w:szCs w:val="21"/>
        </w:rPr>
        <w:t>2、资格审查按通过和不通过两种方式进行评定，供应商的资格等方面的要求作为资格</w:t>
      </w:r>
    </w:p>
    <w:p>
      <w:pPr>
        <w:widowControl/>
        <w:spacing w:line="360" w:lineRule="auto"/>
        <w:ind w:left="360"/>
        <w:rPr>
          <w:rFonts w:ascii="宋体" w:hAnsi="宋体" w:eastAsia="宋体" w:cs="宋体"/>
          <w:szCs w:val="21"/>
        </w:rPr>
      </w:pPr>
      <w:r>
        <w:rPr>
          <w:rFonts w:hint="eastAsia" w:ascii="宋体" w:hAnsi="宋体" w:eastAsia="宋体" w:cs="宋体"/>
          <w:szCs w:val="21"/>
        </w:rPr>
        <w:t>审查通过的强制性资格条件，经核实有一项不符合要求，则供应商的资格为不通过，不通过</w:t>
      </w:r>
    </w:p>
    <w:p>
      <w:pPr>
        <w:widowControl/>
        <w:spacing w:line="360" w:lineRule="auto"/>
        <w:ind w:left="360"/>
        <w:rPr>
          <w:rFonts w:ascii="宋体" w:hAnsi="宋体" w:eastAsia="宋体" w:cs="宋体"/>
          <w:sz w:val="20"/>
          <w:szCs w:val="20"/>
        </w:rPr>
      </w:pPr>
      <w:r>
        <w:rPr>
          <w:rFonts w:hint="eastAsia" w:ascii="宋体" w:hAnsi="宋体" w:eastAsia="宋体" w:cs="宋体"/>
          <w:szCs w:val="21"/>
        </w:rPr>
        <w:t>的供应商对其投标文件不进行后续评审。</w:t>
      </w:r>
    </w:p>
    <w:p>
      <w:pPr>
        <w:widowControl/>
        <w:spacing w:line="360" w:lineRule="auto"/>
        <w:ind w:left="780"/>
        <w:rPr>
          <w:rFonts w:ascii="宋体" w:hAnsi="宋体" w:eastAsia="宋体" w:cs="宋体"/>
          <w:b/>
          <w:bCs/>
          <w:sz w:val="20"/>
          <w:szCs w:val="20"/>
        </w:rPr>
      </w:pPr>
      <w:r>
        <w:rPr>
          <w:rFonts w:hint="eastAsia" w:ascii="宋体" w:hAnsi="宋体" w:eastAsia="宋体" w:cs="宋体"/>
          <w:b/>
          <w:bCs/>
          <w:szCs w:val="21"/>
        </w:rPr>
        <w:t>（二）资格审查资料格式</w:t>
      </w:r>
    </w:p>
    <w:p>
      <w:pPr>
        <w:widowControl/>
        <w:spacing w:line="360" w:lineRule="auto"/>
        <w:ind w:left="780"/>
        <w:rPr>
          <w:rFonts w:ascii="宋体" w:hAnsi="宋体" w:eastAsia="宋体" w:cs="宋体"/>
          <w:sz w:val="20"/>
          <w:szCs w:val="20"/>
        </w:rPr>
      </w:pPr>
      <w:bookmarkStart w:id="788" w:name="_Toc24922"/>
      <w:r>
        <w:rPr>
          <w:rFonts w:hint="eastAsia" w:ascii="宋体" w:hAnsi="宋体" w:eastAsia="宋体" w:cs="宋体"/>
          <w:szCs w:val="21"/>
        </w:rPr>
        <w:t>附件一 强制性资格条件</w:t>
      </w:r>
      <w:bookmarkEnd w:id="788"/>
    </w:p>
    <w:p>
      <w:pPr>
        <w:widowControl/>
        <w:spacing w:line="360" w:lineRule="auto"/>
        <w:ind w:left="780"/>
        <w:rPr>
          <w:rFonts w:ascii="宋体" w:hAnsi="宋体" w:eastAsia="宋体" w:cs="宋体"/>
          <w:sz w:val="20"/>
          <w:szCs w:val="20"/>
        </w:rPr>
      </w:pPr>
      <w:bookmarkStart w:id="789" w:name="_Toc10634"/>
      <w:r>
        <w:rPr>
          <w:rFonts w:hint="eastAsia" w:ascii="宋体" w:hAnsi="宋体" w:eastAsia="宋体" w:cs="宋体"/>
          <w:szCs w:val="21"/>
        </w:rPr>
        <w:t>附件二 基本资格条件审查资料</w:t>
      </w:r>
      <w:bookmarkEnd w:id="789"/>
    </w:p>
    <w:p>
      <w:pPr>
        <w:spacing w:line="264" w:lineRule="exact"/>
        <w:rPr>
          <w:rFonts w:ascii="宋体" w:hAnsi="宋体" w:eastAsia="宋体" w:cs="宋体"/>
          <w:sz w:val="20"/>
          <w:szCs w:val="20"/>
        </w:rPr>
      </w:pPr>
    </w:p>
    <w:p>
      <w:pPr>
        <w:rPr>
          <w:rFonts w:ascii="宋体" w:hAnsi="宋体" w:eastAsia="宋体" w:cs="宋体"/>
        </w:rPr>
        <w:sectPr>
          <w:pgSz w:w="11900" w:h="16838"/>
          <w:pgMar w:top="1440" w:right="1440" w:bottom="158" w:left="1440" w:header="567" w:footer="567" w:gutter="0"/>
          <w:pgNumType w:fmt="decimal"/>
          <w:cols w:space="720" w:num="1"/>
        </w:sectPr>
      </w:pPr>
    </w:p>
    <w:p>
      <w:pPr>
        <w:spacing w:line="240" w:lineRule="exact"/>
        <w:ind w:left="900"/>
        <w:rPr>
          <w:rFonts w:ascii="宋体" w:hAnsi="宋体" w:eastAsia="宋体" w:cs="宋体"/>
          <w:b/>
          <w:bCs/>
          <w:sz w:val="20"/>
          <w:szCs w:val="20"/>
        </w:rPr>
      </w:pPr>
      <w:bookmarkStart w:id="790" w:name="page79"/>
      <w:bookmarkEnd w:id="790"/>
      <w:bookmarkStart w:id="791" w:name="_Toc15168"/>
      <w:r>
        <w:rPr>
          <w:rFonts w:hint="eastAsia" w:ascii="宋体" w:hAnsi="宋体" w:eastAsia="宋体" w:cs="宋体"/>
          <w:b/>
          <w:bCs/>
          <w:szCs w:val="21"/>
        </w:rPr>
        <w:t>附件一：强制性资格条件</w:t>
      </w:r>
      <w:bookmarkEnd w:id="791"/>
    </w:p>
    <w:tbl>
      <w:tblPr>
        <w:tblStyle w:val="18"/>
        <w:tblpPr w:leftFromText="180" w:rightFromText="180" w:vertAnchor="text" w:horzAnchor="page" w:tblpX="708" w:tblpY="381"/>
        <w:tblOverlap w:val="never"/>
        <w:tblW w:w="10280" w:type="dxa"/>
        <w:tblInd w:w="0" w:type="dxa"/>
        <w:tblLayout w:type="fixed"/>
        <w:tblCellMar>
          <w:top w:w="0" w:type="dxa"/>
          <w:left w:w="0" w:type="dxa"/>
          <w:bottom w:w="0" w:type="dxa"/>
          <w:right w:w="0" w:type="dxa"/>
        </w:tblCellMar>
      </w:tblPr>
      <w:tblGrid>
        <w:gridCol w:w="650"/>
        <w:gridCol w:w="4689"/>
        <w:gridCol w:w="2301"/>
        <w:gridCol w:w="2280"/>
        <w:gridCol w:w="360"/>
      </w:tblGrid>
      <w:tr>
        <w:tblPrEx>
          <w:tblCellMar>
            <w:top w:w="0" w:type="dxa"/>
            <w:left w:w="0" w:type="dxa"/>
            <w:bottom w:w="0" w:type="dxa"/>
            <w:right w:w="0" w:type="dxa"/>
          </w:tblCellMar>
        </w:tblPrEx>
        <w:trPr>
          <w:trHeight w:val="249"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w w:val="99"/>
                <w:szCs w:val="21"/>
              </w:rPr>
              <w:t>序号</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强制性资格条件</w:t>
            </w:r>
          </w:p>
        </w:tc>
        <w:tc>
          <w:tcPr>
            <w:tcW w:w="230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供应商对能达到程度的简述（供应商填写）</w:t>
            </w:r>
          </w:p>
        </w:tc>
        <w:tc>
          <w:tcPr>
            <w:tcW w:w="22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证明资料附后（复印件加盖公章）</w:t>
            </w:r>
          </w:p>
        </w:tc>
        <w:tc>
          <w:tcPr>
            <w:tcW w:w="360" w:type="dxa"/>
            <w:tcBorders>
              <w:left w:val="single" w:color="auto" w:sz="4" w:space="0"/>
            </w:tcBorders>
            <w:vAlign w:val="center"/>
          </w:tcPr>
          <w:p>
            <w:pPr>
              <w:widowControl/>
              <w:spacing w:line="360" w:lineRule="auto"/>
              <w:jc w:val="center"/>
              <w:rPr>
                <w:rFonts w:ascii="宋体" w:hAnsi="宋体" w:eastAsia="宋体" w:cs="宋体"/>
                <w:szCs w:val="21"/>
              </w:rPr>
            </w:pPr>
          </w:p>
        </w:tc>
      </w:tr>
      <w:tr>
        <w:tblPrEx>
          <w:tblCellMar>
            <w:top w:w="0" w:type="dxa"/>
            <w:left w:w="0" w:type="dxa"/>
            <w:bottom w:w="0" w:type="dxa"/>
            <w:right w:w="0" w:type="dxa"/>
          </w:tblCellMar>
        </w:tblPrEx>
        <w:trPr>
          <w:trHeight w:val="294"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b/>
                <w:bCs/>
                <w:szCs w:val="21"/>
              </w:rPr>
              <w:t>一</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b/>
                <w:bCs/>
                <w:szCs w:val="21"/>
              </w:rPr>
              <w:t>企业资质要求</w:t>
            </w:r>
          </w:p>
        </w:tc>
        <w:tc>
          <w:tcPr>
            <w:tcW w:w="230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p>
        </w:tc>
        <w:tc>
          <w:tcPr>
            <w:tcW w:w="22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p>
        </w:tc>
        <w:tc>
          <w:tcPr>
            <w:tcW w:w="360" w:type="dxa"/>
            <w:tcBorders>
              <w:left w:val="single" w:color="auto" w:sz="4" w:space="0"/>
            </w:tcBorders>
            <w:vAlign w:val="center"/>
          </w:tcPr>
          <w:p>
            <w:pPr>
              <w:widowControl/>
              <w:spacing w:line="360" w:lineRule="auto"/>
              <w:jc w:val="center"/>
              <w:rPr>
                <w:rFonts w:ascii="宋体" w:hAnsi="宋体" w:eastAsia="宋体" w:cs="宋体"/>
                <w:szCs w:val="21"/>
              </w:rPr>
            </w:pPr>
          </w:p>
        </w:tc>
      </w:tr>
      <w:tr>
        <w:tblPrEx>
          <w:tblCellMar>
            <w:top w:w="0" w:type="dxa"/>
            <w:left w:w="0" w:type="dxa"/>
            <w:bottom w:w="0" w:type="dxa"/>
            <w:right w:w="0" w:type="dxa"/>
          </w:tblCellMar>
        </w:tblPrEx>
        <w:trPr>
          <w:trHeight w:val="229"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1</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color w:val="000000" w:themeColor="text1"/>
              </w:rPr>
              <w:t>具有机电工程施工总承包二级及以上或建筑机电安装工程专业承包二级资质</w:t>
            </w:r>
            <w:r>
              <w:rPr>
                <w:rFonts w:hint="eastAsia" w:ascii="宋体" w:hAnsi="宋体" w:eastAsia="宋体" w:cs="宋体"/>
                <w:color w:val="000000" w:themeColor="text1"/>
                <w:kern w:val="0"/>
                <w:szCs w:val="21"/>
              </w:rPr>
              <w:t>；</w:t>
            </w:r>
          </w:p>
        </w:tc>
        <w:tc>
          <w:tcPr>
            <w:tcW w:w="230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p>
        </w:tc>
        <w:tc>
          <w:tcPr>
            <w:tcW w:w="22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left="100"/>
              <w:jc w:val="center"/>
              <w:rPr>
                <w:rFonts w:ascii="宋体" w:hAnsi="宋体" w:eastAsia="宋体" w:cs="宋体"/>
                <w:szCs w:val="21"/>
              </w:rPr>
            </w:pPr>
            <w:r>
              <w:rPr>
                <w:rFonts w:hint="eastAsia" w:ascii="宋体" w:hAnsi="宋体" w:eastAsia="宋体" w:cs="宋体"/>
                <w:szCs w:val="21"/>
              </w:rPr>
              <w:t>资质证书</w:t>
            </w:r>
          </w:p>
        </w:tc>
        <w:tc>
          <w:tcPr>
            <w:tcW w:w="360" w:type="dxa"/>
            <w:tcBorders>
              <w:left w:val="single" w:color="auto" w:sz="4" w:space="0"/>
            </w:tcBorders>
            <w:vAlign w:val="center"/>
          </w:tcPr>
          <w:p>
            <w:pPr>
              <w:widowControl/>
              <w:spacing w:line="360" w:lineRule="auto"/>
              <w:jc w:val="center"/>
              <w:rPr>
                <w:rFonts w:ascii="宋体" w:hAnsi="宋体" w:eastAsia="宋体" w:cs="宋体"/>
                <w:szCs w:val="21"/>
              </w:rPr>
            </w:pPr>
          </w:p>
        </w:tc>
      </w:tr>
      <w:tr>
        <w:tblPrEx>
          <w:tblCellMar>
            <w:top w:w="0" w:type="dxa"/>
            <w:left w:w="0" w:type="dxa"/>
            <w:bottom w:w="0" w:type="dxa"/>
            <w:right w:w="0" w:type="dxa"/>
          </w:tblCellMar>
        </w:tblPrEx>
        <w:trPr>
          <w:trHeight w:val="305"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2</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left="100"/>
              <w:jc w:val="center"/>
              <w:rPr>
                <w:rFonts w:ascii="宋体" w:hAnsi="宋体" w:eastAsia="宋体" w:cs="宋体"/>
                <w:szCs w:val="21"/>
              </w:rPr>
            </w:pPr>
            <w:r>
              <w:rPr>
                <w:rFonts w:hint="eastAsia" w:ascii="宋体" w:hAnsi="宋体" w:eastAsia="宋体" w:cs="宋体"/>
                <w:szCs w:val="21"/>
              </w:rPr>
              <w:t>拟派项目负责人具有机电工程二级及以上建造师注册证书</w:t>
            </w:r>
          </w:p>
        </w:tc>
        <w:tc>
          <w:tcPr>
            <w:tcW w:w="230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p>
        </w:tc>
        <w:tc>
          <w:tcPr>
            <w:tcW w:w="22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建造师执业注册证书</w:t>
            </w:r>
          </w:p>
        </w:tc>
        <w:tc>
          <w:tcPr>
            <w:tcW w:w="360" w:type="dxa"/>
            <w:tcBorders>
              <w:left w:val="single" w:color="auto" w:sz="4" w:space="0"/>
            </w:tcBorders>
            <w:vAlign w:val="center"/>
          </w:tcPr>
          <w:p>
            <w:pPr>
              <w:widowControl/>
              <w:spacing w:line="360" w:lineRule="auto"/>
              <w:jc w:val="center"/>
              <w:rPr>
                <w:rFonts w:ascii="宋体" w:hAnsi="宋体" w:eastAsia="宋体" w:cs="宋体"/>
                <w:szCs w:val="21"/>
              </w:rPr>
            </w:pPr>
          </w:p>
        </w:tc>
      </w:tr>
      <w:tr>
        <w:tblPrEx>
          <w:tblCellMar>
            <w:top w:w="0" w:type="dxa"/>
            <w:left w:w="0" w:type="dxa"/>
            <w:bottom w:w="0" w:type="dxa"/>
            <w:right w:w="0" w:type="dxa"/>
          </w:tblCellMar>
        </w:tblPrEx>
        <w:trPr>
          <w:trHeight w:val="86"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szCs w:val="21"/>
              </w:rPr>
            </w:pPr>
            <w:r>
              <w:rPr>
                <w:rFonts w:hint="eastAsia" w:ascii="宋体" w:hAnsi="宋体" w:eastAsia="宋体" w:cs="宋体"/>
                <w:szCs w:val="21"/>
              </w:rPr>
              <w:t>3</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szCs w:val="21"/>
              </w:rPr>
            </w:pPr>
            <w:r>
              <w:rPr>
                <w:rFonts w:hint="eastAsia" w:ascii="宋体" w:hAnsi="宋体" w:eastAsia="宋体" w:cs="宋体"/>
                <w:szCs w:val="21"/>
              </w:rPr>
              <w:t>具有有效期内的《安全生产许可证》</w:t>
            </w:r>
          </w:p>
        </w:tc>
        <w:tc>
          <w:tcPr>
            <w:tcW w:w="230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p>
        </w:tc>
        <w:tc>
          <w:tcPr>
            <w:tcW w:w="22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有效期内的《安全生产许可证》</w:t>
            </w:r>
          </w:p>
        </w:tc>
        <w:tc>
          <w:tcPr>
            <w:tcW w:w="360" w:type="dxa"/>
            <w:tcBorders>
              <w:left w:val="single" w:color="auto" w:sz="4" w:space="0"/>
            </w:tcBorders>
            <w:vAlign w:val="center"/>
          </w:tcPr>
          <w:p>
            <w:pPr>
              <w:widowControl/>
              <w:spacing w:line="360" w:lineRule="auto"/>
              <w:jc w:val="center"/>
              <w:rPr>
                <w:rFonts w:ascii="宋体" w:hAnsi="宋体" w:eastAsia="宋体" w:cs="宋体"/>
                <w:szCs w:val="21"/>
              </w:rPr>
            </w:pPr>
          </w:p>
        </w:tc>
      </w:tr>
      <w:tr>
        <w:tblPrEx>
          <w:tblCellMar>
            <w:top w:w="0" w:type="dxa"/>
            <w:left w:w="0" w:type="dxa"/>
            <w:bottom w:w="0" w:type="dxa"/>
            <w:right w:w="0" w:type="dxa"/>
          </w:tblCellMar>
        </w:tblPrEx>
        <w:trPr>
          <w:trHeight w:val="772"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4</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left="100"/>
              <w:jc w:val="left"/>
              <w:rPr>
                <w:rFonts w:ascii="宋体" w:hAnsi="宋体" w:eastAsia="宋体" w:cs="宋体"/>
                <w:szCs w:val="21"/>
              </w:rPr>
            </w:pPr>
            <w:r>
              <w:rPr>
                <w:rFonts w:hint="eastAsia" w:ascii="宋体" w:hAnsi="宋体" w:eastAsia="宋体" w:cs="宋体"/>
                <w:szCs w:val="21"/>
              </w:rPr>
              <w:t>1.具有独立承担民事责任的能力；</w:t>
            </w:r>
          </w:p>
          <w:p>
            <w:pPr>
              <w:widowControl/>
              <w:spacing w:line="360" w:lineRule="auto"/>
              <w:ind w:left="100"/>
              <w:jc w:val="left"/>
              <w:rPr>
                <w:rFonts w:ascii="宋体" w:hAnsi="宋体" w:eastAsia="宋体" w:cs="宋体"/>
                <w:szCs w:val="21"/>
              </w:rPr>
            </w:pPr>
            <w:r>
              <w:rPr>
                <w:rFonts w:hint="eastAsia" w:ascii="宋体" w:hAnsi="宋体" w:eastAsia="宋体" w:cs="宋体"/>
                <w:szCs w:val="21"/>
              </w:rPr>
              <w:t>2.具有良好的商业信誉和健全的财务会计制度；</w:t>
            </w:r>
          </w:p>
          <w:p>
            <w:pPr>
              <w:widowControl/>
              <w:spacing w:line="360" w:lineRule="auto"/>
              <w:ind w:left="100"/>
              <w:jc w:val="left"/>
              <w:rPr>
                <w:rFonts w:ascii="宋体" w:hAnsi="宋体" w:eastAsia="宋体" w:cs="宋体"/>
                <w:szCs w:val="21"/>
              </w:rPr>
            </w:pPr>
            <w:r>
              <w:rPr>
                <w:rFonts w:hint="eastAsia" w:ascii="宋体" w:hAnsi="宋体" w:eastAsia="宋体" w:cs="宋体"/>
                <w:szCs w:val="21"/>
              </w:rPr>
              <w:t>3.具有履行合同所必需的设备和专业技术能力；</w:t>
            </w:r>
          </w:p>
          <w:p>
            <w:pPr>
              <w:widowControl/>
              <w:spacing w:line="360" w:lineRule="auto"/>
              <w:ind w:left="100"/>
              <w:jc w:val="left"/>
              <w:rPr>
                <w:rFonts w:ascii="宋体" w:hAnsi="宋体" w:eastAsia="宋体" w:cs="宋体"/>
                <w:szCs w:val="21"/>
              </w:rPr>
            </w:pPr>
            <w:r>
              <w:rPr>
                <w:rFonts w:hint="eastAsia" w:ascii="宋体" w:hAnsi="宋体" w:eastAsia="宋体" w:cs="宋体"/>
                <w:szCs w:val="21"/>
              </w:rPr>
              <w:t>4.有依法缴纳税收和社会保障资金的良好记录；</w:t>
            </w:r>
          </w:p>
          <w:p>
            <w:pPr>
              <w:widowControl/>
              <w:spacing w:line="360" w:lineRule="auto"/>
              <w:ind w:left="100"/>
              <w:jc w:val="left"/>
              <w:rPr>
                <w:rFonts w:ascii="宋体" w:hAnsi="宋体" w:eastAsia="宋体" w:cs="宋体"/>
                <w:szCs w:val="21"/>
              </w:rPr>
            </w:pPr>
            <w:r>
              <w:rPr>
                <w:rFonts w:hint="eastAsia" w:ascii="宋体" w:hAnsi="宋体" w:eastAsia="宋体" w:cs="宋体"/>
                <w:szCs w:val="21"/>
              </w:rPr>
              <w:t>5.参加采购活动前三年内，在经营活动中没有重大违法记录；</w:t>
            </w:r>
          </w:p>
          <w:p>
            <w:pPr>
              <w:widowControl/>
              <w:spacing w:line="360" w:lineRule="auto"/>
              <w:ind w:left="100"/>
              <w:jc w:val="left"/>
              <w:rPr>
                <w:rFonts w:ascii="宋体" w:hAnsi="宋体" w:eastAsia="宋体" w:cs="宋体"/>
                <w:szCs w:val="21"/>
              </w:rPr>
            </w:pPr>
            <w:r>
              <w:rPr>
                <w:rFonts w:hint="eastAsia" w:ascii="宋体" w:hAnsi="宋体" w:eastAsia="宋体" w:cs="宋体"/>
                <w:szCs w:val="21"/>
              </w:rPr>
              <w:t>6.法律、行政法规规定的其他条件；</w:t>
            </w:r>
          </w:p>
        </w:tc>
        <w:tc>
          <w:tcPr>
            <w:tcW w:w="230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p>
        </w:tc>
        <w:tc>
          <w:tcPr>
            <w:tcW w:w="22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见附件二</w:t>
            </w:r>
          </w:p>
        </w:tc>
        <w:tc>
          <w:tcPr>
            <w:tcW w:w="360" w:type="dxa"/>
            <w:tcBorders>
              <w:left w:val="single" w:color="auto" w:sz="4" w:space="0"/>
            </w:tcBorders>
            <w:vAlign w:val="center"/>
          </w:tcPr>
          <w:p>
            <w:pPr>
              <w:widowControl/>
              <w:spacing w:line="360" w:lineRule="auto"/>
              <w:jc w:val="center"/>
              <w:rPr>
                <w:rFonts w:ascii="宋体" w:hAnsi="宋体" w:eastAsia="宋体" w:cs="宋体"/>
                <w:szCs w:val="21"/>
              </w:rPr>
            </w:pPr>
          </w:p>
        </w:tc>
      </w:tr>
      <w:tr>
        <w:tblPrEx>
          <w:tblCellMar>
            <w:top w:w="0" w:type="dxa"/>
            <w:left w:w="0" w:type="dxa"/>
            <w:bottom w:w="0" w:type="dxa"/>
            <w:right w:w="0" w:type="dxa"/>
          </w:tblCellMar>
        </w:tblPrEx>
        <w:trPr>
          <w:trHeight w:val="231"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5</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参加采购活动前三年内，在经营活动中没有重大违法记录</w:t>
            </w:r>
          </w:p>
        </w:tc>
        <w:tc>
          <w:tcPr>
            <w:tcW w:w="230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p>
        </w:tc>
        <w:tc>
          <w:tcPr>
            <w:tcW w:w="22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内容见承诺书</w:t>
            </w:r>
          </w:p>
        </w:tc>
        <w:tc>
          <w:tcPr>
            <w:tcW w:w="360" w:type="dxa"/>
            <w:tcBorders>
              <w:left w:val="single" w:color="auto" w:sz="4" w:space="0"/>
            </w:tcBorders>
            <w:vAlign w:val="center"/>
          </w:tcPr>
          <w:p>
            <w:pPr>
              <w:widowControl/>
              <w:spacing w:line="360" w:lineRule="auto"/>
              <w:jc w:val="center"/>
              <w:rPr>
                <w:rFonts w:ascii="宋体" w:hAnsi="宋体" w:eastAsia="宋体" w:cs="宋体"/>
              </w:rPr>
            </w:pPr>
          </w:p>
          <w:p>
            <w:pPr>
              <w:pStyle w:val="25"/>
              <w:rPr>
                <w:rFonts w:ascii="宋体" w:hAnsi="宋体" w:eastAsia="宋体" w:cs="宋体"/>
                <w:color w:val="auto"/>
              </w:rPr>
            </w:pPr>
          </w:p>
          <w:p>
            <w:pPr>
              <w:pStyle w:val="26"/>
              <w:rPr>
                <w:rFonts w:ascii="宋体" w:hAnsi="宋体" w:eastAsia="宋体" w:cs="宋体"/>
              </w:rPr>
            </w:pPr>
          </w:p>
        </w:tc>
      </w:tr>
      <w:tr>
        <w:tblPrEx>
          <w:tblCellMar>
            <w:top w:w="0" w:type="dxa"/>
            <w:left w:w="0" w:type="dxa"/>
            <w:bottom w:w="0" w:type="dxa"/>
            <w:right w:w="0" w:type="dxa"/>
          </w:tblCellMar>
        </w:tblPrEx>
        <w:trPr>
          <w:trHeight w:val="231"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6</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rPr>
              <w:t>投标保证金缴纳记录</w:t>
            </w:r>
          </w:p>
        </w:tc>
        <w:tc>
          <w:tcPr>
            <w:tcW w:w="230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p>
        </w:tc>
        <w:tc>
          <w:tcPr>
            <w:tcW w:w="22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rPr>
              <w:t>代理机构开具的投标保证金收款收据或电汇对账单或银行汇款凭证等复印件或工程保函</w:t>
            </w:r>
          </w:p>
        </w:tc>
        <w:tc>
          <w:tcPr>
            <w:tcW w:w="360" w:type="dxa"/>
            <w:tcBorders>
              <w:left w:val="single" w:color="auto" w:sz="4" w:space="0"/>
            </w:tcBorders>
            <w:vAlign w:val="center"/>
          </w:tcPr>
          <w:p>
            <w:pPr>
              <w:pStyle w:val="26"/>
              <w:rPr>
                <w:rFonts w:ascii="宋体" w:hAnsi="宋体" w:eastAsia="宋体" w:cs="宋体"/>
              </w:rPr>
            </w:pPr>
          </w:p>
        </w:tc>
      </w:tr>
      <w:tr>
        <w:tblPrEx>
          <w:tblCellMar>
            <w:top w:w="0" w:type="dxa"/>
            <w:left w:w="0" w:type="dxa"/>
            <w:bottom w:w="0" w:type="dxa"/>
            <w:right w:w="0" w:type="dxa"/>
          </w:tblCellMar>
        </w:tblPrEx>
        <w:trPr>
          <w:trHeight w:val="229"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7</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left="100"/>
              <w:jc w:val="center"/>
              <w:rPr>
                <w:rFonts w:ascii="宋体" w:hAnsi="宋体" w:eastAsia="宋体" w:cs="宋体"/>
                <w:szCs w:val="21"/>
              </w:rPr>
            </w:pPr>
            <w:r>
              <w:rPr>
                <w:rFonts w:hint="eastAsia" w:ascii="宋体" w:hAnsi="宋体" w:eastAsia="宋体" w:cs="宋体"/>
                <w:szCs w:val="21"/>
              </w:rPr>
              <w:t>供应商未被列入失信被执行人名单、重大税收违法案</w:t>
            </w:r>
            <w:r>
              <w:rPr>
                <w:rFonts w:hint="eastAsia" w:ascii="宋体" w:hAnsi="宋体" w:eastAsia="宋体" w:cs="宋体"/>
                <w:w w:val="97"/>
                <w:szCs w:val="21"/>
              </w:rPr>
              <w:t>件当事人名单</w:t>
            </w:r>
            <w:r>
              <w:rPr>
                <w:rFonts w:hint="eastAsia" w:ascii="宋体" w:hAnsi="宋体" w:eastAsia="宋体" w:cs="宋体"/>
                <w:szCs w:val="21"/>
              </w:rPr>
              <w:t>、政府采购严重违法失信行为记录名单，信用信息以信用中国网站（www.creditchina.gov.cn）、中国政府采购网（www.ccgp.gov.cn）公布为准；</w:t>
            </w:r>
          </w:p>
        </w:tc>
        <w:tc>
          <w:tcPr>
            <w:tcW w:w="230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p>
        </w:tc>
        <w:tc>
          <w:tcPr>
            <w:tcW w:w="22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以采购代理机构开标前网页查询为准</w:t>
            </w:r>
          </w:p>
        </w:tc>
        <w:tc>
          <w:tcPr>
            <w:tcW w:w="360" w:type="dxa"/>
            <w:tcBorders>
              <w:left w:val="single" w:color="auto" w:sz="4" w:space="0"/>
            </w:tcBorders>
            <w:vAlign w:val="center"/>
          </w:tcPr>
          <w:p>
            <w:pPr>
              <w:widowControl/>
              <w:spacing w:line="360" w:lineRule="auto"/>
              <w:jc w:val="center"/>
              <w:rPr>
                <w:rFonts w:ascii="宋体" w:hAnsi="宋体" w:eastAsia="宋体" w:cs="宋体"/>
                <w:szCs w:val="21"/>
              </w:rPr>
            </w:pPr>
          </w:p>
        </w:tc>
      </w:tr>
    </w:tbl>
    <w:p>
      <w:pPr>
        <w:spacing w:line="200" w:lineRule="exact"/>
        <w:rPr>
          <w:rFonts w:ascii="宋体" w:hAnsi="宋体" w:eastAsia="宋体" w:cs="宋体"/>
          <w:sz w:val="20"/>
          <w:szCs w:val="20"/>
        </w:rPr>
      </w:pPr>
    </w:p>
    <w:p>
      <w:pPr>
        <w:spacing w:line="203" w:lineRule="exact"/>
        <w:rPr>
          <w:rFonts w:ascii="宋体" w:hAnsi="宋体" w:eastAsia="宋体" w:cs="宋体"/>
          <w:sz w:val="20"/>
          <w:szCs w:val="20"/>
        </w:rPr>
      </w:pPr>
    </w:p>
    <w:p>
      <w:pPr>
        <w:spacing w:line="255" w:lineRule="exact"/>
        <w:ind w:left="1320"/>
        <w:rPr>
          <w:rFonts w:ascii="宋体" w:hAnsi="宋体" w:eastAsia="宋体" w:cs="宋体"/>
          <w:sz w:val="20"/>
          <w:szCs w:val="20"/>
        </w:rPr>
      </w:pPr>
      <w:r>
        <w:rPr>
          <w:rFonts w:hint="eastAsia" w:ascii="宋体" w:hAnsi="宋体" w:eastAsia="宋体" w:cs="宋体"/>
          <w:b/>
          <w:bCs/>
          <w:szCs w:val="21"/>
        </w:rPr>
        <w:t>注：1、证明材料复印件需齐全，不得缺页，否则证明无效，加盖公章。</w:t>
      </w:r>
    </w:p>
    <w:p>
      <w:pPr>
        <w:spacing w:line="156" w:lineRule="exact"/>
        <w:rPr>
          <w:rFonts w:ascii="宋体" w:hAnsi="宋体" w:eastAsia="宋体" w:cs="宋体"/>
          <w:sz w:val="20"/>
          <w:szCs w:val="20"/>
        </w:rPr>
      </w:pPr>
    </w:p>
    <w:p>
      <w:pPr>
        <w:spacing w:line="255" w:lineRule="exact"/>
        <w:ind w:left="1320" w:firstLine="422" w:firstLineChars="200"/>
        <w:rPr>
          <w:rFonts w:ascii="宋体" w:hAnsi="宋体" w:eastAsia="宋体" w:cs="宋体"/>
          <w:sz w:val="20"/>
          <w:szCs w:val="20"/>
        </w:rPr>
      </w:pPr>
      <w:r>
        <w:rPr>
          <w:rFonts w:hint="eastAsia" w:ascii="宋体" w:hAnsi="宋体" w:eastAsia="宋体" w:cs="宋体"/>
          <w:b/>
          <w:bCs/>
          <w:szCs w:val="21"/>
        </w:rPr>
        <w:t>2、证明材料因具备充分性，与要求相对应，否则由此产生的责任和风险投标人承担。</w:t>
      </w:r>
    </w:p>
    <w:p>
      <w:pPr>
        <w:spacing w:line="200" w:lineRule="exact"/>
        <w:rPr>
          <w:rFonts w:ascii="宋体" w:hAnsi="宋体" w:eastAsia="宋体" w:cs="宋体"/>
          <w:sz w:val="20"/>
          <w:szCs w:val="20"/>
        </w:rPr>
      </w:pPr>
    </w:p>
    <w:p>
      <w:pPr>
        <w:spacing w:line="315" w:lineRule="exact"/>
        <w:rPr>
          <w:rFonts w:ascii="宋体" w:hAnsi="宋体" w:eastAsia="宋体" w:cs="宋体"/>
          <w:sz w:val="20"/>
          <w:szCs w:val="20"/>
        </w:rPr>
      </w:pPr>
    </w:p>
    <w:p>
      <w:pPr>
        <w:spacing w:line="240" w:lineRule="exact"/>
        <w:ind w:left="900"/>
        <w:rPr>
          <w:rFonts w:ascii="宋体" w:hAnsi="宋体" w:eastAsia="宋体" w:cs="宋体"/>
          <w:sz w:val="20"/>
          <w:szCs w:val="20"/>
        </w:rPr>
      </w:pPr>
      <w:r>
        <w:rPr>
          <w:rFonts w:hint="eastAsia" w:ascii="宋体" w:hAnsi="宋体" w:eastAsia="宋体" w:cs="宋体"/>
          <w:szCs w:val="21"/>
        </w:rPr>
        <w:t>供应商全称（盖单位公章）：</w:t>
      </w:r>
    </w:p>
    <w:p>
      <w:pPr>
        <w:spacing w:line="168" w:lineRule="exact"/>
        <w:rPr>
          <w:rFonts w:ascii="宋体" w:hAnsi="宋体" w:eastAsia="宋体" w:cs="宋体"/>
          <w:sz w:val="20"/>
          <w:szCs w:val="20"/>
        </w:rPr>
      </w:pPr>
    </w:p>
    <w:p>
      <w:pPr>
        <w:spacing w:line="240" w:lineRule="exact"/>
        <w:ind w:left="900"/>
        <w:rPr>
          <w:rFonts w:ascii="宋体" w:hAnsi="宋体" w:eastAsia="宋体" w:cs="宋体"/>
          <w:sz w:val="20"/>
          <w:szCs w:val="20"/>
        </w:rPr>
      </w:pPr>
      <w:r>
        <w:rPr>
          <w:rFonts w:hint="eastAsia" w:ascii="宋体" w:hAnsi="宋体" w:eastAsia="宋体" w:cs="宋体"/>
          <w:szCs w:val="21"/>
        </w:rPr>
        <w:t>投标文件签署人（签字或盖章）：</w:t>
      </w:r>
    </w:p>
    <w:p>
      <w:pPr>
        <w:spacing w:line="168" w:lineRule="exact"/>
        <w:rPr>
          <w:rFonts w:ascii="宋体" w:hAnsi="宋体" w:eastAsia="宋体" w:cs="宋体"/>
          <w:sz w:val="20"/>
          <w:szCs w:val="20"/>
        </w:rPr>
      </w:pPr>
    </w:p>
    <w:p>
      <w:pPr>
        <w:spacing w:line="240" w:lineRule="exact"/>
        <w:ind w:left="900"/>
        <w:rPr>
          <w:rFonts w:ascii="宋体" w:hAnsi="宋体" w:eastAsia="宋体" w:cs="宋体"/>
          <w:sz w:val="20"/>
          <w:szCs w:val="20"/>
        </w:rPr>
      </w:pPr>
      <w:r>
        <w:rPr>
          <w:rFonts w:hint="eastAsia" w:ascii="宋体" w:hAnsi="宋体" w:eastAsia="宋体" w:cs="宋体"/>
          <w:szCs w:val="21"/>
        </w:rPr>
        <w:t>日期：</w:t>
      </w:r>
    </w:p>
    <w:p>
      <w:pPr>
        <w:spacing w:line="200" w:lineRule="exact"/>
        <w:rPr>
          <w:rFonts w:ascii="宋体" w:hAnsi="宋体" w:eastAsia="宋体" w:cs="宋体"/>
          <w:sz w:val="20"/>
          <w:szCs w:val="20"/>
        </w:rPr>
      </w:pPr>
    </w:p>
    <w:p>
      <w:pPr>
        <w:rPr>
          <w:rFonts w:ascii="宋体" w:hAnsi="宋体" w:eastAsia="宋体" w:cs="宋体"/>
        </w:rPr>
        <w:sectPr>
          <w:pgSz w:w="11900" w:h="16838"/>
          <w:pgMar w:top="1440" w:right="1106" w:bottom="158" w:left="900" w:header="567" w:footer="567" w:gutter="0"/>
          <w:pgNumType w:fmt="decimal"/>
          <w:cols w:space="720" w:num="1"/>
        </w:sectPr>
      </w:pPr>
    </w:p>
    <w:p>
      <w:pPr>
        <w:spacing w:line="240" w:lineRule="exact"/>
        <w:jc w:val="left"/>
        <w:rPr>
          <w:rFonts w:ascii="宋体" w:hAnsi="宋体" w:eastAsia="宋体" w:cs="宋体"/>
          <w:b/>
          <w:bCs/>
          <w:sz w:val="20"/>
          <w:szCs w:val="20"/>
        </w:rPr>
      </w:pPr>
      <w:bookmarkStart w:id="792" w:name="page80"/>
      <w:bookmarkEnd w:id="792"/>
      <w:bookmarkStart w:id="793" w:name="_Toc11006"/>
      <w:r>
        <w:rPr>
          <w:rFonts w:hint="eastAsia" w:ascii="宋体" w:hAnsi="宋体" w:eastAsia="宋体" w:cs="宋体"/>
          <w:b/>
          <w:bCs/>
          <w:szCs w:val="21"/>
        </w:rPr>
        <w:t>附件二：基本资格条件审查资料</w:t>
      </w:r>
      <w:bookmarkEnd w:id="793"/>
    </w:p>
    <w:p>
      <w:pPr>
        <w:spacing w:line="200" w:lineRule="exact"/>
        <w:rPr>
          <w:rFonts w:ascii="宋体" w:hAnsi="宋体" w:eastAsia="宋体" w:cs="宋体"/>
          <w:sz w:val="20"/>
          <w:szCs w:val="20"/>
        </w:rPr>
      </w:pPr>
    </w:p>
    <w:p>
      <w:pPr>
        <w:pStyle w:val="8"/>
        <w:widowControl/>
        <w:adjustRightInd/>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（1）有效的法人或者其他组织的营业执照等证明文件（复印件加盖公章），自然人的身份证明；</w:t>
      </w:r>
    </w:p>
    <w:p>
      <w:pPr>
        <w:pStyle w:val="8"/>
        <w:widowControl/>
        <w:adjustRightInd/>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（2）最近六个月任意一月依法缴纳税收的证明材料；（依法免税的投标供应商，应提供相应文件证明其依法免税）</w:t>
      </w:r>
    </w:p>
    <w:p>
      <w:pPr>
        <w:pStyle w:val="8"/>
        <w:widowControl/>
        <w:adjustRightInd/>
        <w:ind w:firstLine="396" w:firstLineChars="200"/>
        <w:rPr>
          <w:rFonts w:ascii="宋体" w:hAnsi="宋体" w:eastAsia="宋体" w:cs="宋体"/>
          <w:spacing w:val="-6"/>
          <w:sz w:val="21"/>
          <w:szCs w:val="21"/>
        </w:rPr>
      </w:pPr>
      <w:r>
        <w:rPr>
          <w:rFonts w:hint="eastAsia" w:ascii="宋体" w:hAnsi="宋体" w:eastAsia="宋体" w:cs="宋体"/>
          <w:spacing w:val="-6"/>
          <w:sz w:val="21"/>
          <w:szCs w:val="21"/>
        </w:rPr>
        <w:t>（3）最近六个月任意一月依法缴社会保障资金的证明材料；（依法不需要缴纳社会保障资金的投标供应商，应提供相应文件证明其依法不需要缴纳社会保障资金）</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（4）具有履行合同所必需的设备和专业技术能力的承诺函；</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（5）参加采购活动前 3 年内在经营活动中没有重大违法记录的声明函；</w:t>
      </w:r>
    </w:p>
    <w:p>
      <w:pPr>
        <w:widowControl/>
        <w:spacing w:line="360" w:lineRule="auto"/>
        <w:rPr>
          <w:rFonts w:ascii="宋体" w:hAnsi="宋体" w:eastAsia="宋体" w:cs="宋体"/>
          <w:sz w:val="20"/>
          <w:szCs w:val="20"/>
        </w:rPr>
      </w:pPr>
    </w:p>
    <w:p>
      <w:pPr>
        <w:widowControl/>
        <w:spacing w:line="360" w:lineRule="auto"/>
        <w:ind w:left="360"/>
        <w:jc w:val="center"/>
        <w:rPr>
          <w:rFonts w:ascii="宋体" w:hAnsi="宋体" w:eastAsia="宋体" w:cs="宋体"/>
          <w:b/>
          <w:bCs/>
          <w:sz w:val="28"/>
          <w:szCs w:val="28"/>
        </w:rPr>
        <w:sectPr>
          <w:pgSz w:w="11900" w:h="16838"/>
          <w:pgMar w:top="1440" w:right="1440" w:bottom="158" w:left="1440" w:header="567" w:footer="567" w:gutter="0"/>
          <w:pgNumType w:fmt="decimal"/>
          <w:cols w:space="720" w:num="1"/>
        </w:sectPr>
      </w:pPr>
    </w:p>
    <w:p>
      <w:pPr>
        <w:widowControl/>
        <w:spacing w:line="360" w:lineRule="auto"/>
        <w:ind w:left="360"/>
        <w:jc w:val="center"/>
        <w:rPr>
          <w:rFonts w:ascii="宋体" w:hAnsi="宋体" w:eastAsia="宋体" w:cs="宋体"/>
          <w:b/>
          <w:bCs/>
          <w:sz w:val="28"/>
          <w:szCs w:val="28"/>
        </w:rPr>
      </w:pPr>
      <w:r>
        <w:rPr>
          <w:rFonts w:hint="eastAsia" w:ascii="宋体" w:hAnsi="宋体" w:eastAsia="宋体" w:cs="宋体"/>
          <w:b/>
          <w:bCs/>
          <w:sz w:val="28"/>
          <w:szCs w:val="28"/>
        </w:rPr>
        <w:t>具有履行合同所必需的设备和专业技术能力的承诺函</w:t>
      </w:r>
    </w:p>
    <w:p>
      <w:pPr>
        <w:widowControl/>
        <w:spacing w:line="360" w:lineRule="auto"/>
        <w:rPr>
          <w:rFonts w:ascii="宋体" w:hAnsi="宋体" w:eastAsia="宋体" w:cs="宋体"/>
          <w:sz w:val="20"/>
          <w:szCs w:val="20"/>
        </w:rPr>
      </w:pPr>
    </w:p>
    <w:p>
      <w:pPr>
        <w:widowControl/>
        <w:spacing w:line="360" w:lineRule="auto"/>
        <w:ind w:left="360"/>
        <w:rPr>
          <w:rFonts w:ascii="宋体" w:hAnsi="宋体" w:eastAsia="宋体" w:cs="宋体"/>
          <w:sz w:val="20"/>
          <w:szCs w:val="20"/>
        </w:rPr>
      </w:pPr>
      <w:r>
        <w:rPr>
          <w:rFonts w:hint="eastAsia" w:ascii="宋体" w:hAnsi="宋体" w:eastAsia="宋体" w:cs="宋体"/>
          <w:szCs w:val="21"/>
          <w:u w:val="single"/>
        </w:rPr>
        <w:t>（采购人）</w:t>
      </w:r>
      <w:r>
        <w:rPr>
          <w:rFonts w:hint="eastAsia" w:ascii="宋体" w:hAnsi="宋体" w:eastAsia="宋体" w:cs="宋体"/>
          <w:szCs w:val="21"/>
        </w:rPr>
        <w:t>：</w:t>
      </w:r>
    </w:p>
    <w:p>
      <w:pPr>
        <w:widowControl/>
        <w:spacing w:line="360" w:lineRule="auto"/>
        <w:ind w:firstLine="420" w:firstLineChars="200"/>
        <w:rPr>
          <w:rFonts w:ascii="宋体" w:hAnsi="宋体" w:eastAsia="宋体" w:cs="宋体"/>
          <w:sz w:val="20"/>
          <w:szCs w:val="20"/>
        </w:rPr>
      </w:pPr>
      <w:r>
        <w:rPr>
          <w:rFonts w:hint="eastAsia" w:ascii="宋体" w:hAnsi="宋体" w:eastAsia="宋体" w:cs="宋体"/>
          <w:szCs w:val="21"/>
        </w:rPr>
        <w:t>我方</w:t>
      </w:r>
      <w:r>
        <w:rPr>
          <w:rFonts w:hint="eastAsia" w:ascii="宋体" w:hAnsi="宋体" w:eastAsia="宋体" w:cs="宋体"/>
          <w:szCs w:val="21"/>
          <w:u w:val="single"/>
        </w:rPr>
        <w:t xml:space="preserve">            </w:t>
      </w:r>
      <w:r>
        <w:rPr>
          <w:rFonts w:hint="eastAsia" w:ascii="宋体" w:hAnsi="宋体" w:eastAsia="宋体" w:cs="宋体"/>
          <w:szCs w:val="21"/>
        </w:rPr>
        <w:t>承诺具有履行合同所必需的设备和专业技术能力。如有虚假，采购人可取消我方任何资格（投标/中标/签订合同），我方对此无任何异议。</w:t>
      </w:r>
    </w:p>
    <w:p>
      <w:pPr>
        <w:widowControl/>
        <w:spacing w:line="360" w:lineRule="auto"/>
        <w:rPr>
          <w:rFonts w:ascii="宋体" w:hAnsi="宋体" w:eastAsia="宋体" w:cs="宋体"/>
          <w:sz w:val="20"/>
          <w:szCs w:val="20"/>
        </w:rPr>
      </w:pPr>
    </w:p>
    <w:p>
      <w:pPr>
        <w:widowControl/>
        <w:spacing w:line="360" w:lineRule="auto"/>
        <w:ind w:left="780"/>
        <w:rPr>
          <w:rFonts w:ascii="宋体" w:hAnsi="宋体" w:eastAsia="宋体" w:cs="宋体"/>
          <w:sz w:val="20"/>
          <w:szCs w:val="20"/>
        </w:rPr>
      </w:pPr>
      <w:r>
        <w:rPr>
          <w:rFonts w:hint="eastAsia" w:ascii="宋体" w:hAnsi="宋体" w:eastAsia="宋体" w:cs="宋体"/>
          <w:szCs w:val="21"/>
        </w:rPr>
        <w:t>特此承诺！</w:t>
      </w:r>
    </w:p>
    <w:p>
      <w:pPr>
        <w:widowControl/>
        <w:spacing w:line="360" w:lineRule="auto"/>
        <w:ind w:left="780"/>
        <w:rPr>
          <w:rFonts w:ascii="宋体" w:hAnsi="宋体" w:eastAsia="宋体" w:cs="宋体"/>
          <w:sz w:val="20"/>
          <w:szCs w:val="20"/>
        </w:rPr>
      </w:pPr>
      <w:r>
        <w:rPr>
          <w:rFonts w:hint="eastAsia" w:ascii="宋体" w:hAnsi="宋体" w:eastAsia="宋体" w:cs="宋体"/>
          <w:szCs w:val="21"/>
        </w:rPr>
        <w:t>供应商名称（盖章） ：</w:t>
      </w:r>
    </w:p>
    <w:p>
      <w:pPr>
        <w:widowControl/>
        <w:spacing w:line="360" w:lineRule="auto"/>
        <w:ind w:left="780"/>
        <w:rPr>
          <w:rFonts w:ascii="宋体" w:hAnsi="宋体" w:eastAsia="宋体" w:cs="宋体"/>
          <w:sz w:val="20"/>
          <w:szCs w:val="20"/>
        </w:rPr>
      </w:pPr>
      <w:r>
        <w:rPr>
          <w:rFonts w:hint="eastAsia" w:ascii="宋体" w:hAnsi="宋体" w:eastAsia="宋体" w:cs="宋体"/>
          <w:szCs w:val="21"/>
        </w:rPr>
        <w:t>法定代表人或其授权代表（签字或盖章）：</w:t>
      </w:r>
    </w:p>
    <w:p>
      <w:pPr>
        <w:widowControl/>
        <w:tabs>
          <w:tab w:val="left" w:pos="1920"/>
          <w:tab w:val="left" w:pos="2340"/>
          <w:tab w:val="left" w:pos="2760"/>
        </w:tabs>
        <w:spacing w:line="360" w:lineRule="auto"/>
        <w:ind w:left="780"/>
        <w:rPr>
          <w:rFonts w:ascii="宋体" w:hAnsi="宋体" w:eastAsia="宋体" w:cs="宋体"/>
          <w:sz w:val="20"/>
          <w:szCs w:val="20"/>
        </w:rPr>
      </w:pPr>
      <w:r>
        <w:rPr>
          <w:rFonts w:hint="eastAsia" w:ascii="宋体" w:hAnsi="宋体" w:eastAsia="宋体" w:cs="宋体"/>
          <w:szCs w:val="21"/>
        </w:rPr>
        <w:t xml:space="preserve">日期：  年  </w:t>
      </w:r>
      <w:r>
        <w:rPr>
          <w:rFonts w:hint="eastAsia" w:ascii="宋体" w:hAnsi="宋体" w:eastAsia="宋体" w:cs="宋体"/>
          <w:szCs w:val="21"/>
        </w:rPr>
        <w:tab/>
      </w:r>
      <w:r>
        <w:rPr>
          <w:rFonts w:hint="eastAsia" w:ascii="宋体" w:hAnsi="宋体" w:eastAsia="宋体" w:cs="宋体"/>
          <w:szCs w:val="21"/>
        </w:rPr>
        <w:t>月</w:t>
      </w:r>
      <w:r>
        <w:rPr>
          <w:rFonts w:hint="eastAsia" w:ascii="宋体" w:hAnsi="宋体" w:eastAsia="宋体" w:cs="宋体"/>
          <w:sz w:val="20"/>
          <w:szCs w:val="20"/>
        </w:rPr>
        <w:tab/>
      </w:r>
      <w:r>
        <w:rPr>
          <w:rFonts w:hint="eastAsia" w:ascii="宋体" w:hAnsi="宋体" w:eastAsia="宋体" w:cs="宋体"/>
          <w:sz w:val="20"/>
          <w:szCs w:val="20"/>
        </w:rPr>
        <w:t xml:space="preserve"> 日</w:t>
      </w:r>
    </w:p>
    <w:p>
      <w:pPr>
        <w:spacing w:line="200" w:lineRule="exact"/>
        <w:rPr>
          <w:rFonts w:ascii="宋体" w:hAnsi="宋体" w:eastAsia="宋体" w:cs="宋体"/>
          <w:sz w:val="20"/>
          <w:szCs w:val="20"/>
        </w:rPr>
      </w:pPr>
    </w:p>
    <w:p>
      <w:pPr>
        <w:spacing w:line="200" w:lineRule="exact"/>
        <w:rPr>
          <w:rFonts w:ascii="宋体" w:hAnsi="宋体" w:eastAsia="宋体" w:cs="宋体"/>
          <w:sz w:val="20"/>
          <w:szCs w:val="20"/>
        </w:rPr>
      </w:pPr>
    </w:p>
    <w:p>
      <w:pPr>
        <w:spacing w:line="200" w:lineRule="exact"/>
        <w:rPr>
          <w:rFonts w:ascii="宋体" w:hAnsi="宋体" w:eastAsia="宋体" w:cs="宋体"/>
          <w:sz w:val="20"/>
          <w:szCs w:val="20"/>
        </w:rPr>
      </w:pPr>
    </w:p>
    <w:p>
      <w:pPr>
        <w:rPr>
          <w:rFonts w:ascii="宋体" w:hAnsi="宋体" w:eastAsia="宋体" w:cs="宋体"/>
        </w:rPr>
        <w:sectPr>
          <w:pgSz w:w="11900" w:h="16838"/>
          <w:pgMar w:top="1440" w:right="1440" w:bottom="158" w:left="1440" w:header="567" w:footer="567" w:gutter="0"/>
          <w:pgNumType w:fmt="decimal"/>
          <w:cols w:space="720" w:num="1"/>
        </w:sectPr>
      </w:pPr>
    </w:p>
    <w:p>
      <w:pPr>
        <w:spacing w:line="366" w:lineRule="exact"/>
        <w:jc w:val="center"/>
        <w:rPr>
          <w:rFonts w:ascii="宋体" w:hAnsi="宋体" w:eastAsia="宋体" w:cs="宋体"/>
          <w:b/>
          <w:bCs/>
          <w:sz w:val="28"/>
          <w:szCs w:val="28"/>
        </w:rPr>
      </w:pPr>
      <w:bookmarkStart w:id="794" w:name="page81"/>
      <w:bookmarkEnd w:id="794"/>
      <w:r>
        <w:rPr>
          <w:rFonts w:hint="eastAsia" w:ascii="宋体" w:hAnsi="宋体" w:eastAsia="宋体" w:cs="宋体"/>
          <w:b/>
          <w:bCs/>
          <w:sz w:val="28"/>
          <w:szCs w:val="28"/>
        </w:rPr>
        <w:t>没有重大违法记录承诺函</w:t>
      </w:r>
    </w:p>
    <w:p>
      <w:pPr>
        <w:spacing w:line="375" w:lineRule="exact"/>
        <w:rPr>
          <w:rFonts w:ascii="宋体" w:hAnsi="宋体" w:eastAsia="宋体" w:cs="宋体"/>
          <w:sz w:val="20"/>
          <w:szCs w:val="20"/>
        </w:rPr>
      </w:pPr>
    </w:p>
    <w:p>
      <w:pPr>
        <w:widowControl/>
        <w:spacing w:line="360" w:lineRule="auto"/>
        <w:ind w:left="360" w:firstLine="210" w:firstLineChars="100"/>
        <w:rPr>
          <w:rFonts w:ascii="宋体" w:hAnsi="宋体" w:eastAsia="宋体" w:cs="宋体"/>
          <w:sz w:val="20"/>
          <w:szCs w:val="20"/>
        </w:rPr>
      </w:pPr>
      <w:r>
        <w:rPr>
          <w:rFonts w:hint="eastAsia" w:ascii="宋体" w:hAnsi="宋体" w:eastAsia="宋体" w:cs="宋体"/>
          <w:szCs w:val="21"/>
          <w:u w:val="single"/>
        </w:rPr>
        <w:t>（采购人）：</w:t>
      </w:r>
    </w:p>
    <w:p>
      <w:pPr>
        <w:widowControl/>
        <w:spacing w:line="360" w:lineRule="auto"/>
        <w:ind w:right="346" w:firstLine="630" w:firstLineChars="300"/>
        <w:rPr>
          <w:rFonts w:ascii="宋体" w:hAnsi="宋体" w:eastAsia="宋体" w:cs="宋体"/>
          <w:szCs w:val="21"/>
        </w:rPr>
      </w:pPr>
      <w:r>
        <w:rPr>
          <w:rFonts w:hint="eastAsia" w:ascii="宋体" w:hAnsi="宋体" w:eastAsia="宋体" w:cs="宋体"/>
          <w:szCs w:val="21"/>
        </w:rPr>
        <w:t>我方</w:t>
      </w:r>
      <w:r>
        <w:rPr>
          <w:rFonts w:hint="eastAsia" w:ascii="宋体" w:hAnsi="宋体" w:eastAsia="宋体" w:cs="宋体"/>
          <w:szCs w:val="21"/>
          <w:u w:val="single"/>
        </w:rPr>
        <w:t>（供应商）</w:t>
      </w:r>
      <w:r>
        <w:rPr>
          <w:rFonts w:hint="eastAsia" w:ascii="宋体" w:hAnsi="宋体" w:eastAsia="宋体" w:cs="宋体"/>
          <w:szCs w:val="21"/>
        </w:rPr>
        <w:t>具有良好的商业信誉，依法缴纳税收和社会保障资金，未被列入失信被执行人名单、重大税收违法案件当事人名单、政府采购严重违法失信行为记录名单，在参加政府采购活动前三年内没有重大违法记录（重大违法记录是指因违法经营受到刑事处罚、没有被责令停产停业、被吊销许可证或者执照、被处以较大数额罚款等行政处罚），没有因违法经营被禁止参加政府采购活动的期限未满情形。如有虚假，采购人可取消我方任何资格（投标/中标/签订合同），我方对此无任何异议。</w:t>
      </w:r>
    </w:p>
    <w:p>
      <w:pPr>
        <w:widowControl/>
        <w:spacing w:line="360" w:lineRule="auto"/>
        <w:ind w:right="346" w:firstLine="630" w:firstLineChars="300"/>
        <w:rPr>
          <w:rFonts w:ascii="宋体" w:hAnsi="宋体" w:eastAsia="宋体" w:cs="宋体"/>
          <w:szCs w:val="21"/>
        </w:rPr>
      </w:pPr>
    </w:p>
    <w:p>
      <w:pPr>
        <w:widowControl/>
        <w:spacing w:line="360" w:lineRule="auto"/>
        <w:ind w:right="346" w:firstLine="630" w:firstLineChars="300"/>
        <w:rPr>
          <w:rFonts w:ascii="宋体" w:hAnsi="宋体" w:eastAsia="宋体" w:cs="宋体"/>
          <w:szCs w:val="21"/>
        </w:rPr>
      </w:pPr>
    </w:p>
    <w:p>
      <w:pPr>
        <w:widowControl/>
        <w:spacing w:line="360" w:lineRule="auto"/>
        <w:ind w:left="780"/>
        <w:rPr>
          <w:rFonts w:ascii="宋体" w:hAnsi="宋体" w:eastAsia="宋体" w:cs="宋体"/>
          <w:sz w:val="20"/>
          <w:szCs w:val="20"/>
        </w:rPr>
      </w:pPr>
      <w:r>
        <w:rPr>
          <w:rFonts w:hint="eastAsia" w:ascii="宋体" w:hAnsi="宋体" w:eastAsia="宋体" w:cs="宋体"/>
          <w:szCs w:val="21"/>
        </w:rPr>
        <w:t>特此承诺！</w:t>
      </w:r>
    </w:p>
    <w:p>
      <w:pPr>
        <w:widowControl/>
        <w:spacing w:line="360" w:lineRule="auto"/>
        <w:ind w:left="360"/>
        <w:rPr>
          <w:rFonts w:ascii="宋体" w:hAnsi="宋体" w:eastAsia="宋体" w:cs="宋体"/>
          <w:szCs w:val="21"/>
        </w:rPr>
      </w:pPr>
    </w:p>
    <w:p>
      <w:pPr>
        <w:widowControl/>
        <w:spacing w:line="360" w:lineRule="auto"/>
        <w:ind w:left="360"/>
        <w:rPr>
          <w:rFonts w:ascii="宋体" w:hAnsi="宋体" w:eastAsia="宋体" w:cs="宋体"/>
          <w:szCs w:val="21"/>
        </w:rPr>
      </w:pPr>
    </w:p>
    <w:p>
      <w:pPr>
        <w:widowControl/>
        <w:spacing w:line="360" w:lineRule="auto"/>
        <w:ind w:left="360"/>
        <w:rPr>
          <w:rFonts w:ascii="宋体" w:hAnsi="宋体" w:eastAsia="宋体" w:cs="宋体"/>
          <w:sz w:val="20"/>
          <w:szCs w:val="20"/>
        </w:rPr>
      </w:pPr>
      <w:r>
        <w:rPr>
          <w:rFonts w:hint="eastAsia" w:ascii="宋体" w:hAnsi="宋体" w:eastAsia="宋体" w:cs="宋体"/>
          <w:szCs w:val="21"/>
        </w:rPr>
        <w:t>供应商全称（盖单位公章）：</w:t>
      </w:r>
    </w:p>
    <w:p>
      <w:pPr>
        <w:widowControl/>
        <w:spacing w:line="360" w:lineRule="auto"/>
        <w:ind w:left="360"/>
        <w:rPr>
          <w:rFonts w:ascii="宋体" w:hAnsi="宋体" w:eastAsia="宋体" w:cs="宋体"/>
          <w:sz w:val="20"/>
          <w:szCs w:val="20"/>
        </w:rPr>
      </w:pPr>
      <w:r>
        <w:rPr>
          <w:rFonts w:hint="eastAsia" w:ascii="宋体" w:hAnsi="宋体" w:eastAsia="宋体" w:cs="宋体"/>
          <w:szCs w:val="21"/>
        </w:rPr>
        <w:t>投标文件签署人（签字或盖章）：</w:t>
      </w:r>
    </w:p>
    <w:p>
      <w:pPr>
        <w:widowControl/>
        <w:spacing w:line="360" w:lineRule="auto"/>
        <w:ind w:left="360"/>
        <w:rPr>
          <w:rFonts w:ascii="宋体" w:hAnsi="宋体" w:eastAsia="宋体" w:cs="宋体"/>
          <w:sz w:val="20"/>
          <w:szCs w:val="20"/>
        </w:rPr>
      </w:pPr>
      <w:r>
        <w:rPr>
          <w:rFonts w:hint="eastAsia" w:ascii="宋体" w:hAnsi="宋体" w:eastAsia="宋体" w:cs="宋体"/>
          <w:szCs w:val="21"/>
        </w:rPr>
        <w:t>日期：</w:t>
      </w:r>
    </w:p>
    <w:p>
      <w:pPr>
        <w:pStyle w:val="16"/>
        <w:spacing w:before="0" w:beforeAutospacing="0" w:after="0" w:afterAutospacing="0" w:line="360" w:lineRule="auto"/>
        <w:ind w:left="420" w:leftChars="200"/>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pStyle w:val="16"/>
        <w:spacing w:before="0" w:beforeAutospacing="0" w:after="0" w:afterAutospacing="0" w:line="360" w:lineRule="auto"/>
        <w:rPr>
          <w:rFonts w:ascii="宋体" w:hAnsi="宋体" w:eastAsia="宋体" w:cs="宋体"/>
          <w:b/>
          <w:bCs/>
          <w:sz w:val="21"/>
          <w:szCs w:val="21"/>
        </w:rPr>
      </w:pPr>
    </w:p>
    <w:p>
      <w:pPr>
        <w:spacing w:line="360" w:lineRule="auto"/>
        <w:jc w:val="center"/>
        <w:rPr>
          <w:rFonts w:ascii="宋体" w:hAnsi="宋体" w:eastAsia="宋体" w:cs="宋体"/>
          <w:b/>
          <w:bCs/>
          <w:sz w:val="32"/>
          <w:szCs w:val="32"/>
        </w:rPr>
      </w:pPr>
      <w:r>
        <w:rPr>
          <w:rFonts w:hint="eastAsia" w:ascii="宋体" w:hAnsi="宋体" w:eastAsia="宋体" w:cs="宋体"/>
          <w:b/>
          <w:bCs/>
          <w:sz w:val="32"/>
          <w:szCs w:val="32"/>
        </w:rPr>
        <w:t>声明函</w:t>
      </w:r>
    </w:p>
    <w:p>
      <w:pPr>
        <w:spacing w:line="360" w:lineRule="auto"/>
        <w:rPr>
          <w:rFonts w:ascii="宋体" w:hAnsi="宋体" w:eastAsia="宋体" w:cs="宋体"/>
          <w:szCs w:val="21"/>
          <w:u w:val="single"/>
        </w:rPr>
      </w:pPr>
      <w:r>
        <w:rPr>
          <w:rFonts w:hint="eastAsia" w:ascii="宋体" w:hAnsi="宋体" w:eastAsia="宋体" w:cs="宋体"/>
          <w:szCs w:val="21"/>
          <w:u w:val="single"/>
        </w:rPr>
        <w:t>（采购人）：</w:t>
      </w:r>
    </w:p>
    <w:p>
      <w:pPr>
        <w:spacing w:line="360" w:lineRule="auto"/>
        <w:ind w:firstLine="420" w:firstLineChars="200"/>
        <w:rPr>
          <w:rFonts w:ascii="宋体" w:hAnsi="宋体" w:eastAsia="宋体" w:cs="宋体"/>
          <w:szCs w:val="21"/>
        </w:rPr>
      </w:pPr>
      <w:r>
        <w:rPr>
          <w:rFonts w:hint="eastAsia" w:ascii="宋体" w:hAnsi="宋体" w:eastAsia="宋体" w:cs="宋体"/>
          <w:szCs w:val="21"/>
        </w:rPr>
        <w:t>我方</w:t>
      </w:r>
      <w:r>
        <w:rPr>
          <w:rFonts w:hint="eastAsia" w:ascii="宋体" w:hAnsi="宋体" w:eastAsia="宋体" w:cs="宋体"/>
          <w:szCs w:val="21"/>
          <w:u w:val="single"/>
        </w:rPr>
        <w:t>（供应商）</w:t>
      </w:r>
      <w:r>
        <w:rPr>
          <w:rFonts w:hint="eastAsia" w:ascii="宋体" w:hAnsi="宋体" w:eastAsia="宋体" w:cs="宋体"/>
          <w:szCs w:val="21"/>
        </w:rPr>
        <w:t>在参加采购活动前三年内，具有良好的商业信誉，依法缴纳税收和社会保障资金，</w:t>
      </w:r>
      <w:r>
        <w:rPr>
          <w:rFonts w:hint="eastAsia" w:ascii="宋体" w:hAnsi="宋体" w:eastAsia="宋体" w:cs="宋体"/>
          <w:kern w:val="0"/>
          <w:szCs w:val="21"/>
        </w:rPr>
        <w:t>未被列入失信被执行人名单、重大税收违法案件当事人名单、政府采购严重违法失信行为记录名单，</w:t>
      </w:r>
      <w:r>
        <w:rPr>
          <w:rFonts w:hint="eastAsia" w:ascii="宋体" w:hAnsi="宋体" w:eastAsia="宋体" w:cs="宋体"/>
          <w:szCs w:val="21"/>
        </w:rPr>
        <w:t>在经营活动中没有重大违法记录（没有因违法经营受到刑事处罚，没有被责令停产停业、被吊销许可证或者执照、被处以较大数额罚款等行政处罚，没有因违法经营被禁止参加政府采购活动的期限未满情形）</w:t>
      </w:r>
      <w:r>
        <w:rPr>
          <w:rFonts w:hint="eastAsia" w:ascii="宋体" w:hAnsi="宋体" w:eastAsia="宋体" w:cs="宋体"/>
          <w:kern w:val="0"/>
          <w:szCs w:val="21"/>
        </w:rPr>
        <w:t>。如有虚假，采购人可取消我方任何资格（投标/中标/签订合同），我方对此无任何异议。</w:t>
      </w:r>
    </w:p>
    <w:p>
      <w:pPr>
        <w:spacing w:line="360" w:lineRule="auto"/>
        <w:ind w:firstLine="420" w:firstLineChars="200"/>
        <w:rPr>
          <w:rFonts w:ascii="宋体" w:hAnsi="宋体" w:eastAsia="宋体" w:cs="宋体"/>
          <w:szCs w:val="21"/>
        </w:rPr>
      </w:pPr>
      <w:r>
        <w:rPr>
          <w:rFonts w:hint="eastAsia" w:ascii="宋体" w:hAnsi="宋体" w:eastAsia="宋体" w:cs="宋体"/>
          <w:szCs w:val="21"/>
        </w:rPr>
        <w:t>特此声明！</w:t>
      </w:r>
    </w:p>
    <w:p>
      <w:pPr>
        <w:spacing w:line="360" w:lineRule="auto"/>
        <w:rPr>
          <w:rFonts w:ascii="宋体" w:hAnsi="宋体" w:eastAsia="宋体" w:cs="宋体"/>
        </w:rPr>
      </w:pPr>
    </w:p>
    <w:p>
      <w:pPr>
        <w:spacing w:line="360" w:lineRule="auto"/>
        <w:rPr>
          <w:rFonts w:ascii="宋体" w:hAnsi="宋体" w:eastAsia="宋体" w:cs="宋体"/>
          <w:spacing w:val="20"/>
          <w:u w:val="single"/>
        </w:rPr>
      </w:pPr>
      <w:r>
        <w:rPr>
          <w:rFonts w:hint="eastAsia" w:ascii="宋体" w:hAnsi="宋体" w:eastAsia="宋体" w:cs="宋体"/>
        </w:rPr>
        <w:t>投标人全称（盖单位公章）：</w:t>
      </w:r>
    </w:p>
    <w:p>
      <w:pPr>
        <w:spacing w:line="360" w:lineRule="auto"/>
        <w:rPr>
          <w:rFonts w:ascii="宋体" w:hAnsi="宋体" w:eastAsia="宋体" w:cs="宋体"/>
          <w:spacing w:val="20"/>
          <w:u w:val="single"/>
        </w:rPr>
      </w:pPr>
      <w:r>
        <w:rPr>
          <w:rFonts w:hint="eastAsia" w:ascii="宋体" w:hAnsi="宋体" w:eastAsia="宋体" w:cs="宋体"/>
        </w:rPr>
        <w:t>投标文件签署人（签字或盖章）：</w:t>
      </w:r>
    </w:p>
    <w:p>
      <w:pPr>
        <w:spacing w:line="360" w:lineRule="auto"/>
        <w:rPr>
          <w:rFonts w:ascii="宋体" w:hAnsi="宋体" w:eastAsia="宋体" w:cs="宋体"/>
          <w:spacing w:val="20"/>
        </w:rPr>
      </w:pPr>
      <w:r>
        <w:rPr>
          <w:rFonts w:hint="eastAsia" w:ascii="宋体" w:hAnsi="宋体" w:eastAsia="宋体" w:cs="宋体"/>
          <w:spacing w:val="20"/>
        </w:rPr>
        <w:t xml:space="preserve">日期：  </w:t>
      </w:r>
      <w:r>
        <w:rPr>
          <w:rFonts w:hint="eastAsia" w:ascii="宋体" w:hAnsi="宋体" w:eastAsia="宋体" w:cs="宋体"/>
        </w:rPr>
        <w:t>年  月  日</w:t>
      </w:r>
    </w:p>
    <w:p>
      <w:pPr>
        <w:pStyle w:val="16"/>
        <w:tabs>
          <w:tab w:val="left" w:pos="630"/>
          <w:tab w:val="left" w:pos="840"/>
          <w:tab w:val="left" w:pos="1050"/>
        </w:tabs>
        <w:spacing w:before="0" w:beforeAutospacing="0" w:after="0" w:afterAutospacing="0" w:line="360" w:lineRule="auto"/>
        <w:ind w:left="420"/>
        <w:rPr>
          <w:rFonts w:ascii="宋体" w:hAnsi="宋体" w:eastAsia="宋体" w:cs="宋体"/>
          <w:bCs/>
          <w:sz w:val="21"/>
          <w:szCs w:val="21"/>
        </w:rPr>
      </w:pPr>
      <w:r>
        <w:rPr>
          <w:rFonts w:hint="eastAsia" w:ascii="宋体" w:hAnsi="宋体" w:eastAsia="宋体" w:cs="宋体"/>
          <w:b/>
          <w:bCs/>
        </w:rPr>
        <w:br w:type="page"/>
      </w:r>
    </w:p>
    <w:p>
      <w:pPr>
        <w:pStyle w:val="10"/>
        <w:spacing w:line="264" w:lineRule="auto"/>
        <w:jc w:val="left"/>
        <w:rPr>
          <w:rFonts w:ascii="宋体" w:hAnsi="宋体" w:eastAsia="宋体" w:cs="宋体"/>
          <w:b/>
          <w:snapToGrid w:val="0"/>
          <w:kern w:val="0"/>
          <w:sz w:val="32"/>
          <w:szCs w:val="32"/>
        </w:rPr>
      </w:pPr>
    </w:p>
    <w:p>
      <w:pPr>
        <w:pStyle w:val="10"/>
        <w:spacing w:line="264" w:lineRule="auto"/>
        <w:jc w:val="left"/>
        <w:rPr>
          <w:rFonts w:ascii="宋体" w:hAnsi="宋体" w:eastAsia="宋体" w:cs="宋体"/>
          <w:b/>
          <w:snapToGrid w:val="0"/>
          <w:kern w:val="0"/>
          <w:sz w:val="32"/>
          <w:szCs w:val="32"/>
        </w:rPr>
      </w:pPr>
      <w:r>
        <w:rPr>
          <w:rFonts w:hint="eastAsia" w:ascii="宋体" w:hAnsi="宋体" w:eastAsia="宋体" w:cs="宋体"/>
          <w:b/>
          <w:snapToGrid w:val="0"/>
          <w:kern w:val="0"/>
          <w:sz w:val="32"/>
          <w:szCs w:val="32"/>
        </w:rPr>
        <w:t>项目名称：</w:t>
      </w:r>
    </w:p>
    <w:p>
      <w:pPr>
        <w:pStyle w:val="10"/>
        <w:spacing w:line="264" w:lineRule="auto"/>
        <w:jc w:val="left"/>
        <w:rPr>
          <w:rFonts w:ascii="宋体" w:hAnsi="宋体" w:eastAsia="宋体" w:cs="宋体"/>
          <w:b/>
          <w:snapToGrid w:val="0"/>
          <w:kern w:val="0"/>
          <w:sz w:val="32"/>
          <w:szCs w:val="32"/>
        </w:rPr>
      </w:pPr>
      <w:r>
        <w:rPr>
          <w:rFonts w:hint="eastAsia" w:ascii="宋体" w:hAnsi="宋体" w:eastAsia="宋体" w:cs="宋体"/>
          <w:b/>
          <w:snapToGrid w:val="0"/>
          <w:kern w:val="0"/>
          <w:sz w:val="32"/>
          <w:szCs w:val="32"/>
        </w:rPr>
        <w:t>招标编号</w:t>
      </w:r>
    </w:p>
    <w:p>
      <w:pPr>
        <w:pStyle w:val="10"/>
        <w:spacing w:line="264" w:lineRule="auto"/>
        <w:jc w:val="center"/>
        <w:rPr>
          <w:rFonts w:ascii="宋体" w:hAnsi="宋体" w:eastAsia="宋体" w:cs="宋体"/>
          <w:b/>
          <w:sz w:val="84"/>
        </w:rPr>
      </w:pPr>
    </w:p>
    <w:p>
      <w:pPr>
        <w:pStyle w:val="10"/>
        <w:spacing w:line="264" w:lineRule="auto"/>
        <w:jc w:val="center"/>
        <w:rPr>
          <w:rFonts w:ascii="宋体" w:hAnsi="宋体" w:eastAsia="宋体" w:cs="宋体"/>
          <w:b/>
          <w:sz w:val="84"/>
        </w:rPr>
      </w:pPr>
    </w:p>
    <w:p>
      <w:pPr>
        <w:pStyle w:val="10"/>
        <w:spacing w:line="264" w:lineRule="auto"/>
        <w:jc w:val="center"/>
        <w:rPr>
          <w:rFonts w:ascii="宋体" w:hAnsi="宋体" w:eastAsia="宋体" w:cs="宋体"/>
          <w:sz w:val="28"/>
        </w:rPr>
      </w:pPr>
      <w:r>
        <w:rPr>
          <w:rFonts w:hint="eastAsia" w:ascii="宋体" w:hAnsi="宋体" w:eastAsia="宋体" w:cs="宋体"/>
          <w:b/>
          <w:sz w:val="84"/>
        </w:rPr>
        <w:t>投 标 文 件</w:t>
      </w:r>
    </w:p>
    <w:p>
      <w:pPr>
        <w:pStyle w:val="10"/>
        <w:spacing w:line="264" w:lineRule="auto"/>
        <w:jc w:val="center"/>
        <w:rPr>
          <w:rFonts w:ascii="宋体" w:hAnsi="宋体" w:eastAsia="宋体" w:cs="宋体"/>
          <w:sz w:val="72"/>
        </w:rPr>
      </w:pPr>
      <w:r>
        <w:rPr>
          <w:rFonts w:hint="eastAsia" w:ascii="宋体" w:hAnsi="宋体" w:eastAsia="宋体" w:cs="宋体"/>
          <w:sz w:val="72"/>
        </w:rPr>
        <w:t>（</w:t>
      </w:r>
      <w:r>
        <w:rPr>
          <w:rFonts w:hint="eastAsia" w:ascii="宋体" w:hAnsi="宋体" w:eastAsia="宋体" w:cs="宋体"/>
          <w:sz w:val="72"/>
          <w:u w:val="single"/>
        </w:rPr>
        <w:t>资信及技术文件</w:t>
      </w:r>
      <w:r>
        <w:rPr>
          <w:rFonts w:hint="eastAsia" w:ascii="宋体" w:hAnsi="宋体" w:eastAsia="宋体" w:cs="宋体"/>
          <w:sz w:val="72"/>
        </w:rPr>
        <w:t>）</w:t>
      </w:r>
    </w:p>
    <w:p>
      <w:pPr>
        <w:pStyle w:val="10"/>
        <w:spacing w:line="264" w:lineRule="auto"/>
        <w:jc w:val="center"/>
        <w:rPr>
          <w:rFonts w:ascii="宋体" w:hAnsi="宋体" w:eastAsia="宋体" w:cs="宋体"/>
          <w:sz w:val="72"/>
        </w:rPr>
      </w:pPr>
    </w:p>
    <w:p>
      <w:pPr>
        <w:pStyle w:val="10"/>
        <w:spacing w:line="264" w:lineRule="auto"/>
        <w:jc w:val="center"/>
        <w:rPr>
          <w:rFonts w:ascii="宋体" w:hAnsi="宋体" w:eastAsia="宋体" w:cs="宋体"/>
          <w:sz w:val="72"/>
        </w:rPr>
      </w:pPr>
    </w:p>
    <w:p>
      <w:pPr>
        <w:pStyle w:val="10"/>
        <w:spacing w:before="240" w:after="240"/>
        <w:ind w:left="630"/>
        <w:jc w:val="left"/>
        <w:rPr>
          <w:rFonts w:ascii="宋体" w:hAnsi="宋体" w:eastAsia="宋体" w:cs="宋体"/>
          <w:sz w:val="30"/>
        </w:rPr>
      </w:pPr>
    </w:p>
    <w:p>
      <w:pPr>
        <w:pStyle w:val="10"/>
        <w:spacing w:before="240" w:after="240"/>
        <w:ind w:left="630"/>
        <w:jc w:val="left"/>
        <w:rPr>
          <w:rFonts w:ascii="宋体" w:hAnsi="宋体" w:eastAsia="宋体" w:cs="宋体"/>
          <w:sz w:val="30"/>
        </w:rPr>
      </w:pPr>
      <w:r>
        <w:rPr>
          <w:rFonts w:hint="eastAsia" w:ascii="宋体" w:hAnsi="宋体" w:eastAsia="宋体" w:cs="宋体"/>
          <w:sz w:val="30"/>
        </w:rPr>
        <w:t>投   标   人:</w:t>
      </w:r>
      <w:r>
        <w:rPr>
          <w:rFonts w:hint="eastAsia" w:ascii="宋体" w:hAnsi="宋体" w:eastAsia="宋体" w:cs="宋体"/>
          <w:sz w:val="30"/>
          <w:u w:val="single"/>
        </w:rPr>
        <w:t xml:space="preserve">          （盖投标人单位公章）           </w:t>
      </w:r>
    </w:p>
    <w:p>
      <w:pPr>
        <w:pStyle w:val="10"/>
        <w:spacing w:before="240" w:after="240"/>
        <w:ind w:left="630"/>
        <w:rPr>
          <w:rFonts w:ascii="宋体" w:hAnsi="宋体" w:eastAsia="宋体" w:cs="宋体"/>
          <w:sz w:val="30"/>
        </w:rPr>
      </w:pPr>
      <w:r>
        <w:rPr>
          <w:rFonts w:hint="eastAsia" w:ascii="宋体" w:hAnsi="宋体" w:eastAsia="宋体" w:cs="宋体"/>
          <w:sz w:val="30"/>
        </w:rPr>
        <w:t>法定代表人或其委托代理人：</w:t>
      </w:r>
      <w:r>
        <w:rPr>
          <w:rFonts w:hint="eastAsia" w:ascii="宋体" w:hAnsi="宋体" w:eastAsia="宋体" w:cs="宋体"/>
          <w:sz w:val="30"/>
          <w:u w:val="single"/>
        </w:rPr>
        <w:t xml:space="preserve">   （签字或盖章）</w:t>
      </w:r>
    </w:p>
    <w:p>
      <w:pPr>
        <w:pStyle w:val="10"/>
        <w:spacing w:before="240" w:after="240"/>
        <w:ind w:left="630"/>
        <w:rPr>
          <w:rFonts w:ascii="宋体" w:hAnsi="宋体" w:eastAsia="宋体" w:cs="宋体"/>
          <w:sz w:val="30"/>
        </w:rPr>
      </w:pPr>
      <w:r>
        <w:rPr>
          <w:rFonts w:hint="eastAsia" w:ascii="宋体" w:hAnsi="宋体" w:eastAsia="宋体" w:cs="宋体"/>
          <w:sz w:val="30"/>
        </w:rPr>
        <w:t>日期：__________年_____月_____日</w:t>
      </w:r>
    </w:p>
    <w:p>
      <w:pPr>
        <w:pStyle w:val="10"/>
        <w:spacing w:before="240" w:after="240"/>
        <w:ind w:left="630"/>
        <w:rPr>
          <w:rFonts w:ascii="宋体" w:hAnsi="宋体" w:eastAsia="宋体" w:cs="宋体"/>
          <w:sz w:val="30"/>
        </w:rPr>
      </w:pPr>
    </w:p>
    <w:p>
      <w:pPr>
        <w:pStyle w:val="10"/>
        <w:spacing w:before="240" w:after="240"/>
        <w:ind w:left="630"/>
        <w:rPr>
          <w:rFonts w:ascii="宋体" w:hAnsi="宋体" w:eastAsia="宋体" w:cs="宋体"/>
          <w:sz w:val="30"/>
        </w:rPr>
      </w:pPr>
    </w:p>
    <w:p>
      <w:pPr>
        <w:pStyle w:val="10"/>
        <w:spacing w:before="240" w:after="240"/>
        <w:ind w:left="630"/>
        <w:rPr>
          <w:rFonts w:ascii="宋体" w:hAnsi="宋体" w:eastAsia="宋体" w:cs="宋体"/>
          <w:sz w:val="30"/>
        </w:rPr>
      </w:pPr>
    </w:p>
    <w:p>
      <w:pPr>
        <w:pStyle w:val="10"/>
        <w:tabs>
          <w:tab w:val="left" w:pos="285"/>
          <w:tab w:val="center" w:pos="4320"/>
        </w:tabs>
        <w:spacing w:beforeLines="50" w:afterLines="50"/>
        <w:jc w:val="center"/>
        <w:outlineLvl w:val="1"/>
        <w:rPr>
          <w:rFonts w:ascii="宋体" w:hAnsi="宋体" w:eastAsia="宋体" w:cs="宋体"/>
          <w:b/>
          <w:bCs/>
        </w:rPr>
      </w:pPr>
      <w:r>
        <w:rPr>
          <w:rFonts w:hint="eastAsia" w:ascii="宋体" w:hAnsi="宋体" w:eastAsia="宋体" w:cs="宋体"/>
          <w:b/>
          <w:bCs/>
        </w:rPr>
        <w:br w:type="page"/>
      </w:r>
      <w:bookmarkStart w:id="795" w:name="_Toc532"/>
      <w:r>
        <w:rPr>
          <w:rFonts w:hint="eastAsia" w:ascii="宋体" w:hAnsi="宋体" w:eastAsia="宋体" w:cs="宋体"/>
          <w:b/>
          <w:bCs/>
          <w:sz w:val="28"/>
          <w:szCs w:val="28"/>
        </w:rPr>
        <w:t>资信及技术文件</w:t>
      </w:r>
      <w:bookmarkEnd w:id="787"/>
      <w:bookmarkEnd w:id="795"/>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资信文件：</w:t>
      </w:r>
    </w:p>
    <w:p>
      <w:pPr>
        <w:numPr>
          <w:ilvl w:val="0"/>
          <w:numId w:val="5"/>
        </w:num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资信技术标评分索引表；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（2）法定代表人资格证明书或附有法定代表人资格证明书的法定代表人授权书；</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（3）</w:t>
      </w:r>
      <w:r>
        <w:rPr>
          <w:rFonts w:hint="eastAsia" w:ascii="宋体" w:hAnsi="宋体" w:eastAsia="宋体" w:cs="宋体"/>
        </w:rPr>
        <w:t>提供有效的经营执照复印件并加盖公司公章；（按照资格条件要求提供，如有）；</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rPr>
        <w:t>（4）廉政承诺书</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（5）公司基本情况介绍；</w:t>
      </w:r>
    </w:p>
    <w:p>
      <w:pPr>
        <w:spacing w:line="360" w:lineRule="auto"/>
        <w:ind w:firstLine="420" w:firstLineChars="200"/>
        <w:jc w:val="left"/>
        <w:rPr>
          <w:rFonts w:ascii="宋体" w:hAnsi="宋体" w:eastAsia="宋体" w:cs="宋体"/>
        </w:rPr>
      </w:pPr>
      <w:r>
        <w:rPr>
          <w:rFonts w:hint="eastAsia" w:ascii="宋体" w:hAnsi="宋体" w:eastAsia="宋体" w:cs="宋体"/>
          <w:snapToGrid w:val="0"/>
          <w:kern w:val="0"/>
          <w:szCs w:val="21"/>
        </w:rPr>
        <w:t>（6）投标声明书；</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（7）供应商类似工程业绩；</w:t>
      </w:r>
    </w:p>
    <w:p>
      <w:pPr>
        <w:spacing w:line="360" w:lineRule="auto"/>
        <w:ind w:firstLine="420" w:firstLineChars="200"/>
        <w:jc w:val="left"/>
        <w:rPr>
          <w:rFonts w:ascii="宋体" w:hAnsi="宋体" w:eastAsia="宋体" w:cs="宋体"/>
          <w:snapToGrid w:val="0"/>
          <w:kern w:val="0"/>
          <w:szCs w:val="21"/>
        </w:rPr>
      </w:pP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技术文件：</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（1）施工方案；</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（2）主要设备、材料品牌选择情况（</w:t>
      </w:r>
      <w:r>
        <w:rPr>
          <w:rFonts w:hint="eastAsia" w:ascii="宋体" w:hAnsi="宋体" w:eastAsia="宋体" w:cs="宋体"/>
          <w:b/>
          <w:bCs/>
          <w:snapToGrid w:val="0"/>
          <w:kern w:val="0"/>
          <w:szCs w:val="21"/>
        </w:rPr>
        <w:t>需</w:t>
      </w:r>
      <w:r>
        <w:rPr>
          <w:rFonts w:hint="eastAsia" w:ascii="宋体" w:hAnsi="宋体" w:eastAsia="宋体" w:cs="宋体"/>
          <w:b/>
          <w:bCs/>
        </w:rPr>
        <w:t>明确品牌、规格、型号</w:t>
      </w:r>
      <w:r>
        <w:rPr>
          <w:rFonts w:hint="eastAsia" w:ascii="宋体" w:hAnsi="宋体" w:eastAsia="宋体" w:cs="宋体"/>
          <w:snapToGrid w:val="0"/>
          <w:kern w:val="0"/>
          <w:szCs w:val="21"/>
        </w:rPr>
        <w:t>）</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（3）质量保证措施；</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（4）施工机具和检验仪器的投入；</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（5）工期承诺、进度控制措施及施工质量控制措施；</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（6）投入本项目的工程技术管理人员的专业配置情况；</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（7）关键工序、复杂环节的相应技术措施；</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（8）安全文明施工保证措施；</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（9）材料设备进场计划及施工计划情况；</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（10）合理化建议及售后服务；</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（11）招标文件要求提供的相关检测报告、证明材料等材料；（应列出清单并备注页码，检测报告、相关证明材料等应提供复印件加盖投标人公章，要求清晰无缺漏。原件备查）</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（12）供应商认为需要提供的资料。</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采用文字表述外可附下列图表，图表及格式要求附后，没有图表的可格式自拟。</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附表一  拟投入的主要施工设备表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附表二  拟配备的试验和检测仪器设备表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附表三  项目管理班子配备情况表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附表四、项目经理简历表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附表五、技术负责人简历表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附表六、劳动力计划表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附表七、计划开、竣工日期和施工进度网络图或横道图</w:t>
      </w:r>
    </w:p>
    <w:p>
      <w:pPr>
        <w:spacing w:line="360" w:lineRule="auto"/>
        <w:jc w:val="center"/>
        <w:rPr>
          <w:rFonts w:ascii="宋体" w:hAnsi="宋体" w:eastAsia="宋体" w:cs="宋体"/>
          <w:b/>
          <w:bCs/>
          <w:snapToGrid w:val="0"/>
          <w:kern w:val="0"/>
          <w:sz w:val="24"/>
        </w:rPr>
      </w:pPr>
      <w:r>
        <w:rPr>
          <w:rFonts w:hint="eastAsia" w:ascii="宋体" w:hAnsi="宋体" w:eastAsia="宋体" w:cs="宋体"/>
          <w:snapToGrid w:val="0"/>
          <w:kern w:val="0"/>
          <w:szCs w:val="21"/>
        </w:rPr>
        <w:br w:type="page"/>
      </w:r>
      <w:r>
        <w:rPr>
          <w:rFonts w:hint="eastAsia" w:ascii="宋体" w:hAnsi="宋体" w:eastAsia="宋体" w:cs="宋体"/>
          <w:snapToGrid w:val="0"/>
          <w:kern w:val="0"/>
          <w:sz w:val="32"/>
          <w:szCs w:val="32"/>
        </w:rPr>
        <w:t>一、</w:t>
      </w:r>
      <w:r>
        <w:rPr>
          <w:rFonts w:hint="eastAsia" w:ascii="宋体" w:hAnsi="宋体" w:eastAsia="宋体" w:cs="宋体"/>
          <w:b/>
          <w:bCs/>
          <w:snapToGrid w:val="0"/>
          <w:kern w:val="0"/>
          <w:sz w:val="32"/>
          <w:szCs w:val="32"/>
        </w:rPr>
        <w:t>索  引</w:t>
      </w:r>
    </w:p>
    <w:p>
      <w:pPr>
        <w:rPr>
          <w:rFonts w:ascii="宋体" w:hAnsi="宋体" w:eastAsia="宋体" w:cs="宋体"/>
        </w:rPr>
      </w:pPr>
    </w:p>
    <w:tbl>
      <w:tblPr>
        <w:tblStyle w:val="1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7"/>
        <w:gridCol w:w="943"/>
        <w:gridCol w:w="5814"/>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727" w:type="dxa"/>
            <w:vAlign w:val="center"/>
          </w:tcPr>
          <w:p>
            <w:pPr>
              <w:jc w:val="center"/>
              <w:rPr>
                <w:rFonts w:ascii="宋体" w:hAnsi="宋体" w:eastAsia="宋体" w:cs="宋体"/>
                <w:spacing w:val="-6"/>
                <w:szCs w:val="21"/>
              </w:rPr>
            </w:pPr>
            <w:r>
              <w:rPr>
                <w:rFonts w:hint="eastAsia" w:ascii="宋体" w:hAnsi="宋体" w:eastAsia="宋体" w:cs="宋体"/>
                <w:b/>
                <w:spacing w:val="-6"/>
                <w:sz w:val="24"/>
              </w:rPr>
              <w:t>评审因素</w:t>
            </w:r>
          </w:p>
        </w:tc>
        <w:tc>
          <w:tcPr>
            <w:tcW w:w="943" w:type="dxa"/>
            <w:vAlign w:val="center"/>
          </w:tcPr>
          <w:p>
            <w:pPr>
              <w:jc w:val="center"/>
              <w:rPr>
                <w:rFonts w:ascii="宋体" w:hAnsi="宋体" w:eastAsia="宋体" w:cs="宋体"/>
                <w:spacing w:val="-6"/>
                <w:szCs w:val="21"/>
              </w:rPr>
            </w:pPr>
            <w:r>
              <w:rPr>
                <w:rFonts w:hint="eastAsia" w:ascii="宋体" w:hAnsi="宋体" w:eastAsia="宋体" w:cs="宋体"/>
                <w:b/>
                <w:spacing w:val="-6"/>
                <w:sz w:val="24"/>
              </w:rPr>
              <w:t>分值</w:t>
            </w:r>
          </w:p>
        </w:tc>
        <w:tc>
          <w:tcPr>
            <w:tcW w:w="5814" w:type="dxa"/>
            <w:vAlign w:val="center"/>
          </w:tcPr>
          <w:p>
            <w:pPr>
              <w:jc w:val="center"/>
              <w:rPr>
                <w:rFonts w:ascii="宋体" w:hAnsi="宋体" w:eastAsia="宋体" w:cs="宋体"/>
                <w:szCs w:val="21"/>
              </w:rPr>
            </w:pPr>
            <w:r>
              <w:rPr>
                <w:rFonts w:hint="eastAsia" w:ascii="宋体" w:hAnsi="宋体" w:eastAsia="宋体" w:cs="宋体"/>
                <w:b/>
                <w:spacing w:val="-6"/>
                <w:sz w:val="24"/>
              </w:rPr>
              <w:t>评分细则</w:t>
            </w:r>
          </w:p>
        </w:tc>
        <w:tc>
          <w:tcPr>
            <w:tcW w:w="756" w:type="dxa"/>
            <w:vAlign w:val="center"/>
          </w:tcPr>
          <w:p>
            <w:pPr>
              <w:jc w:val="left"/>
              <w:rPr>
                <w:rFonts w:ascii="宋体" w:hAnsi="宋体" w:eastAsia="宋体" w:cs="宋体"/>
                <w:szCs w:val="21"/>
              </w:rPr>
            </w:pPr>
            <w:r>
              <w:rPr>
                <w:rFonts w:hint="eastAsia" w:ascii="宋体" w:hAnsi="宋体" w:eastAsia="宋体" w:cs="宋体"/>
                <w:szCs w:val="21"/>
              </w:rPr>
              <w:t>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727" w:type="dxa"/>
            <w:vMerge w:val="restart"/>
            <w:vAlign w:val="center"/>
          </w:tcPr>
          <w:p>
            <w:pPr>
              <w:spacing w:line="360" w:lineRule="auto"/>
              <w:jc w:val="center"/>
              <w:rPr>
                <w:rFonts w:ascii="宋体" w:hAnsi="宋体" w:eastAsia="宋体" w:cs="宋体"/>
                <w:kern w:val="0"/>
                <w:szCs w:val="21"/>
              </w:rPr>
            </w:pPr>
          </w:p>
        </w:tc>
        <w:tc>
          <w:tcPr>
            <w:tcW w:w="943" w:type="dxa"/>
            <w:vAlign w:val="center"/>
          </w:tcPr>
          <w:p>
            <w:pPr>
              <w:spacing w:line="360" w:lineRule="auto"/>
              <w:jc w:val="center"/>
              <w:rPr>
                <w:rFonts w:ascii="宋体" w:hAnsi="宋体" w:eastAsia="宋体" w:cs="宋体"/>
                <w:spacing w:val="-6"/>
                <w:szCs w:val="21"/>
              </w:rPr>
            </w:pPr>
          </w:p>
        </w:tc>
        <w:tc>
          <w:tcPr>
            <w:tcW w:w="5814" w:type="dxa"/>
            <w:vAlign w:val="center"/>
          </w:tcPr>
          <w:p>
            <w:pPr>
              <w:pStyle w:val="32"/>
              <w:rPr>
                <w:rFonts w:ascii="宋体" w:hAnsi="宋体" w:eastAsia="宋体" w:cs="宋体"/>
                <w:sz w:val="21"/>
                <w:szCs w:val="21"/>
              </w:rPr>
            </w:pPr>
          </w:p>
        </w:tc>
        <w:tc>
          <w:tcPr>
            <w:tcW w:w="756" w:type="dxa"/>
            <w:vAlign w:val="center"/>
          </w:tcPr>
          <w:p>
            <w:pPr>
              <w:pStyle w:val="32"/>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727" w:type="dxa"/>
            <w:vMerge w:val="continue"/>
            <w:vAlign w:val="center"/>
          </w:tcPr>
          <w:p>
            <w:pPr>
              <w:spacing w:line="360" w:lineRule="auto"/>
              <w:jc w:val="center"/>
              <w:rPr>
                <w:rFonts w:ascii="宋体" w:hAnsi="宋体" w:eastAsia="宋体" w:cs="宋体"/>
                <w:kern w:val="0"/>
                <w:szCs w:val="21"/>
              </w:rPr>
            </w:pPr>
          </w:p>
        </w:tc>
        <w:tc>
          <w:tcPr>
            <w:tcW w:w="943" w:type="dxa"/>
            <w:vAlign w:val="center"/>
          </w:tcPr>
          <w:p>
            <w:pPr>
              <w:spacing w:line="360" w:lineRule="auto"/>
              <w:jc w:val="center"/>
              <w:rPr>
                <w:rFonts w:ascii="宋体" w:hAnsi="宋体" w:eastAsia="宋体" w:cs="宋体"/>
                <w:spacing w:val="-6"/>
                <w:szCs w:val="21"/>
              </w:rPr>
            </w:pPr>
          </w:p>
        </w:tc>
        <w:tc>
          <w:tcPr>
            <w:tcW w:w="5814" w:type="dxa"/>
            <w:vAlign w:val="center"/>
          </w:tcPr>
          <w:p>
            <w:pPr>
              <w:pStyle w:val="32"/>
              <w:rPr>
                <w:rFonts w:ascii="宋体" w:hAnsi="宋体" w:eastAsia="宋体" w:cs="宋体"/>
                <w:sz w:val="21"/>
                <w:szCs w:val="21"/>
              </w:rPr>
            </w:pPr>
          </w:p>
        </w:tc>
        <w:tc>
          <w:tcPr>
            <w:tcW w:w="756" w:type="dxa"/>
            <w:vAlign w:val="center"/>
          </w:tcPr>
          <w:p>
            <w:pPr>
              <w:pStyle w:val="32"/>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727" w:type="dxa"/>
            <w:vAlign w:val="center"/>
          </w:tcPr>
          <w:p>
            <w:pPr>
              <w:spacing w:line="360" w:lineRule="auto"/>
              <w:jc w:val="center"/>
              <w:rPr>
                <w:rFonts w:ascii="宋体" w:hAnsi="宋体" w:eastAsia="宋体" w:cs="宋体"/>
                <w:kern w:val="0"/>
                <w:szCs w:val="21"/>
              </w:rPr>
            </w:pPr>
          </w:p>
        </w:tc>
        <w:tc>
          <w:tcPr>
            <w:tcW w:w="943" w:type="dxa"/>
            <w:vAlign w:val="center"/>
          </w:tcPr>
          <w:p>
            <w:pPr>
              <w:spacing w:line="360" w:lineRule="auto"/>
              <w:jc w:val="center"/>
              <w:rPr>
                <w:rFonts w:ascii="宋体" w:hAnsi="宋体" w:eastAsia="宋体" w:cs="宋体"/>
                <w:spacing w:val="-6"/>
                <w:szCs w:val="21"/>
              </w:rPr>
            </w:pPr>
          </w:p>
        </w:tc>
        <w:tc>
          <w:tcPr>
            <w:tcW w:w="5814" w:type="dxa"/>
            <w:vAlign w:val="center"/>
          </w:tcPr>
          <w:p>
            <w:pPr>
              <w:jc w:val="left"/>
              <w:rPr>
                <w:rFonts w:ascii="宋体" w:hAnsi="宋体" w:eastAsia="宋体" w:cs="宋体"/>
                <w:szCs w:val="21"/>
              </w:rPr>
            </w:pPr>
          </w:p>
        </w:tc>
        <w:tc>
          <w:tcPr>
            <w:tcW w:w="756" w:type="dxa"/>
            <w:vAlign w:val="center"/>
          </w:tcPr>
          <w:p>
            <w:pPr>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1727" w:type="dxa"/>
            <w:vAlign w:val="center"/>
          </w:tcPr>
          <w:p>
            <w:pPr>
              <w:jc w:val="center"/>
              <w:rPr>
                <w:rFonts w:ascii="宋体" w:hAnsi="宋体" w:eastAsia="宋体" w:cs="宋体"/>
                <w:spacing w:val="-6"/>
                <w:szCs w:val="21"/>
              </w:rPr>
            </w:pPr>
          </w:p>
        </w:tc>
        <w:tc>
          <w:tcPr>
            <w:tcW w:w="943" w:type="dxa"/>
            <w:vAlign w:val="center"/>
          </w:tcPr>
          <w:p>
            <w:pPr>
              <w:jc w:val="center"/>
              <w:rPr>
                <w:rFonts w:ascii="宋体" w:hAnsi="宋体" w:eastAsia="宋体" w:cs="宋体"/>
                <w:spacing w:val="-6"/>
                <w:szCs w:val="21"/>
              </w:rPr>
            </w:pPr>
          </w:p>
        </w:tc>
        <w:tc>
          <w:tcPr>
            <w:tcW w:w="5814" w:type="dxa"/>
            <w:vAlign w:val="center"/>
          </w:tcPr>
          <w:p>
            <w:pPr>
              <w:rPr>
                <w:rFonts w:ascii="宋体" w:hAnsi="宋体" w:eastAsia="宋体" w:cs="宋体"/>
                <w:spacing w:val="-6"/>
                <w:szCs w:val="21"/>
              </w:rPr>
            </w:pPr>
          </w:p>
        </w:tc>
        <w:tc>
          <w:tcPr>
            <w:tcW w:w="756" w:type="dxa"/>
            <w:vAlign w:val="center"/>
          </w:tcPr>
          <w:p>
            <w:pPr>
              <w:rPr>
                <w:rFonts w:ascii="宋体" w:hAnsi="宋体" w:eastAsia="宋体" w:cs="宋体"/>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jc w:val="center"/>
              <w:rPr>
                <w:rFonts w:ascii="宋体" w:hAnsi="宋体" w:eastAsia="宋体" w:cs="宋体"/>
                <w:spacing w:val="-6"/>
                <w:szCs w:val="21"/>
              </w:rPr>
            </w:pPr>
          </w:p>
        </w:tc>
        <w:tc>
          <w:tcPr>
            <w:tcW w:w="943" w:type="dxa"/>
            <w:vAlign w:val="center"/>
          </w:tcPr>
          <w:p>
            <w:pPr>
              <w:jc w:val="center"/>
              <w:rPr>
                <w:rFonts w:ascii="宋体" w:hAnsi="宋体" w:eastAsia="宋体" w:cs="宋体"/>
                <w:spacing w:val="-6"/>
                <w:szCs w:val="21"/>
              </w:rPr>
            </w:pPr>
          </w:p>
        </w:tc>
        <w:tc>
          <w:tcPr>
            <w:tcW w:w="5814" w:type="dxa"/>
            <w:vAlign w:val="center"/>
          </w:tcPr>
          <w:p>
            <w:pPr>
              <w:rPr>
                <w:rFonts w:ascii="宋体" w:hAnsi="宋体" w:eastAsia="宋体" w:cs="宋体"/>
                <w:spacing w:val="-6"/>
                <w:szCs w:val="21"/>
                <w:lang w:val="zh-CN"/>
              </w:rPr>
            </w:pPr>
          </w:p>
        </w:tc>
        <w:tc>
          <w:tcPr>
            <w:tcW w:w="756" w:type="dxa"/>
            <w:vAlign w:val="center"/>
          </w:tcPr>
          <w:p>
            <w:pPr>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jc w:val="center"/>
              <w:rPr>
                <w:rFonts w:ascii="宋体" w:hAnsi="宋体" w:eastAsia="宋体" w:cs="宋体"/>
                <w:szCs w:val="21"/>
              </w:rPr>
            </w:pPr>
          </w:p>
        </w:tc>
        <w:tc>
          <w:tcPr>
            <w:tcW w:w="943" w:type="dxa"/>
            <w:vAlign w:val="center"/>
          </w:tcPr>
          <w:p>
            <w:pPr>
              <w:jc w:val="center"/>
              <w:rPr>
                <w:rFonts w:ascii="宋体" w:hAnsi="宋体" w:eastAsia="宋体" w:cs="宋体"/>
                <w:spacing w:val="-6"/>
                <w:szCs w:val="21"/>
              </w:rPr>
            </w:pPr>
          </w:p>
        </w:tc>
        <w:tc>
          <w:tcPr>
            <w:tcW w:w="5814" w:type="dxa"/>
            <w:vAlign w:val="center"/>
          </w:tcPr>
          <w:p>
            <w:pPr>
              <w:rPr>
                <w:rFonts w:ascii="宋体" w:hAnsi="宋体" w:eastAsia="宋体" w:cs="宋体"/>
                <w:szCs w:val="21"/>
              </w:rPr>
            </w:pPr>
          </w:p>
        </w:tc>
        <w:tc>
          <w:tcPr>
            <w:tcW w:w="756" w:type="dxa"/>
            <w:vAlign w:val="center"/>
          </w:tcPr>
          <w:p>
            <w:pPr>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jc w:val="center"/>
              <w:rPr>
                <w:rFonts w:ascii="宋体" w:hAnsi="宋体" w:eastAsia="宋体" w:cs="宋体"/>
                <w:spacing w:val="-6"/>
                <w:szCs w:val="21"/>
              </w:rPr>
            </w:pPr>
          </w:p>
        </w:tc>
        <w:tc>
          <w:tcPr>
            <w:tcW w:w="943" w:type="dxa"/>
            <w:vAlign w:val="center"/>
          </w:tcPr>
          <w:p>
            <w:pPr>
              <w:jc w:val="center"/>
              <w:rPr>
                <w:rFonts w:ascii="宋体" w:hAnsi="宋体" w:eastAsia="宋体" w:cs="宋体"/>
                <w:spacing w:val="-6"/>
                <w:szCs w:val="21"/>
              </w:rPr>
            </w:pPr>
          </w:p>
        </w:tc>
        <w:tc>
          <w:tcPr>
            <w:tcW w:w="5814" w:type="dxa"/>
            <w:vAlign w:val="center"/>
          </w:tcPr>
          <w:p>
            <w:pPr>
              <w:rPr>
                <w:rFonts w:ascii="宋体" w:hAnsi="宋体" w:eastAsia="宋体" w:cs="宋体"/>
                <w:spacing w:val="-6"/>
                <w:szCs w:val="21"/>
              </w:rPr>
            </w:pPr>
          </w:p>
        </w:tc>
        <w:tc>
          <w:tcPr>
            <w:tcW w:w="756" w:type="dxa"/>
            <w:vAlign w:val="center"/>
          </w:tcPr>
          <w:p>
            <w:pPr>
              <w:rPr>
                <w:rFonts w:ascii="宋体" w:hAnsi="宋体" w:eastAsia="宋体" w:cs="宋体"/>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jc w:val="center"/>
              <w:rPr>
                <w:rFonts w:ascii="宋体" w:hAnsi="宋体" w:eastAsia="宋体" w:cs="宋体"/>
                <w:spacing w:val="-6"/>
                <w:szCs w:val="21"/>
              </w:rPr>
            </w:pPr>
          </w:p>
        </w:tc>
        <w:tc>
          <w:tcPr>
            <w:tcW w:w="943" w:type="dxa"/>
            <w:vAlign w:val="center"/>
          </w:tcPr>
          <w:p>
            <w:pPr>
              <w:jc w:val="center"/>
              <w:rPr>
                <w:rFonts w:ascii="宋体" w:hAnsi="宋体" w:eastAsia="宋体" w:cs="宋体"/>
                <w:spacing w:val="-6"/>
                <w:szCs w:val="21"/>
              </w:rPr>
            </w:pPr>
          </w:p>
        </w:tc>
        <w:tc>
          <w:tcPr>
            <w:tcW w:w="5814" w:type="dxa"/>
            <w:vAlign w:val="center"/>
          </w:tcPr>
          <w:p>
            <w:pPr>
              <w:rPr>
                <w:rFonts w:ascii="宋体" w:hAnsi="宋体" w:eastAsia="宋体" w:cs="宋体"/>
                <w:spacing w:val="-6"/>
                <w:szCs w:val="21"/>
              </w:rPr>
            </w:pPr>
          </w:p>
        </w:tc>
        <w:tc>
          <w:tcPr>
            <w:tcW w:w="756" w:type="dxa"/>
            <w:vAlign w:val="center"/>
          </w:tcPr>
          <w:p>
            <w:pPr>
              <w:rPr>
                <w:rFonts w:ascii="宋体" w:hAnsi="宋体" w:eastAsia="宋体" w:cs="宋体"/>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jc w:val="center"/>
              <w:rPr>
                <w:rFonts w:ascii="宋体" w:hAnsi="宋体" w:eastAsia="宋体" w:cs="宋体"/>
                <w:spacing w:val="-6"/>
                <w:szCs w:val="21"/>
              </w:rPr>
            </w:pPr>
          </w:p>
        </w:tc>
        <w:tc>
          <w:tcPr>
            <w:tcW w:w="943" w:type="dxa"/>
            <w:vAlign w:val="center"/>
          </w:tcPr>
          <w:p>
            <w:pPr>
              <w:jc w:val="center"/>
              <w:rPr>
                <w:rFonts w:ascii="宋体" w:hAnsi="宋体" w:eastAsia="宋体" w:cs="宋体"/>
                <w:spacing w:val="-6"/>
                <w:szCs w:val="21"/>
              </w:rPr>
            </w:pPr>
          </w:p>
        </w:tc>
        <w:tc>
          <w:tcPr>
            <w:tcW w:w="5814" w:type="dxa"/>
            <w:vAlign w:val="center"/>
          </w:tcPr>
          <w:p>
            <w:pPr>
              <w:rPr>
                <w:rFonts w:ascii="宋体" w:hAnsi="宋体" w:eastAsia="宋体" w:cs="宋体"/>
                <w:spacing w:val="-6"/>
                <w:szCs w:val="21"/>
              </w:rPr>
            </w:pPr>
          </w:p>
        </w:tc>
        <w:tc>
          <w:tcPr>
            <w:tcW w:w="756" w:type="dxa"/>
            <w:vAlign w:val="center"/>
          </w:tcPr>
          <w:p>
            <w:pPr>
              <w:rPr>
                <w:rFonts w:ascii="宋体" w:hAnsi="宋体" w:eastAsia="宋体" w:cs="宋体"/>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jc w:val="center"/>
              <w:rPr>
                <w:rFonts w:ascii="宋体" w:hAnsi="宋体" w:eastAsia="宋体" w:cs="宋体"/>
                <w:spacing w:val="-6"/>
                <w:szCs w:val="21"/>
              </w:rPr>
            </w:pPr>
          </w:p>
        </w:tc>
        <w:tc>
          <w:tcPr>
            <w:tcW w:w="943" w:type="dxa"/>
            <w:vAlign w:val="center"/>
          </w:tcPr>
          <w:p>
            <w:pPr>
              <w:jc w:val="center"/>
              <w:rPr>
                <w:rFonts w:ascii="宋体" w:hAnsi="宋体" w:eastAsia="宋体" w:cs="宋体"/>
                <w:spacing w:val="-6"/>
                <w:szCs w:val="21"/>
              </w:rPr>
            </w:pPr>
          </w:p>
        </w:tc>
        <w:tc>
          <w:tcPr>
            <w:tcW w:w="5814" w:type="dxa"/>
            <w:vAlign w:val="center"/>
          </w:tcPr>
          <w:p>
            <w:pPr>
              <w:rPr>
                <w:rFonts w:ascii="宋体" w:hAnsi="宋体" w:eastAsia="宋体" w:cs="宋体"/>
                <w:spacing w:val="-6"/>
                <w:szCs w:val="21"/>
              </w:rPr>
            </w:pPr>
          </w:p>
        </w:tc>
        <w:tc>
          <w:tcPr>
            <w:tcW w:w="756" w:type="dxa"/>
            <w:vAlign w:val="center"/>
          </w:tcPr>
          <w:p>
            <w:pPr>
              <w:rPr>
                <w:rFonts w:ascii="宋体" w:hAnsi="宋体" w:eastAsia="宋体" w:cs="宋体"/>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jc w:val="center"/>
              <w:rPr>
                <w:rFonts w:ascii="宋体" w:hAnsi="宋体" w:eastAsia="宋体" w:cs="宋体"/>
                <w:spacing w:val="-6"/>
                <w:szCs w:val="21"/>
              </w:rPr>
            </w:pPr>
          </w:p>
        </w:tc>
        <w:tc>
          <w:tcPr>
            <w:tcW w:w="943" w:type="dxa"/>
            <w:vAlign w:val="center"/>
          </w:tcPr>
          <w:p>
            <w:pPr>
              <w:jc w:val="center"/>
              <w:rPr>
                <w:rFonts w:ascii="宋体" w:hAnsi="宋体" w:eastAsia="宋体" w:cs="宋体"/>
                <w:spacing w:val="-6"/>
                <w:szCs w:val="21"/>
              </w:rPr>
            </w:pPr>
          </w:p>
        </w:tc>
        <w:tc>
          <w:tcPr>
            <w:tcW w:w="5814" w:type="dxa"/>
            <w:vAlign w:val="center"/>
          </w:tcPr>
          <w:p>
            <w:pPr>
              <w:rPr>
                <w:rFonts w:ascii="宋体" w:hAnsi="宋体" w:eastAsia="宋体" w:cs="宋体"/>
                <w:spacing w:val="-6"/>
                <w:szCs w:val="21"/>
              </w:rPr>
            </w:pPr>
          </w:p>
        </w:tc>
        <w:tc>
          <w:tcPr>
            <w:tcW w:w="756" w:type="dxa"/>
            <w:vAlign w:val="center"/>
          </w:tcPr>
          <w:p>
            <w:pPr>
              <w:rPr>
                <w:rFonts w:ascii="宋体" w:hAnsi="宋体" w:eastAsia="宋体" w:cs="宋体"/>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jc w:val="center"/>
              <w:rPr>
                <w:rFonts w:ascii="宋体" w:hAnsi="宋体" w:eastAsia="宋体" w:cs="宋体"/>
                <w:spacing w:val="-6"/>
                <w:szCs w:val="21"/>
              </w:rPr>
            </w:pPr>
          </w:p>
        </w:tc>
        <w:tc>
          <w:tcPr>
            <w:tcW w:w="943" w:type="dxa"/>
            <w:vAlign w:val="center"/>
          </w:tcPr>
          <w:p>
            <w:pPr>
              <w:jc w:val="center"/>
              <w:rPr>
                <w:rFonts w:ascii="宋体" w:hAnsi="宋体" w:eastAsia="宋体" w:cs="宋体"/>
                <w:spacing w:val="-6"/>
                <w:szCs w:val="21"/>
              </w:rPr>
            </w:pPr>
          </w:p>
        </w:tc>
        <w:tc>
          <w:tcPr>
            <w:tcW w:w="5814" w:type="dxa"/>
            <w:vAlign w:val="center"/>
          </w:tcPr>
          <w:p>
            <w:pPr>
              <w:pStyle w:val="8"/>
              <w:adjustRightInd/>
              <w:spacing w:line="240" w:lineRule="auto"/>
              <w:ind w:firstLine="0"/>
              <w:rPr>
                <w:rFonts w:ascii="宋体" w:hAnsi="宋体" w:eastAsia="宋体" w:cs="宋体"/>
                <w:spacing w:val="-6"/>
                <w:sz w:val="21"/>
                <w:szCs w:val="21"/>
              </w:rPr>
            </w:pPr>
          </w:p>
        </w:tc>
        <w:tc>
          <w:tcPr>
            <w:tcW w:w="756" w:type="dxa"/>
            <w:vAlign w:val="center"/>
          </w:tcPr>
          <w:p>
            <w:pPr>
              <w:pStyle w:val="8"/>
              <w:adjustRightInd/>
              <w:spacing w:line="240" w:lineRule="auto"/>
              <w:ind w:firstLine="0"/>
              <w:rPr>
                <w:rFonts w:ascii="宋体" w:hAnsi="宋体" w:eastAsia="宋体" w:cs="宋体"/>
                <w:sz w:val="21"/>
                <w:szCs w:val="21"/>
              </w:rPr>
            </w:pPr>
          </w:p>
        </w:tc>
      </w:tr>
    </w:tbl>
    <w:p>
      <w:pPr>
        <w:spacing w:line="366" w:lineRule="exact"/>
        <w:jc w:val="center"/>
        <w:rPr>
          <w:rFonts w:ascii="宋体" w:hAnsi="宋体" w:eastAsia="宋体" w:cs="宋体"/>
          <w:b/>
          <w:bCs/>
          <w:sz w:val="28"/>
          <w:szCs w:val="28"/>
        </w:rPr>
      </w:pPr>
      <w:r>
        <w:rPr>
          <w:rFonts w:hint="eastAsia" w:ascii="宋体" w:hAnsi="宋体" w:eastAsia="宋体" w:cs="宋体"/>
          <w:b/>
          <w:bCs/>
          <w:szCs w:val="21"/>
        </w:rPr>
        <w:br w:type="page"/>
      </w:r>
      <w:r>
        <w:rPr>
          <w:rFonts w:hint="eastAsia" w:ascii="宋体" w:hAnsi="宋体" w:eastAsia="宋体" w:cs="宋体"/>
          <w:b/>
          <w:bCs/>
          <w:snapToGrid w:val="0"/>
          <w:kern w:val="0"/>
          <w:sz w:val="32"/>
          <w:szCs w:val="32"/>
        </w:rPr>
        <w:t>二、法定代表人资格证明书</w:t>
      </w:r>
    </w:p>
    <w:p>
      <w:pPr>
        <w:pStyle w:val="10"/>
        <w:spacing w:line="360" w:lineRule="auto"/>
        <w:ind w:firstLine="480" w:firstLineChars="229"/>
        <w:rPr>
          <w:rFonts w:ascii="宋体" w:hAnsi="宋体" w:eastAsia="宋体" w:cs="宋体"/>
          <w:u w:val="single"/>
        </w:rPr>
      </w:pPr>
    </w:p>
    <w:p>
      <w:pPr>
        <w:pStyle w:val="10"/>
        <w:spacing w:line="360" w:lineRule="auto"/>
        <w:ind w:firstLine="480" w:firstLineChars="229"/>
        <w:rPr>
          <w:rFonts w:ascii="宋体" w:hAnsi="宋体" w:eastAsia="宋体" w:cs="宋体"/>
          <w:u w:val="single"/>
        </w:rPr>
      </w:pPr>
      <w:r>
        <w:rPr>
          <w:rFonts w:hint="eastAsia" w:ascii="宋体" w:hAnsi="宋体" w:eastAsia="宋体" w:cs="宋体"/>
          <w:u w:val="single"/>
        </w:rPr>
        <w:t xml:space="preserve">（采购人单位名称）：         </w:t>
      </w:r>
    </w:p>
    <w:p>
      <w:pPr>
        <w:pStyle w:val="10"/>
        <w:spacing w:line="360" w:lineRule="auto"/>
        <w:ind w:firstLine="482"/>
        <w:rPr>
          <w:rFonts w:ascii="宋体" w:hAnsi="宋体" w:eastAsia="宋体" w:cs="宋体"/>
        </w:rPr>
      </w:pPr>
      <w:r>
        <w:rPr>
          <w:rFonts w:hint="eastAsia" w:ascii="宋体" w:hAnsi="宋体" w:eastAsia="宋体" w:cs="宋体"/>
          <w:u w:val="single"/>
        </w:rPr>
        <w:t>浙江五石工程咨询有限公司：</w:t>
      </w:r>
    </w:p>
    <w:p>
      <w:pPr>
        <w:pStyle w:val="8"/>
        <w:ind w:firstLine="420" w:firstLineChars="200"/>
        <w:rPr>
          <w:rFonts w:ascii="宋体" w:hAnsi="宋体" w:eastAsia="宋体" w:cs="宋体"/>
          <w:snapToGrid w:val="0"/>
          <w:sz w:val="21"/>
          <w:szCs w:val="21"/>
        </w:rPr>
      </w:pPr>
      <w:r>
        <w:rPr>
          <w:rFonts w:hint="eastAsia" w:ascii="宋体" w:hAnsi="宋体" w:eastAsia="宋体" w:cs="宋体"/>
          <w:snapToGrid w:val="0"/>
          <w:sz w:val="21"/>
          <w:szCs w:val="21"/>
          <w:u w:val="single"/>
        </w:rPr>
        <w:t xml:space="preserve">     （姓名）    </w:t>
      </w:r>
      <w:r>
        <w:rPr>
          <w:rFonts w:hint="eastAsia" w:ascii="宋体" w:hAnsi="宋体" w:eastAsia="宋体" w:cs="宋体"/>
          <w:snapToGrid w:val="0"/>
          <w:sz w:val="21"/>
          <w:szCs w:val="21"/>
        </w:rPr>
        <w:t>系</w:t>
      </w:r>
      <w:r>
        <w:rPr>
          <w:rFonts w:hint="eastAsia" w:ascii="宋体" w:hAnsi="宋体" w:eastAsia="宋体" w:cs="宋体"/>
          <w:snapToGrid w:val="0"/>
          <w:sz w:val="21"/>
          <w:szCs w:val="21"/>
          <w:u w:val="single"/>
        </w:rPr>
        <w:t xml:space="preserve">  （单位名称）  </w:t>
      </w:r>
      <w:r>
        <w:rPr>
          <w:rFonts w:hint="eastAsia" w:ascii="宋体" w:hAnsi="宋体" w:eastAsia="宋体" w:cs="宋体"/>
          <w:snapToGrid w:val="0"/>
          <w:sz w:val="21"/>
          <w:szCs w:val="21"/>
        </w:rPr>
        <w:t>的法定代表人，</w:t>
      </w:r>
      <w:r>
        <w:rPr>
          <w:rFonts w:hint="eastAsia" w:ascii="宋体" w:hAnsi="宋体" w:eastAsia="宋体" w:cs="宋体"/>
          <w:snapToGrid w:val="0"/>
          <w:sz w:val="21"/>
          <w:szCs w:val="21"/>
          <w:u w:val="single"/>
        </w:rPr>
        <w:t xml:space="preserve">   （身份证号）     </w:t>
      </w:r>
      <w:r>
        <w:rPr>
          <w:rFonts w:hint="eastAsia" w:ascii="宋体" w:hAnsi="宋体" w:eastAsia="宋体" w:cs="宋体"/>
          <w:snapToGrid w:val="0"/>
          <w:sz w:val="21"/>
          <w:szCs w:val="21"/>
        </w:rPr>
        <w:t>。</w:t>
      </w:r>
    </w:p>
    <w:p>
      <w:pPr>
        <w:pStyle w:val="8"/>
        <w:ind w:firstLine="420" w:firstLineChars="200"/>
        <w:rPr>
          <w:rFonts w:ascii="宋体" w:hAnsi="宋体" w:eastAsia="宋体" w:cs="宋体"/>
          <w:snapToGrid w:val="0"/>
          <w:sz w:val="21"/>
          <w:szCs w:val="21"/>
        </w:rPr>
      </w:pPr>
      <w:r>
        <w:rPr>
          <w:rFonts w:hint="eastAsia" w:ascii="宋体" w:hAnsi="宋体" w:eastAsia="宋体" w:cs="宋体"/>
          <w:snapToGrid w:val="0"/>
          <w:sz w:val="21"/>
          <w:szCs w:val="21"/>
        </w:rPr>
        <w:t>特此证明。</w:t>
      </w:r>
    </w:p>
    <w:p>
      <w:pPr>
        <w:pStyle w:val="8"/>
        <w:ind w:firstLine="420" w:firstLineChars="200"/>
        <w:rPr>
          <w:rFonts w:ascii="宋体" w:hAnsi="宋体" w:eastAsia="宋体" w:cs="宋体"/>
          <w:snapToGrid w:val="0"/>
          <w:sz w:val="21"/>
          <w:szCs w:val="21"/>
        </w:rPr>
      </w:pPr>
      <w:r>
        <w:rPr>
          <w:rFonts w:hint="eastAsia" w:ascii="宋体" w:hAnsi="宋体" w:eastAsia="宋体" w:cs="宋体"/>
          <w:snapToGrid w:val="0"/>
          <w:sz w:val="21"/>
          <w:szCs w:val="21"/>
        </w:rPr>
        <w:t>投标人：（盖单位公章）</w:t>
      </w:r>
    </w:p>
    <w:p>
      <w:pPr>
        <w:spacing w:line="360" w:lineRule="auto"/>
        <w:ind w:firstLine="420" w:firstLineChars="200"/>
        <w:rPr>
          <w:rFonts w:ascii="宋体" w:hAnsi="宋体" w:eastAsia="宋体" w:cs="宋体"/>
          <w:snapToGrid w:val="0"/>
          <w:kern w:val="0"/>
          <w:szCs w:val="21"/>
        </w:rPr>
      </w:pPr>
      <w:r>
        <w:rPr>
          <w:rFonts w:hint="eastAsia" w:ascii="宋体" w:hAnsi="宋体" w:eastAsia="宋体" w:cs="宋体"/>
          <w:snapToGrid w:val="0"/>
          <w:kern w:val="0"/>
          <w:szCs w:val="21"/>
        </w:rPr>
        <w:t>日期：</w:t>
      </w:r>
      <w:r>
        <w:rPr>
          <w:rFonts w:hint="eastAsia" w:ascii="宋体" w:hAnsi="宋体" w:eastAsia="宋体" w:cs="宋体"/>
          <w:snapToGrid w:val="0"/>
          <w:kern w:val="0"/>
          <w:szCs w:val="21"/>
          <w:u w:val="single"/>
        </w:rPr>
        <w:t xml:space="preserve">      </w:t>
      </w:r>
      <w:r>
        <w:rPr>
          <w:rFonts w:hint="eastAsia" w:ascii="宋体" w:hAnsi="宋体" w:eastAsia="宋体" w:cs="宋体"/>
          <w:snapToGrid w:val="0"/>
          <w:kern w:val="0"/>
          <w:szCs w:val="21"/>
        </w:rPr>
        <w:t>年</w:t>
      </w:r>
      <w:r>
        <w:rPr>
          <w:rFonts w:hint="eastAsia" w:ascii="宋体" w:hAnsi="宋体" w:eastAsia="宋体" w:cs="宋体"/>
          <w:snapToGrid w:val="0"/>
          <w:kern w:val="0"/>
          <w:szCs w:val="21"/>
          <w:u w:val="single"/>
        </w:rPr>
        <w:t xml:space="preserve">    </w:t>
      </w:r>
      <w:r>
        <w:rPr>
          <w:rFonts w:hint="eastAsia" w:ascii="宋体" w:hAnsi="宋体" w:eastAsia="宋体" w:cs="宋体"/>
          <w:snapToGrid w:val="0"/>
          <w:kern w:val="0"/>
          <w:szCs w:val="21"/>
        </w:rPr>
        <w:t>月</w:t>
      </w:r>
      <w:r>
        <w:rPr>
          <w:rFonts w:hint="eastAsia" w:ascii="宋体" w:hAnsi="宋体" w:eastAsia="宋体" w:cs="宋体"/>
          <w:snapToGrid w:val="0"/>
          <w:kern w:val="0"/>
          <w:szCs w:val="21"/>
          <w:u w:val="single"/>
        </w:rPr>
        <w:t xml:space="preserve">     </w:t>
      </w:r>
      <w:r>
        <w:rPr>
          <w:rFonts w:hint="eastAsia" w:ascii="宋体" w:hAnsi="宋体" w:eastAsia="宋体" w:cs="宋体"/>
          <w:snapToGrid w:val="0"/>
          <w:kern w:val="0"/>
          <w:szCs w:val="21"/>
        </w:rPr>
        <w:t>日</w:t>
      </w:r>
    </w:p>
    <w:p>
      <w:pPr>
        <w:spacing w:line="360" w:lineRule="auto"/>
        <w:ind w:firstLine="420" w:firstLineChars="200"/>
        <w:rPr>
          <w:rFonts w:ascii="宋体" w:hAnsi="宋体" w:eastAsia="宋体" w:cs="宋体"/>
          <w:snapToGrid w:val="0"/>
          <w:kern w:val="0"/>
          <w:szCs w:val="21"/>
        </w:rPr>
      </w:pPr>
      <w:r>
        <w:rPr>
          <w:rFonts w:hint="eastAsia" w:ascii="宋体" w:hAnsi="宋体" w:eastAsia="宋体" w:cs="宋体"/>
          <w:snapToGrid w:val="0"/>
          <w:kern w:val="0"/>
          <w:szCs w:val="21"/>
        </w:rPr>
        <w:t>附：</w:t>
      </w:r>
    </w:p>
    <w:p>
      <w:pPr>
        <w:spacing w:line="360" w:lineRule="auto"/>
        <w:ind w:firstLine="420" w:firstLineChars="200"/>
        <w:rPr>
          <w:rFonts w:ascii="宋体" w:hAnsi="宋体" w:eastAsia="宋体" w:cs="宋体"/>
          <w:snapToGrid w:val="0"/>
          <w:kern w:val="0"/>
          <w:szCs w:val="21"/>
        </w:rPr>
      </w:pPr>
      <w:r>
        <w:rPr>
          <w:rFonts w:hint="eastAsia" w:ascii="宋体" w:hAnsi="宋体" w:eastAsia="宋体" w:cs="宋体"/>
          <w:snapToGrid w:val="0"/>
          <w:kern w:val="0"/>
          <w:szCs w:val="21"/>
        </w:rPr>
        <w:t>法定代表人联系方式及身份证复印件</w:t>
      </w:r>
    </w:p>
    <w:p>
      <w:pPr>
        <w:spacing w:line="360" w:lineRule="auto"/>
        <w:ind w:firstLine="422" w:firstLineChars="200"/>
        <w:rPr>
          <w:rFonts w:ascii="宋体" w:hAnsi="宋体" w:eastAsia="宋体" w:cs="宋体"/>
          <w:b/>
          <w:bCs/>
          <w:szCs w:val="21"/>
        </w:rPr>
      </w:pPr>
      <w:r>
        <w:rPr>
          <w:rFonts w:hint="eastAsia" w:ascii="宋体" w:hAnsi="宋体" w:eastAsia="宋体" w:cs="宋体"/>
          <w:b/>
          <w:snapToGrid w:val="0"/>
          <w:kern w:val="0"/>
          <w:szCs w:val="21"/>
        </w:rPr>
        <w:t>注：法定代表人直接签署投标文件并参加投标的，在投标文件中出具此资格证明书及身份证复印件。</w:t>
      </w:r>
    </w:p>
    <w:p>
      <w:pPr>
        <w:spacing w:line="366" w:lineRule="exact"/>
        <w:jc w:val="center"/>
        <w:rPr>
          <w:rFonts w:ascii="宋体" w:hAnsi="宋体" w:eastAsia="宋体" w:cs="宋体"/>
          <w:b/>
          <w:bCs/>
          <w:sz w:val="28"/>
          <w:szCs w:val="28"/>
        </w:rPr>
      </w:pPr>
    </w:p>
    <w:p>
      <w:pPr>
        <w:spacing w:line="366" w:lineRule="exact"/>
        <w:jc w:val="center"/>
        <w:rPr>
          <w:rFonts w:ascii="宋体" w:hAnsi="宋体" w:eastAsia="宋体" w:cs="宋体"/>
          <w:b/>
          <w:bCs/>
          <w:sz w:val="28"/>
          <w:szCs w:val="28"/>
        </w:rPr>
      </w:pPr>
    </w:p>
    <w:p>
      <w:pPr>
        <w:spacing w:line="366" w:lineRule="exact"/>
        <w:jc w:val="center"/>
        <w:rPr>
          <w:rFonts w:ascii="宋体" w:hAnsi="宋体" w:eastAsia="宋体" w:cs="宋体"/>
          <w:b/>
          <w:bCs/>
          <w:sz w:val="28"/>
          <w:szCs w:val="28"/>
        </w:rPr>
      </w:pPr>
      <w:r>
        <w:rPr>
          <w:rFonts w:hint="eastAsia" w:ascii="宋体" w:hAnsi="宋体" w:eastAsia="宋体" w:cs="宋体"/>
          <w:b/>
          <w:bCs/>
          <w:sz w:val="28"/>
          <w:szCs w:val="28"/>
        </w:rPr>
        <w:t>法定代表人授权委托书</w:t>
      </w:r>
    </w:p>
    <w:p>
      <w:pPr>
        <w:pStyle w:val="10"/>
        <w:spacing w:line="360" w:lineRule="auto"/>
        <w:ind w:firstLine="420" w:firstLineChars="200"/>
        <w:rPr>
          <w:rFonts w:ascii="宋体" w:hAnsi="宋体" w:eastAsia="宋体" w:cs="宋体"/>
          <w:u w:val="single"/>
        </w:rPr>
      </w:pPr>
    </w:p>
    <w:p>
      <w:pPr>
        <w:pStyle w:val="10"/>
        <w:spacing w:line="360" w:lineRule="auto"/>
        <w:ind w:firstLine="420" w:firstLineChars="200"/>
        <w:rPr>
          <w:rFonts w:ascii="宋体" w:hAnsi="宋体" w:eastAsia="宋体" w:cs="宋体"/>
          <w:u w:val="single"/>
        </w:rPr>
      </w:pPr>
      <w:r>
        <w:rPr>
          <w:rFonts w:hint="eastAsia" w:ascii="宋体" w:hAnsi="宋体" w:eastAsia="宋体" w:cs="宋体"/>
          <w:u w:val="single"/>
        </w:rPr>
        <w:t>（采购人单位名称）：</w:t>
      </w:r>
    </w:p>
    <w:p>
      <w:pPr>
        <w:pStyle w:val="10"/>
        <w:spacing w:line="360" w:lineRule="auto"/>
        <w:ind w:firstLine="420" w:firstLineChars="200"/>
        <w:rPr>
          <w:rFonts w:ascii="宋体" w:hAnsi="宋体" w:eastAsia="宋体" w:cs="宋体"/>
          <w:u w:val="single"/>
        </w:rPr>
      </w:pPr>
      <w:r>
        <w:rPr>
          <w:rFonts w:hint="eastAsia" w:ascii="宋体" w:hAnsi="宋体" w:eastAsia="宋体" w:cs="宋体"/>
          <w:u w:val="single"/>
        </w:rPr>
        <w:t>浙江五石工程咨询有限公司：</w:t>
      </w:r>
    </w:p>
    <w:p>
      <w:pPr>
        <w:pStyle w:val="10"/>
        <w:spacing w:line="360" w:lineRule="auto"/>
        <w:ind w:firstLine="420" w:firstLineChars="200"/>
        <w:rPr>
          <w:rFonts w:ascii="宋体" w:hAnsi="宋体" w:eastAsia="宋体" w:cs="宋体"/>
        </w:rPr>
      </w:pPr>
      <w:r>
        <w:rPr>
          <w:rFonts w:hint="eastAsia" w:ascii="宋体" w:hAnsi="宋体" w:eastAsia="宋体" w:cs="宋体"/>
        </w:rPr>
        <w:t>我以</w:t>
      </w:r>
      <w:r>
        <w:rPr>
          <w:rFonts w:hint="eastAsia" w:ascii="宋体" w:hAnsi="宋体" w:eastAsia="宋体" w:cs="宋体"/>
          <w:u w:val="single"/>
        </w:rPr>
        <w:t xml:space="preserve">        （投标人全称）    </w:t>
      </w:r>
      <w:r>
        <w:rPr>
          <w:rFonts w:hint="eastAsia" w:ascii="宋体" w:hAnsi="宋体" w:eastAsia="宋体" w:cs="宋体"/>
        </w:rPr>
        <w:t>法定代表人的身份授权</w:t>
      </w:r>
      <w:r>
        <w:rPr>
          <w:rFonts w:hint="eastAsia" w:ascii="宋体" w:hAnsi="宋体" w:eastAsia="宋体" w:cs="宋体"/>
          <w:u w:val="single"/>
        </w:rPr>
        <w:t>（全权代表姓名）</w:t>
      </w:r>
      <w:r>
        <w:rPr>
          <w:rFonts w:hint="eastAsia" w:ascii="宋体" w:hAnsi="宋体" w:eastAsia="宋体" w:cs="宋体"/>
        </w:rPr>
        <w:t>、</w:t>
      </w:r>
      <w:r>
        <w:rPr>
          <w:rFonts w:hint="eastAsia" w:ascii="宋体" w:hAnsi="宋体" w:eastAsia="宋体" w:cs="宋体"/>
          <w:u w:val="single"/>
        </w:rPr>
        <w:t xml:space="preserve">  （身份证号</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rPr>
        <w:t>，为我单位的全权代表，参加贵处组织的</w:t>
      </w:r>
      <w:r>
        <w:rPr>
          <w:rFonts w:hint="eastAsia" w:ascii="宋体" w:hAnsi="宋体" w:eastAsia="宋体" w:cs="宋体"/>
          <w:u w:val="single"/>
        </w:rPr>
        <w:t xml:space="preserve">  （项目名称） </w:t>
      </w:r>
      <w:r>
        <w:rPr>
          <w:rFonts w:hint="eastAsia" w:ascii="宋体" w:hAnsi="宋体" w:eastAsia="宋体" w:cs="宋体"/>
        </w:rPr>
        <w:t>（</w:t>
      </w:r>
      <w:r>
        <w:rPr>
          <w:rFonts w:hint="eastAsia" w:ascii="宋体" w:hAnsi="宋体" w:eastAsia="宋体" w:cs="宋体"/>
          <w:u w:val="single"/>
        </w:rPr>
        <w:t>招标项目编号</w:t>
      </w:r>
      <w:r>
        <w:rPr>
          <w:rFonts w:hint="eastAsia" w:ascii="宋体" w:hAnsi="宋体" w:eastAsia="宋体" w:cs="宋体"/>
        </w:rPr>
        <w:t>）</w:t>
      </w:r>
      <w:r>
        <w:rPr>
          <w:rFonts w:hint="eastAsia" w:ascii="宋体" w:hAnsi="宋体" w:eastAsia="宋体" w:cs="宋体"/>
          <w:u w:val="single"/>
        </w:rPr>
        <w:t xml:space="preserve">  （标项内容）</w:t>
      </w:r>
      <w:r>
        <w:rPr>
          <w:rFonts w:hint="eastAsia" w:ascii="宋体" w:hAnsi="宋体" w:eastAsia="宋体" w:cs="宋体"/>
        </w:rPr>
        <w:t>的招标，签署本项目相关投标文件并全权处理投标活动中的一切事宜。我单位承认全权代表做出的与本项目招投标活动有关的全部行为。</w:t>
      </w:r>
    </w:p>
    <w:p>
      <w:pPr>
        <w:pStyle w:val="10"/>
        <w:spacing w:line="360" w:lineRule="auto"/>
        <w:ind w:firstLine="420" w:firstLineChars="200"/>
        <w:rPr>
          <w:rFonts w:ascii="宋体" w:hAnsi="宋体" w:eastAsia="宋体" w:cs="宋体"/>
        </w:rPr>
      </w:pPr>
      <w:r>
        <w:rPr>
          <w:rFonts w:hint="eastAsia" w:ascii="宋体" w:hAnsi="宋体" w:eastAsia="宋体" w:cs="宋体"/>
        </w:rPr>
        <w:t>投标人全称（盖单位公章）：</w:t>
      </w:r>
    </w:p>
    <w:p>
      <w:pPr>
        <w:pStyle w:val="10"/>
        <w:spacing w:line="360" w:lineRule="auto"/>
        <w:ind w:firstLine="420" w:firstLineChars="200"/>
        <w:rPr>
          <w:rFonts w:ascii="宋体" w:hAnsi="宋体" w:eastAsia="宋体" w:cs="宋体"/>
        </w:rPr>
      </w:pPr>
      <w:r>
        <w:rPr>
          <w:rFonts w:hint="eastAsia" w:ascii="宋体" w:hAnsi="宋体" w:eastAsia="宋体" w:cs="宋体"/>
        </w:rPr>
        <w:t>法定代表人（签字或盖章）：</w:t>
      </w:r>
    </w:p>
    <w:p>
      <w:pPr>
        <w:pStyle w:val="10"/>
        <w:spacing w:line="360" w:lineRule="auto"/>
        <w:ind w:firstLine="420" w:firstLineChars="200"/>
        <w:rPr>
          <w:rFonts w:ascii="宋体" w:hAnsi="宋体" w:eastAsia="宋体" w:cs="宋体"/>
        </w:rPr>
      </w:pPr>
      <w:r>
        <w:rPr>
          <w:rFonts w:hint="eastAsia" w:ascii="宋体" w:hAnsi="宋体" w:eastAsia="宋体" w:cs="宋体"/>
        </w:rPr>
        <w:t>电话：</w:t>
      </w:r>
    </w:p>
    <w:p>
      <w:pPr>
        <w:pStyle w:val="10"/>
        <w:spacing w:line="360" w:lineRule="auto"/>
        <w:ind w:firstLine="420" w:firstLineChars="200"/>
        <w:rPr>
          <w:rFonts w:ascii="宋体" w:hAnsi="宋体" w:eastAsia="宋体" w:cs="宋体"/>
        </w:rPr>
      </w:pPr>
      <w:r>
        <w:rPr>
          <w:rFonts w:hint="eastAsia" w:ascii="宋体" w:hAnsi="宋体" w:eastAsia="宋体" w:cs="宋体"/>
        </w:rPr>
        <w:t>日期：</w:t>
      </w:r>
    </w:p>
    <w:p>
      <w:pPr>
        <w:pStyle w:val="10"/>
        <w:spacing w:line="360" w:lineRule="auto"/>
        <w:ind w:firstLine="480"/>
        <w:rPr>
          <w:rFonts w:ascii="宋体" w:hAnsi="宋体" w:eastAsia="宋体" w:cs="宋体"/>
        </w:rPr>
      </w:pPr>
      <w:r>
        <w:rPr>
          <w:rFonts w:hint="eastAsia" w:ascii="宋体" w:hAnsi="宋体" w:eastAsia="宋体" w:cs="宋体"/>
        </w:rPr>
        <w:t>附：</w:t>
      </w:r>
    </w:p>
    <w:p>
      <w:pPr>
        <w:pStyle w:val="10"/>
        <w:spacing w:line="360" w:lineRule="auto"/>
        <w:ind w:firstLine="480"/>
        <w:rPr>
          <w:rFonts w:ascii="宋体" w:hAnsi="宋体" w:eastAsia="宋体" w:cs="宋体"/>
        </w:rPr>
      </w:pPr>
      <w:r>
        <w:rPr>
          <w:rFonts w:hint="eastAsia" w:ascii="宋体" w:hAnsi="宋体" w:eastAsia="宋体" w:cs="宋体"/>
        </w:rPr>
        <w:t>全权代表姓名：     身份证号码：      职  务：         电  话：</w:t>
      </w:r>
    </w:p>
    <w:p>
      <w:pPr>
        <w:spacing w:line="360" w:lineRule="auto"/>
        <w:ind w:firstLine="422" w:firstLineChars="200"/>
        <w:rPr>
          <w:rFonts w:ascii="宋体" w:hAnsi="宋体" w:eastAsia="宋体" w:cs="宋体"/>
          <w:b/>
          <w:szCs w:val="21"/>
        </w:rPr>
      </w:pPr>
      <w:r>
        <w:rPr>
          <w:rFonts w:hint="eastAsia" w:ascii="宋体" w:hAnsi="宋体" w:eastAsia="宋体" w:cs="宋体"/>
          <w:b/>
          <w:szCs w:val="21"/>
        </w:rPr>
        <w:t>全权代表身份证复印件：</w:t>
      </w:r>
    </w:p>
    <w:p>
      <w:pPr>
        <w:widowControl/>
        <w:spacing w:line="360" w:lineRule="auto"/>
        <w:ind w:firstLine="422" w:firstLineChars="200"/>
        <w:rPr>
          <w:rFonts w:ascii="宋体" w:hAnsi="宋体" w:eastAsia="宋体" w:cs="宋体"/>
          <w:b/>
          <w:szCs w:val="21"/>
        </w:rPr>
      </w:pPr>
      <w:r>
        <w:rPr>
          <w:rFonts w:hint="eastAsia" w:ascii="宋体" w:hAnsi="宋体" w:eastAsia="宋体" w:cs="宋体"/>
          <w:b/>
          <w:szCs w:val="21"/>
        </w:rPr>
        <w:t>注：法定代表人授权其公司员工签署及参加投标的，在投标文件中同时出具法定代表人资格证明书及此授权书，并附身份证复印件。</w:t>
      </w:r>
    </w:p>
    <w:p>
      <w:pPr>
        <w:widowControl/>
        <w:spacing w:line="360" w:lineRule="auto"/>
        <w:ind w:firstLine="422" w:firstLineChars="200"/>
        <w:rPr>
          <w:rFonts w:ascii="宋体" w:hAnsi="宋体" w:eastAsia="宋体" w:cs="宋体"/>
          <w:b/>
          <w:szCs w:val="21"/>
        </w:rPr>
      </w:pPr>
      <w:r>
        <w:rPr>
          <w:rFonts w:hint="eastAsia" w:ascii="宋体" w:hAnsi="宋体" w:eastAsia="宋体" w:cs="宋体"/>
          <w:b/>
          <w:szCs w:val="21"/>
        </w:rPr>
        <w:t>投标文件格式中所提到的投标文件签署人是指以上两文件确定的签署人员。</w:t>
      </w:r>
    </w:p>
    <w:p>
      <w:pPr>
        <w:widowControl/>
        <w:spacing w:line="360" w:lineRule="auto"/>
        <w:ind w:firstLine="422" w:firstLineChars="200"/>
        <w:rPr>
          <w:rFonts w:ascii="宋体" w:hAnsi="宋体" w:eastAsia="宋体" w:cs="宋体"/>
          <w:b/>
          <w:szCs w:val="21"/>
        </w:rPr>
        <w:sectPr>
          <w:footerReference r:id="rId18" w:type="default"/>
          <w:footerReference r:id="rId19" w:type="even"/>
          <w:pgSz w:w="11906" w:h="16838"/>
          <w:pgMar w:top="1418" w:right="1418" w:bottom="1418" w:left="1418" w:header="851" w:footer="992" w:gutter="0"/>
          <w:pgNumType w:fmt="decimal"/>
          <w:cols w:space="720" w:num="1"/>
          <w:docGrid w:linePitch="312" w:charSpace="0"/>
        </w:sectPr>
      </w:pPr>
      <w:r>
        <w:rPr>
          <w:rFonts w:hint="eastAsia" w:ascii="宋体" w:hAnsi="宋体" w:eastAsia="宋体" w:cs="宋体"/>
          <w:b/>
          <w:szCs w:val="21"/>
        </w:rPr>
        <w:t>如参加开标并在开评标过程中签署文件的人员与投标文件签署人不一致，须另行提供授权书。</w:t>
      </w:r>
    </w:p>
    <w:p>
      <w:pPr>
        <w:spacing w:line="366" w:lineRule="exact"/>
        <w:jc w:val="center"/>
        <w:rPr>
          <w:rFonts w:ascii="宋体" w:hAnsi="宋体" w:eastAsia="宋体" w:cs="宋体"/>
          <w:b/>
          <w:bCs/>
          <w:snapToGrid w:val="0"/>
          <w:kern w:val="0"/>
          <w:sz w:val="32"/>
          <w:szCs w:val="32"/>
        </w:rPr>
      </w:pPr>
      <w:r>
        <w:rPr>
          <w:rFonts w:hint="eastAsia" w:ascii="宋体" w:hAnsi="宋体" w:eastAsia="宋体" w:cs="宋体"/>
          <w:b/>
          <w:bCs/>
          <w:snapToGrid w:val="0"/>
          <w:kern w:val="0"/>
          <w:sz w:val="32"/>
          <w:szCs w:val="32"/>
        </w:rPr>
        <w:t>三、有效的经营执照</w:t>
      </w:r>
    </w:p>
    <w:p>
      <w:pPr>
        <w:spacing w:line="360" w:lineRule="auto"/>
        <w:ind w:firstLine="422" w:firstLineChars="200"/>
        <w:jc w:val="left"/>
        <w:rPr>
          <w:rFonts w:ascii="宋体" w:hAnsi="宋体" w:eastAsia="宋体" w:cs="宋体"/>
          <w:b/>
          <w:bCs/>
          <w:szCs w:val="21"/>
        </w:rPr>
      </w:pPr>
    </w:p>
    <w:p>
      <w:pPr>
        <w:spacing w:line="360" w:lineRule="auto"/>
        <w:ind w:firstLine="422" w:firstLineChars="200"/>
        <w:jc w:val="left"/>
        <w:rPr>
          <w:rFonts w:ascii="宋体" w:hAnsi="宋体" w:eastAsia="宋体" w:cs="宋体"/>
          <w:b/>
          <w:bCs/>
          <w:szCs w:val="21"/>
        </w:rPr>
      </w:pPr>
    </w:p>
    <w:p>
      <w:pPr>
        <w:spacing w:line="360" w:lineRule="auto"/>
        <w:ind w:firstLine="422" w:firstLineChars="200"/>
        <w:jc w:val="left"/>
        <w:rPr>
          <w:rFonts w:ascii="宋体" w:hAnsi="宋体" w:eastAsia="宋体" w:cs="宋体"/>
          <w:b/>
          <w:bCs/>
          <w:szCs w:val="21"/>
        </w:rPr>
      </w:pPr>
    </w:p>
    <w:p>
      <w:pPr>
        <w:spacing w:line="366" w:lineRule="exact"/>
        <w:jc w:val="center"/>
        <w:rPr>
          <w:rFonts w:ascii="宋体" w:hAnsi="宋体" w:eastAsia="宋体" w:cs="宋体"/>
          <w:b/>
          <w:bCs/>
          <w:snapToGrid w:val="0"/>
          <w:kern w:val="0"/>
          <w:sz w:val="32"/>
          <w:szCs w:val="32"/>
        </w:rPr>
      </w:pPr>
      <w:r>
        <w:rPr>
          <w:rFonts w:hint="eastAsia" w:ascii="宋体" w:hAnsi="宋体" w:eastAsia="宋体" w:cs="宋体"/>
          <w:b/>
          <w:bCs/>
          <w:snapToGrid w:val="0"/>
          <w:kern w:val="0"/>
          <w:sz w:val="32"/>
          <w:szCs w:val="32"/>
        </w:rPr>
        <w:t>四、廉政承诺书</w:t>
      </w:r>
    </w:p>
    <w:p>
      <w:pPr>
        <w:pStyle w:val="10"/>
        <w:spacing w:line="360" w:lineRule="auto"/>
        <w:ind w:firstLine="420" w:firstLineChars="200"/>
        <w:rPr>
          <w:rFonts w:ascii="宋体" w:hAnsi="宋体" w:eastAsia="宋体" w:cs="宋体"/>
          <w:u w:val="single"/>
        </w:rPr>
      </w:pPr>
      <w:r>
        <w:rPr>
          <w:rFonts w:hint="eastAsia" w:ascii="宋体" w:hAnsi="宋体" w:eastAsia="宋体" w:cs="宋体"/>
          <w:u w:val="single"/>
        </w:rPr>
        <w:t>（采购人单位名称）：</w:t>
      </w:r>
    </w:p>
    <w:p>
      <w:pPr>
        <w:spacing w:line="360" w:lineRule="auto"/>
        <w:ind w:firstLine="480"/>
        <w:rPr>
          <w:rFonts w:ascii="宋体" w:hAnsi="宋体" w:eastAsia="宋体" w:cs="宋体"/>
        </w:rPr>
      </w:pPr>
      <w:r>
        <w:rPr>
          <w:rFonts w:hint="eastAsia" w:ascii="宋体" w:hAnsi="宋体" w:eastAsia="宋体" w:cs="宋体"/>
        </w:rPr>
        <w:t xml:space="preserve">我单位响应你单位项目招标要求参加投标。在这次投标过程中和中标后，我们将严格遵守国家法律法规要求，并郑重承诺： </w:t>
      </w:r>
    </w:p>
    <w:p>
      <w:pPr>
        <w:spacing w:line="360" w:lineRule="auto"/>
        <w:ind w:firstLine="480"/>
        <w:rPr>
          <w:rFonts w:ascii="宋体" w:hAnsi="宋体" w:eastAsia="宋体" w:cs="宋体"/>
        </w:rPr>
      </w:pPr>
      <w:r>
        <w:rPr>
          <w:rFonts w:hint="eastAsia" w:ascii="宋体" w:hAnsi="宋体" w:eastAsia="宋体" w:cs="宋体"/>
        </w:rPr>
        <w:t>一、不向项目有关人员及部门赠送礼金礼物、有价证券、回扣以及中介费、介绍费、咨询费等好处费；</w:t>
      </w:r>
    </w:p>
    <w:p>
      <w:pPr>
        <w:spacing w:line="360" w:lineRule="auto"/>
        <w:ind w:firstLine="480"/>
        <w:rPr>
          <w:rFonts w:ascii="宋体" w:hAnsi="宋体" w:eastAsia="宋体" w:cs="宋体"/>
        </w:rPr>
      </w:pPr>
      <w:r>
        <w:rPr>
          <w:rFonts w:hint="eastAsia" w:ascii="宋体" w:hAnsi="宋体" w:eastAsia="宋体" w:cs="宋体"/>
        </w:rPr>
        <w:t>二、不为项目有关人员及部门报销应由你方单位或个人支付的费用；</w:t>
      </w:r>
    </w:p>
    <w:p>
      <w:pPr>
        <w:spacing w:line="360" w:lineRule="auto"/>
        <w:ind w:firstLine="480"/>
        <w:rPr>
          <w:rFonts w:ascii="宋体" w:hAnsi="宋体" w:eastAsia="宋体" w:cs="宋体"/>
        </w:rPr>
      </w:pPr>
      <w:r>
        <w:rPr>
          <w:rFonts w:hint="eastAsia" w:ascii="宋体" w:hAnsi="宋体" w:eastAsia="宋体" w:cs="宋体"/>
        </w:rPr>
        <w:t>三、不向项目有关人员及部门提供有可能影响公正的宴请和健身娱乐等活动；</w:t>
      </w:r>
    </w:p>
    <w:p>
      <w:pPr>
        <w:spacing w:line="360" w:lineRule="auto"/>
        <w:ind w:firstLine="480"/>
        <w:rPr>
          <w:rFonts w:ascii="宋体" w:hAnsi="宋体" w:eastAsia="宋体" w:cs="宋体"/>
        </w:rPr>
      </w:pPr>
      <w:r>
        <w:rPr>
          <w:rFonts w:hint="eastAsia" w:ascii="宋体" w:hAnsi="宋体" w:eastAsia="宋体" w:cs="宋体"/>
        </w:rPr>
        <w:t>四、不为项目有关人员及部门出国（境）、旅游等提供方便；</w:t>
      </w:r>
    </w:p>
    <w:p>
      <w:pPr>
        <w:spacing w:line="360" w:lineRule="auto"/>
        <w:ind w:firstLine="480"/>
        <w:rPr>
          <w:rFonts w:ascii="宋体" w:hAnsi="宋体" w:eastAsia="宋体" w:cs="宋体"/>
        </w:rPr>
      </w:pPr>
      <w:r>
        <w:rPr>
          <w:rFonts w:hint="eastAsia" w:ascii="宋体" w:hAnsi="宋体" w:eastAsia="宋体" w:cs="宋体"/>
        </w:rPr>
        <w:t>五、不为项目有关人员个人装修住房、婚丧嫁娶、配偶子女工作安排等提供好处；</w:t>
      </w:r>
    </w:p>
    <w:p>
      <w:pPr>
        <w:spacing w:line="360" w:lineRule="auto"/>
        <w:ind w:firstLine="480"/>
        <w:rPr>
          <w:rFonts w:ascii="宋体" w:hAnsi="宋体" w:eastAsia="宋体" w:cs="宋体"/>
        </w:rPr>
      </w:pPr>
      <w:r>
        <w:rPr>
          <w:rFonts w:hint="eastAsia" w:ascii="宋体" w:hAnsi="宋体" w:eastAsia="宋体" w:cs="宋体"/>
        </w:rPr>
        <w:t>六、严格遵守招标投标法、合同法等法律，诚实守信，合法经营，坚决抵制各种违法违纪行为。</w:t>
      </w:r>
    </w:p>
    <w:p>
      <w:pPr>
        <w:spacing w:line="360" w:lineRule="auto"/>
        <w:ind w:firstLine="480"/>
        <w:rPr>
          <w:rFonts w:ascii="宋体" w:hAnsi="宋体" w:eastAsia="宋体" w:cs="宋体"/>
        </w:rPr>
      </w:pPr>
      <w:r>
        <w:rPr>
          <w:rFonts w:hint="eastAsia" w:ascii="宋体" w:hAnsi="宋体" w:eastAsia="宋体" w:cs="宋体"/>
        </w:rPr>
        <w:t>如违反上述承诺，你单位有权立即取消我单位投标、中标或在建项目的建设资格，有权拒绝我单位在一定时期内进入你单位进行工程建设或其他经营活动，并通报省采购监管处。由此引起的相应损失均由我单位承担。</w:t>
      </w:r>
    </w:p>
    <w:p>
      <w:pPr>
        <w:spacing w:line="360" w:lineRule="auto"/>
        <w:rPr>
          <w:rFonts w:ascii="宋体" w:hAnsi="宋体" w:eastAsia="宋体" w:cs="宋体"/>
        </w:rPr>
      </w:pPr>
    </w:p>
    <w:p>
      <w:pPr>
        <w:spacing w:line="360" w:lineRule="auto"/>
        <w:rPr>
          <w:rFonts w:ascii="宋体" w:hAnsi="宋体" w:eastAsia="宋体" w:cs="宋体"/>
        </w:rPr>
      </w:pPr>
    </w:p>
    <w:p>
      <w:pPr>
        <w:spacing w:line="360" w:lineRule="auto"/>
        <w:jc w:val="left"/>
        <w:rPr>
          <w:rFonts w:ascii="宋体" w:hAnsi="宋体" w:eastAsia="宋体" w:cs="宋体"/>
        </w:rPr>
      </w:pPr>
    </w:p>
    <w:p>
      <w:pPr>
        <w:spacing w:line="360" w:lineRule="auto"/>
        <w:ind w:firstLine="199" w:firstLineChars="95"/>
        <w:jc w:val="left"/>
        <w:rPr>
          <w:rFonts w:ascii="宋体" w:hAnsi="宋体" w:eastAsia="宋体" w:cs="宋体"/>
        </w:rPr>
      </w:pPr>
      <w:r>
        <w:rPr>
          <w:rFonts w:hint="eastAsia" w:ascii="宋体" w:hAnsi="宋体" w:eastAsia="宋体" w:cs="宋体"/>
        </w:rPr>
        <w:t>投标人（公章）：</w:t>
      </w:r>
    </w:p>
    <w:p>
      <w:pPr>
        <w:spacing w:line="360" w:lineRule="auto"/>
        <w:ind w:firstLine="199" w:firstLineChars="95"/>
        <w:jc w:val="left"/>
        <w:rPr>
          <w:rFonts w:ascii="宋体" w:hAnsi="宋体" w:eastAsia="宋体" w:cs="宋体"/>
        </w:rPr>
      </w:pPr>
      <w:r>
        <w:rPr>
          <w:rFonts w:hint="eastAsia" w:ascii="宋体" w:hAnsi="宋体" w:eastAsia="宋体" w:cs="宋体"/>
        </w:rPr>
        <w:t>法定代表人</w:t>
      </w:r>
      <w:r>
        <w:rPr>
          <w:rFonts w:hint="eastAsia" w:ascii="宋体" w:hAnsi="宋体" w:eastAsia="宋体" w:cs="宋体"/>
          <w:spacing w:val="20"/>
        </w:rPr>
        <w:t>（签字或盖章）</w:t>
      </w:r>
      <w:r>
        <w:rPr>
          <w:rFonts w:hint="eastAsia" w:ascii="宋体" w:hAnsi="宋体" w:eastAsia="宋体" w:cs="宋体"/>
        </w:rPr>
        <w:t>：</w:t>
      </w:r>
    </w:p>
    <w:p>
      <w:pPr>
        <w:spacing w:line="360" w:lineRule="auto"/>
        <w:ind w:firstLine="210" w:firstLineChars="100"/>
        <w:jc w:val="left"/>
        <w:rPr>
          <w:rFonts w:ascii="宋体" w:hAnsi="宋体" w:eastAsia="宋体" w:cs="宋体"/>
          <w:b/>
          <w:bCs/>
          <w:szCs w:val="21"/>
        </w:rPr>
      </w:pPr>
      <w:r>
        <w:rPr>
          <w:rFonts w:hint="eastAsia" w:ascii="宋体" w:hAnsi="宋体" w:eastAsia="宋体" w:cs="宋体"/>
        </w:rPr>
        <w:t>日期：2019年  月  日</w:t>
      </w:r>
    </w:p>
    <w:p>
      <w:pPr>
        <w:spacing w:line="366" w:lineRule="exact"/>
        <w:jc w:val="center"/>
        <w:rPr>
          <w:rFonts w:ascii="宋体" w:hAnsi="宋体" w:eastAsia="宋体" w:cs="宋体"/>
          <w:b/>
          <w:bCs/>
          <w:snapToGrid w:val="0"/>
          <w:kern w:val="0"/>
          <w:sz w:val="32"/>
          <w:szCs w:val="32"/>
        </w:rPr>
      </w:pPr>
    </w:p>
    <w:p>
      <w:pPr>
        <w:spacing w:line="366" w:lineRule="exact"/>
        <w:jc w:val="center"/>
        <w:rPr>
          <w:rFonts w:ascii="宋体" w:hAnsi="宋体" w:eastAsia="宋体" w:cs="宋体"/>
          <w:b/>
          <w:bCs/>
          <w:snapToGrid w:val="0"/>
          <w:kern w:val="0"/>
          <w:sz w:val="32"/>
          <w:szCs w:val="32"/>
        </w:rPr>
        <w:sectPr>
          <w:pgSz w:w="11906" w:h="16838"/>
          <w:pgMar w:top="1418" w:right="1418" w:bottom="1418" w:left="1418" w:header="851" w:footer="992" w:gutter="0"/>
          <w:pgNumType w:fmt="decimal"/>
          <w:cols w:space="720" w:num="1"/>
          <w:docGrid w:linePitch="312" w:charSpace="0"/>
        </w:sectPr>
      </w:pPr>
    </w:p>
    <w:p>
      <w:pPr>
        <w:spacing w:line="366" w:lineRule="exact"/>
        <w:jc w:val="center"/>
        <w:rPr>
          <w:rFonts w:ascii="宋体" w:hAnsi="宋体" w:eastAsia="宋体" w:cs="宋体"/>
          <w:b/>
          <w:bCs/>
          <w:snapToGrid w:val="0"/>
          <w:kern w:val="0"/>
          <w:sz w:val="32"/>
          <w:szCs w:val="32"/>
        </w:rPr>
      </w:pPr>
      <w:r>
        <w:rPr>
          <w:rFonts w:hint="eastAsia" w:ascii="宋体" w:hAnsi="宋体" w:eastAsia="宋体" w:cs="宋体"/>
          <w:b/>
          <w:bCs/>
          <w:snapToGrid w:val="0"/>
          <w:kern w:val="0"/>
          <w:sz w:val="32"/>
          <w:szCs w:val="32"/>
        </w:rPr>
        <w:t>五、投标人简介、投标人基本情况表；</w:t>
      </w:r>
    </w:p>
    <w:p>
      <w:pPr>
        <w:spacing w:line="240" w:lineRule="atLeast"/>
        <w:jc w:val="center"/>
        <w:rPr>
          <w:rFonts w:ascii="宋体" w:hAnsi="宋体" w:eastAsia="宋体" w:cs="宋体"/>
          <w:b/>
          <w:szCs w:val="21"/>
        </w:rPr>
      </w:pPr>
      <w:r>
        <w:rPr>
          <w:rFonts w:hint="eastAsia" w:ascii="宋体" w:hAnsi="宋体" w:eastAsia="宋体" w:cs="宋体"/>
          <w:b/>
          <w:szCs w:val="21"/>
        </w:rPr>
        <w:t>投标人基本情况表</w:t>
      </w:r>
    </w:p>
    <w:tbl>
      <w:tblPr>
        <w:tblStyle w:val="18"/>
        <w:tblW w:w="88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09"/>
        <w:gridCol w:w="1693"/>
        <w:gridCol w:w="1948"/>
        <w:gridCol w:w="682"/>
        <w:gridCol w:w="68"/>
        <w:gridCol w:w="869"/>
        <w:gridCol w:w="1154"/>
        <w:gridCol w:w="74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1709"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单位名称 </w:t>
            </w:r>
          </w:p>
        </w:tc>
        <w:tc>
          <w:tcPr>
            <w:tcW w:w="1693"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 </w:t>
            </w:r>
          </w:p>
        </w:tc>
        <w:tc>
          <w:tcPr>
            <w:tcW w:w="1948"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单位地址 </w:t>
            </w:r>
          </w:p>
        </w:tc>
        <w:tc>
          <w:tcPr>
            <w:tcW w:w="3515" w:type="dxa"/>
            <w:gridSpan w:val="5"/>
            <w:vAlign w:val="center"/>
          </w:tcPr>
          <w:p>
            <w:pPr>
              <w:widowControl/>
              <w:spacing w:before="100" w:beforeAutospacing="1" w:after="100" w:afterAutospacing="1"/>
              <w:jc w:val="center"/>
              <w:rPr>
                <w:rFonts w:ascii="宋体" w:hAnsi="宋体" w:eastAsia="宋体" w:cs="宋体"/>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1709"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联系电话 </w:t>
            </w:r>
          </w:p>
        </w:tc>
        <w:tc>
          <w:tcPr>
            <w:tcW w:w="1693" w:type="dxa"/>
            <w:vAlign w:val="center"/>
          </w:tcPr>
          <w:p>
            <w:pPr>
              <w:widowControl/>
              <w:spacing w:before="100" w:beforeAutospacing="1" w:after="100" w:afterAutospacing="1"/>
              <w:jc w:val="center"/>
              <w:rPr>
                <w:rFonts w:ascii="宋体" w:hAnsi="宋体" w:eastAsia="宋体" w:cs="宋体"/>
                <w:kern w:val="0"/>
                <w:szCs w:val="21"/>
              </w:rPr>
            </w:pPr>
          </w:p>
        </w:tc>
        <w:tc>
          <w:tcPr>
            <w:tcW w:w="1948"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联系人</w:t>
            </w:r>
          </w:p>
        </w:tc>
        <w:tc>
          <w:tcPr>
            <w:tcW w:w="3515" w:type="dxa"/>
            <w:gridSpan w:val="5"/>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1709"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成立时间 </w:t>
            </w:r>
          </w:p>
        </w:tc>
        <w:tc>
          <w:tcPr>
            <w:tcW w:w="1693" w:type="dxa"/>
            <w:vAlign w:val="center"/>
          </w:tcPr>
          <w:p>
            <w:pPr>
              <w:widowControl/>
              <w:spacing w:before="100" w:beforeAutospacing="1" w:after="100" w:afterAutospacing="1"/>
              <w:jc w:val="center"/>
              <w:rPr>
                <w:rFonts w:ascii="宋体" w:hAnsi="宋体" w:eastAsia="宋体" w:cs="宋体"/>
                <w:kern w:val="0"/>
                <w:szCs w:val="21"/>
              </w:rPr>
            </w:pPr>
          </w:p>
        </w:tc>
        <w:tc>
          <w:tcPr>
            <w:tcW w:w="1948"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注册资金（万元） </w:t>
            </w:r>
          </w:p>
        </w:tc>
        <w:tc>
          <w:tcPr>
            <w:tcW w:w="750" w:type="dxa"/>
            <w:gridSpan w:val="2"/>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 </w:t>
            </w:r>
          </w:p>
        </w:tc>
        <w:tc>
          <w:tcPr>
            <w:tcW w:w="2023" w:type="dxa"/>
            <w:gridSpan w:val="2"/>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固定资产（万元） </w:t>
            </w:r>
          </w:p>
        </w:tc>
        <w:tc>
          <w:tcPr>
            <w:tcW w:w="742"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1709"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法人代表 </w:t>
            </w:r>
          </w:p>
        </w:tc>
        <w:tc>
          <w:tcPr>
            <w:tcW w:w="1693" w:type="dxa"/>
            <w:vAlign w:val="center"/>
          </w:tcPr>
          <w:p>
            <w:pPr>
              <w:widowControl/>
              <w:spacing w:before="100" w:beforeAutospacing="1" w:after="100" w:afterAutospacing="1"/>
              <w:jc w:val="center"/>
              <w:rPr>
                <w:rFonts w:ascii="宋体" w:hAnsi="宋体" w:eastAsia="宋体" w:cs="宋体"/>
                <w:kern w:val="0"/>
                <w:szCs w:val="21"/>
              </w:rPr>
            </w:pPr>
          </w:p>
        </w:tc>
        <w:tc>
          <w:tcPr>
            <w:tcW w:w="1948"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技术负责人 </w:t>
            </w:r>
          </w:p>
        </w:tc>
        <w:tc>
          <w:tcPr>
            <w:tcW w:w="3515" w:type="dxa"/>
            <w:gridSpan w:val="5"/>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0" w:hRule="atLeast"/>
          <w:jc w:val="center"/>
        </w:trPr>
        <w:tc>
          <w:tcPr>
            <w:tcW w:w="1709" w:type="dxa"/>
            <w:vMerge w:val="restart"/>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资质等级情况 </w:t>
            </w:r>
          </w:p>
        </w:tc>
        <w:tc>
          <w:tcPr>
            <w:tcW w:w="1693"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资质名称 </w:t>
            </w:r>
          </w:p>
        </w:tc>
        <w:tc>
          <w:tcPr>
            <w:tcW w:w="1948"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颁发部门 </w:t>
            </w:r>
          </w:p>
        </w:tc>
        <w:tc>
          <w:tcPr>
            <w:tcW w:w="1619" w:type="dxa"/>
            <w:gridSpan w:val="3"/>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资质等级 </w:t>
            </w:r>
          </w:p>
        </w:tc>
        <w:tc>
          <w:tcPr>
            <w:tcW w:w="1896" w:type="dxa"/>
            <w:gridSpan w:val="2"/>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颁发时间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0" w:hRule="atLeast"/>
          <w:jc w:val="center"/>
        </w:trPr>
        <w:tc>
          <w:tcPr>
            <w:tcW w:w="1709" w:type="dxa"/>
            <w:vMerge w:val="continue"/>
            <w:vAlign w:val="center"/>
          </w:tcPr>
          <w:p>
            <w:pPr>
              <w:widowControl/>
              <w:jc w:val="left"/>
              <w:rPr>
                <w:rFonts w:ascii="宋体" w:hAnsi="宋体" w:eastAsia="宋体" w:cs="宋体"/>
                <w:kern w:val="0"/>
                <w:szCs w:val="21"/>
              </w:rPr>
            </w:pPr>
          </w:p>
        </w:tc>
        <w:tc>
          <w:tcPr>
            <w:tcW w:w="1693" w:type="dxa"/>
            <w:vAlign w:val="center"/>
          </w:tcPr>
          <w:p>
            <w:pPr>
              <w:widowControl/>
              <w:spacing w:before="100" w:beforeAutospacing="1" w:after="100" w:afterAutospacing="1"/>
              <w:jc w:val="center"/>
              <w:rPr>
                <w:rFonts w:ascii="宋体" w:hAnsi="宋体" w:eastAsia="宋体" w:cs="宋体"/>
                <w:kern w:val="0"/>
                <w:szCs w:val="21"/>
              </w:rPr>
            </w:pPr>
          </w:p>
        </w:tc>
        <w:tc>
          <w:tcPr>
            <w:tcW w:w="1948" w:type="dxa"/>
            <w:vAlign w:val="center"/>
          </w:tcPr>
          <w:p>
            <w:pPr>
              <w:widowControl/>
              <w:spacing w:before="100" w:beforeAutospacing="1" w:after="100" w:afterAutospacing="1"/>
              <w:jc w:val="center"/>
              <w:rPr>
                <w:rFonts w:ascii="宋体" w:hAnsi="宋体" w:eastAsia="宋体" w:cs="宋体"/>
                <w:kern w:val="0"/>
                <w:szCs w:val="21"/>
              </w:rPr>
            </w:pPr>
          </w:p>
        </w:tc>
        <w:tc>
          <w:tcPr>
            <w:tcW w:w="1619" w:type="dxa"/>
            <w:gridSpan w:val="3"/>
            <w:vAlign w:val="center"/>
          </w:tcPr>
          <w:p>
            <w:pPr>
              <w:widowControl/>
              <w:spacing w:before="100" w:beforeAutospacing="1" w:after="100" w:afterAutospacing="1"/>
              <w:jc w:val="center"/>
              <w:rPr>
                <w:rFonts w:ascii="宋体" w:hAnsi="宋体" w:eastAsia="宋体" w:cs="宋体"/>
                <w:kern w:val="0"/>
                <w:szCs w:val="21"/>
              </w:rPr>
            </w:pPr>
          </w:p>
        </w:tc>
        <w:tc>
          <w:tcPr>
            <w:tcW w:w="1896" w:type="dxa"/>
            <w:gridSpan w:val="2"/>
            <w:vAlign w:val="center"/>
          </w:tcPr>
          <w:p>
            <w:pPr>
              <w:widowControl/>
              <w:spacing w:before="100" w:beforeAutospacing="1" w:after="100" w:afterAutospacing="1"/>
              <w:jc w:val="center"/>
              <w:rPr>
                <w:rFonts w:ascii="宋体" w:hAnsi="宋体" w:eastAsia="宋体" w:cs="宋体"/>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0" w:hRule="atLeast"/>
          <w:jc w:val="center"/>
        </w:trPr>
        <w:tc>
          <w:tcPr>
            <w:tcW w:w="1709" w:type="dxa"/>
            <w:vMerge w:val="continue"/>
            <w:vAlign w:val="center"/>
          </w:tcPr>
          <w:p>
            <w:pPr>
              <w:widowControl/>
              <w:jc w:val="left"/>
              <w:rPr>
                <w:rFonts w:ascii="宋体" w:hAnsi="宋体" w:eastAsia="宋体" w:cs="宋体"/>
                <w:kern w:val="0"/>
                <w:szCs w:val="21"/>
              </w:rPr>
            </w:pPr>
          </w:p>
        </w:tc>
        <w:tc>
          <w:tcPr>
            <w:tcW w:w="1693" w:type="dxa"/>
            <w:vAlign w:val="center"/>
          </w:tcPr>
          <w:p>
            <w:pPr>
              <w:widowControl/>
              <w:spacing w:before="100" w:beforeAutospacing="1" w:after="100" w:afterAutospacing="1"/>
              <w:jc w:val="center"/>
              <w:rPr>
                <w:rFonts w:ascii="宋体" w:hAnsi="宋体" w:eastAsia="宋体" w:cs="宋体"/>
                <w:kern w:val="0"/>
                <w:szCs w:val="21"/>
              </w:rPr>
            </w:pPr>
          </w:p>
        </w:tc>
        <w:tc>
          <w:tcPr>
            <w:tcW w:w="1948" w:type="dxa"/>
            <w:vAlign w:val="center"/>
          </w:tcPr>
          <w:p>
            <w:pPr>
              <w:widowControl/>
              <w:spacing w:before="100" w:beforeAutospacing="1" w:after="100" w:afterAutospacing="1"/>
              <w:jc w:val="center"/>
              <w:rPr>
                <w:rFonts w:ascii="宋体" w:hAnsi="宋体" w:eastAsia="宋体" w:cs="宋体"/>
                <w:kern w:val="0"/>
                <w:szCs w:val="21"/>
              </w:rPr>
            </w:pPr>
          </w:p>
        </w:tc>
        <w:tc>
          <w:tcPr>
            <w:tcW w:w="1619" w:type="dxa"/>
            <w:gridSpan w:val="3"/>
            <w:vAlign w:val="center"/>
          </w:tcPr>
          <w:p>
            <w:pPr>
              <w:widowControl/>
              <w:spacing w:before="100" w:beforeAutospacing="1" w:after="100" w:afterAutospacing="1"/>
              <w:jc w:val="center"/>
              <w:rPr>
                <w:rFonts w:ascii="宋体" w:hAnsi="宋体" w:eastAsia="宋体" w:cs="宋体"/>
                <w:kern w:val="0"/>
                <w:szCs w:val="21"/>
              </w:rPr>
            </w:pPr>
          </w:p>
        </w:tc>
        <w:tc>
          <w:tcPr>
            <w:tcW w:w="1896" w:type="dxa"/>
            <w:gridSpan w:val="2"/>
            <w:vAlign w:val="center"/>
          </w:tcPr>
          <w:p>
            <w:pPr>
              <w:widowControl/>
              <w:spacing w:before="100" w:beforeAutospacing="1" w:after="100" w:afterAutospacing="1"/>
              <w:jc w:val="center"/>
              <w:rPr>
                <w:rFonts w:ascii="宋体" w:hAnsi="宋体" w:eastAsia="宋体" w:cs="宋体"/>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6032" w:type="dxa"/>
            <w:gridSpan w:val="4"/>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投标人近三年有无不良记录或因招投标违规涉及司法诉讼情况 </w:t>
            </w:r>
          </w:p>
        </w:tc>
        <w:tc>
          <w:tcPr>
            <w:tcW w:w="2833" w:type="dxa"/>
            <w:gridSpan w:val="4"/>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有（  ），无（  ）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25" w:hRule="atLeast"/>
          <w:jc w:val="center"/>
        </w:trPr>
        <w:tc>
          <w:tcPr>
            <w:tcW w:w="1709" w:type="dxa"/>
            <w:vAlign w:val="center"/>
          </w:tcPr>
          <w:p>
            <w:pPr>
              <w:spacing w:before="100" w:beforeAutospacing="1" w:after="100" w:afterAutospacing="1"/>
              <w:rPr>
                <w:rFonts w:ascii="宋体" w:hAnsi="宋体" w:eastAsia="宋体" w:cs="宋体"/>
                <w:kern w:val="0"/>
                <w:szCs w:val="21"/>
              </w:rPr>
            </w:pPr>
            <w:r>
              <w:rPr>
                <w:rFonts w:hint="eastAsia" w:ascii="宋体" w:hAnsi="宋体" w:eastAsia="宋体" w:cs="宋体"/>
                <w:kern w:val="0"/>
                <w:szCs w:val="21"/>
              </w:rPr>
              <w:t>投标人</w:t>
            </w:r>
            <w:r>
              <w:rPr>
                <w:rFonts w:hint="eastAsia" w:ascii="宋体" w:hAnsi="宋体" w:eastAsia="宋体" w:cs="宋体"/>
                <w:szCs w:val="21"/>
              </w:rPr>
              <w:t>简介</w:t>
            </w:r>
          </w:p>
        </w:tc>
        <w:tc>
          <w:tcPr>
            <w:tcW w:w="7156" w:type="dxa"/>
            <w:gridSpan w:val="7"/>
            <w:vAlign w:val="center"/>
          </w:tcPr>
          <w:p>
            <w:pPr>
              <w:spacing w:before="100" w:beforeAutospacing="1" w:after="100" w:afterAutospacing="1"/>
              <w:jc w:val="center"/>
              <w:rPr>
                <w:rFonts w:ascii="宋体" w:hAnsi="宋体" w:eastAsia="宋体" w:cs="宋体"/>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06" w:hRule="atLeast"/>
          <w:jc w:val="center"/>
        </w:trPr>
        <w:tc>
          <w:tcPr>
            <w:tcW w:w="1709" w:type="dxa"/>
            <w:vAlign w:val="center"/>
          </w:tcPr>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其他有竞争力 </w:t>
            </w:r>
          </w:p>
          <w:p>
            <w:pPr>
              <w:widowControl/>
              <w:spacing w:before="100" w:beforeAutospacing="1" w:after="100" w:afterAutospacing="1"/>
              <w:jc w:val="center"/>
              <w:rPr>
                <w:rFonts w:ascii="宋体" w:hAnsi="宋体" w:eastAsia="宋体" w:cs="宋体"/>
                <w:kern w:val="0"/>
                <w:szCs w:val="21"/>
              </w:rPr>
            </w:pPr>
            <w:r>
              <w:rPr>
                <w:rFonts w:hint="eastAsia" w:ascii="宋体" w:hAnsi="宋体" w:eastAsia="宋体" w:cs="宋体"/>
                <w:kern w:val="0"/>
                <w:szCs w:val="21"/>
              </w:rPr>
              <w:t xml:space="preserve">的说明 </w:t>
            </w:r>
          </w:p>
        </w:tc>
        <w:tc>
          <w:tcPr>
            <w:tcW w:w="7156" w:type="dxa"/>
            <w:gridSpan w:val="7"/>
            <w:vAlign w:val="center"/>
          </w:tcPr>
          <w:p>
            <w:pPr>
              <w:widowControl/>
              <w:spacing w:before="100" w:beforeAutospacing="1" w:after="100" w:afterAutospacing="1"/>
              <w:jc w:val="center"/>
              <w:rPr>
                <w:rFonts w:ascii="宋体" w:hAnsi="宋体" w:eastAsia="宋体" w:cs="宋体"/>
                <w:kern w:val="0"/>
                <w:szCs w:val="21"/>
              </w:rPr>
            </w:pPr>
          </w:p>
        </w:tc>
      </w:tr>
    </w:tbl>
    <w:p>
      <w:pPr>
        <w:autoSpaceDE w:val="0"/>
        <w:autoSpaceDN w:val="0"/>
        <w:spacing w:line="360" w:lineRule="auto"/>
        <w:rPr>
          <w:rFonts w:ascii="宋体" w:hAnsi="宋体" w:eastAsia="宋体" w:cs="宋体"/>
        </w:rPr>
      </w:pPr>
    </w:p>
    <w:p>
      <w:pPr>
        <w:autoSpaceDE w:val="0"/>
        <w:autoSpaceDN w:val="0"/>
        <w:spacing w:line="360" w:lineRule="auto"/>
        <w:rPr>
          <w:rFonts w:ascii="宋体" w:hAnsi="宋体" w:eastAsia="宋体" w:cs="宋体"/>
          <w:szCs w:val="21"/>
          <w:lang w:val="zh-CN"/>
        </w:rPr>
      </w:pPr>
      <w:r>
        <w:rPr>
          <w:rFonts w:hint="eastAsia" w:ascii="宋体" w:hAnsi="宋体" w:eastAsia="宋体" w:cs="宋体"/>
        </w:rPr>
        <w:t>说明：1、</w:t>
      </w:r>
      <w:r>
        <w:rPr>
          <w:rFonts w:hint="eastAsia" w:ascii="宋体" w:hAnsi="宋体" w:eastAsia="宋体" w:cs="宋体"/>
          <w:szCs w:val="21"/>
          <w:lang w:val="zh-CN"/>
        </w:rPr>
        <w:t>附企业</w:t>
      </w:r>
      <w:r>
        <w:rPr>
          <w:rFonts w:hint="eastAsia" w:ascii="宋体" w:hAnsi="宋体" w:eastAsia="宋体" w:cs="宋体"/>
        </w:rPr>
        <w:t>加盖公章的营业执照副本、相关资质类证书复印件</w:t>
      </w:r>
      <w:r>
        <w:rPr>
          <w:rFonts w:hint="eastAsia" w:ascii="宋体" w:hAnsi="宋体" w:eastAsia="宋体" w:cs="宋体"/>
          <w:szCs w:val="21"/>
          <w:lang w:val="zh-CN"/>
        </w:rPr>
        <w:t>。</w:t>
      </w:r>
    </w:p>
    <w:p>
      <w:pPr>
        <w:tabs>
          <w:tab w:val="left" w:pos="8640"/>
        </w:tabs>
        <w:spacing w:line="400" w:lineRule="exact"/>
        <w:rPr>
          <w:rFonts w:ascii="宋体" w:hAnsi="宋体" w:eastAsia="宋体" w:cs="宋体"/>
          <w:b/>
          <w:bCs/>
          <w:sz w:val="24"/>
        </w:rPr>
      </w:pPr>
    </w:p>
    <w:p>
      <w:pPr>
        <w:pStyle w:val="10"/>
        <w:spacing w:line="360" w:lineRule="auto"/>
        <w:jc w:val="center"/>
        <w:rPr>
          <w:rFonts w:ascii="宋体" w:hAnsi="宋体" w:eastAsia="宋体" w:cs="宋体"/>
          <w:b/>
          <w:bCs/>
          <w:snapToGrid w:val="0"/>
          <w:kern w:val="0"/>
          <w:sz w:val="32"/>
          <w:szCs w:val="32"/>
        </w:rPr>
      </w:pPr>
    </w:p>
    <w:p>
      <w:pPr>
        <w:sectPr>
          <w:pgSz w:w="11906" w:h="16838"/>
          <w:pgMar w:top="1418" w:right="1418" w:bottom="1418" w:left="1418" w:header="851" w:footer="992" w:gutter="0"/>
          <w:pgNumType w:fmt="decimal"/>
          <w:cols w:space="720" w:num="1"/>
          <w:docGrid w:linePitch="312" w:charSpace="0"/>
        </w:sectPr>
      </w:pPr>
      <w:bookmarkStart w:id="796" w:name="_Toc2837"/>
    </w:p>
    <w:p>
      <w:pPr>
        <w:spacing w:line="360" w:lineRule="auto"/>
        <w:jc w:val="center"/>
        <w:rPr>
          <w:b/>
          <w:bCs/>
          <w:sz w:val="28"/>
          <w:szCs w:val="28"/>
        </w:rPr>
      </w:pPr>
      <w:r>
        <w:rPr>
          <w:rFonts w:hint="eastAsia"/>
          <w:b/>
          <w:bCs/>
          <w:sz w:val="28"/>
          <w:szCs w:val="28"/>
        </w:rPr>
        <w:t>投标保证金</w:t>
      </w:r>
      <w:bookmarkEnd w:id="796"/>
    </w:p>
    <w:p>
      <w:pPr>
        <w:widowControl/>
        <w:spacing w:line="360" w:lineRule="auto"/>
        <w:ind w:firstLine="482"/>
        <w:rPr>
          <w:rFonts w:ascii="宋体" w:hAnsi="宋体" w:eastAsia="宋体" w:cs="宋体"/>
          <w:b/>
          <w:sz w:val="24"/>
        </w:rPr>
      </w:pPr>
      <w:r>
        <w:rPr>
          <w:rFonts w:hint="eastAsia" w:ascii="宋体" w:hAnsi="宋体" w:eastAsia="宋体" w:cs="宋体"/>
          <w:b/>
          <w:sz w:val="24"/>
        </w:rPr>
        <w:t>附：投标须知前附表规定的投标保证金交纳凭证（电汇凭证或代理机构出具的收据）</w:t>
      </w:r>
    </w:p>
    <w:p>
      <w:pPr>
        <w:widowControl/>
        <w:spacing w:line="360" w:lineRule="auto"/>
        <w:ind w:firstLine="482"/>
        <w:rPr>
          <w:rFonts w:ascii="宋体" w:hAnsi="宋体" w:eastAsia="宋体" w:cs="宋体"/>
          <w:b/>
          <w:sz w:val="24"/>
        </w:rPr>
      </w:pPr>
    </w:p>
    <w:p>
      <w:pPr>
        <w:spacing w:line="360" w:lineRule="auto"/>
        <w:ind w:firstLine="482"/>
        <w:rPr>
          <w:rFonts w:ascii="宋体" w:hAnsi="宋体" w:eastAsia="宋体" w:cs="宋体"/>
          <w:b/>
          <w:bCs/>
          <w:sz w:val="24"/>
        </w:rPr>
      </w:pPr>
      <w:r>
        <w:rPr>
          <w:rFonts w:hint="eastAsia" w:ascii="宋体" w:hAnsi="宋体" w:eastAsia="宋体" w:cs="宋体"/>
          <w:b/>
          <w:bCs/>
          <w:sz w:val="24"/>
        </w:rPr>
        <w:t>备注说明：</w:t>
      </w:r>
    </w:p>
    <w:p>
      <w:pPr>
        <w:spacing w:line="360" w:lineRule="auto"/>
        <w:ind w:firstLine="482"/>
        <w:rPr>
          <w:rFonts w:ascii="宋体" w:hAnsi="宋体" w:eastAsia="宋体" w:cs="宋体"/>
          <w:b/>
          <w:bCs/>
          <w:sz w:val="24"/>
        </w:rPr>
      </w:pPr>
      <w:r>
        <w:rPr>
          <w:rFonts w:hint="eastAsia" w:ascii="宋体" w:hAnsi="宋体" w:eastAsia="宋体" w:cs="宋体"/>
          <w:b/>
          <w:bCs/>
          <w:sz w:val="24"/>
        </w:rPr>
        <w:t>一、投标保证金缴纳须知说明：</w:t>
      </w:r>
    </w:p>
    <w:p>
      <w:pPr>
        <w:spacing w:line="360" w:lineRule="auto"/>
        <w:ind w:firstLine="482"/>
        <w:rPr>
          <w:rFonts w:ascii="宋体" w:hAnsi="宋体" w:eastAsia="宋体" w:cs="宋体"/>
          <w:b/>
          <w:bCs/>
          <w:sz w:val="24"/>
        </w:rPr>
      </w:pPr>
      <w:r>
        <w:rPr>
          <w:rFonts w:hint="eastAsia" w:ascii="宋体" w:hAnsi="宋体" w:eastAsia="宋体" w:cs="宋体"/>
          <w:b/>
          <w:bCs/>
          <w:sz w:val="24"/>
        </w:rPr>
        <w:t>1、投标人交纳投标保证金后，将投标保证金交纳凭证发至2810140286@qq.com，并注明项目名称。</w:t>
      </w:r>
    </w:p>
    <w:p>
      <w:pPr>
        <w:spacing w:line="360" w:lineRule="auto"/>
        <w:ind w:firstLine="482"/>
        <w:rPr>
          <w:rFonts w:ascii="宋体" w:hAnsi="宋体" w:eastAsia="宋体" w:cs="宋体"/>
          <w:b/>
          <w:bCs/>
          <w:sz w:val="24"/>
        </w:rPr>
      </w:pPr>
      <w:r>
        <w:rPr>
          <w:rFonts w:hint="eastAsia" w:ascii="宋体" w:hAnsi="宋体" w:eastAsia="宋体" w:cs="宋体"/>
          <w:b/>
          <w:bCs/>
          <w:sz w:val="24"/>
        </w:rPr>
        <w:t>2、将电汇凭证或代理机构出具的收据复印件作为投标保证金交纳凭证编入投标文件。</w:t>
      </w:r>
    </w:p>
    <w:p>
      <w:pPr>
        <w:spacing w:line="360" w:lineRule="auto"/>
        <w:ind w:firstLine="482"/>
        <w:rPr>
          <w:rFonts w:ascii="宋体" w:hAnsi="宋体" w:eastAsia="宋体" w:cs="宋体"/>
          <w:b/>
          <w:bCs/>
          <w:sz w:val="24"/>
        </w:rPr>
      </w:pPr>
      <w:r>
        <w:rPr>
          <w:rFonts w:hint="eastAsia" w:ascii="宋体" w:hAnsi="宋体" w:eastAsia="宋体" w:cs="宋体"/>
          <w:b/>
          <w:bCs/>
          <w:sz w:val="24"/>
        </w:rPr>
        <w:t>3、投标保证金须在招标文件规定时间前到达指定账户。</w:t>
      </w:r>
    </w:p>
    <w:p>
      <w:pPr>
        <w:spacing w:line="360" w:lineRule="auto"/>
        <w:ind w:firstLine="482"/>
        <w:rPr>
          <w:rFonts w:ascii="宋体" w:hAnsi="宋体" w:eastAsia="宋体" w:cs="宋体"/>
          <w:b/>
          <w:bCs/>
          <w:sz w:val="24"/>
        </w:rPr>
      </w:pPr>
      <w:r>
        <w:rPr>
          <w:rFonts w:hint="eastAsia" w:ascii="宋体" w:hAnsi="宋体" w:eastAsia="宋体" w:cs="宋体"/>
          <w:b/>
          <w:bCs/>
          <w:sz w:val="24"/>
        </w:rPr>
        <w:t>二、投标保证金退还说明：</w:t>
      </w:r>
    </w:p>
    <w:p>
      <w:pPr>
        <w:spacing w:line="360" w:lineRule="auto"/>
        <w:ind w:firstLine="482"/>
        <w:rPr>
          <w:rFonts w:ascii="宋体" w:hAnsi="宋体" w:eastAsia="宋体" w:cs="宋体"/>
          <w:b/>
          <w:bCs/>
          <w:sz w:val="24"/>
        </w:rPr>
      </w:pPr>
      <w:r>
        <w:rPr>
          <w:rFonts w:hint="eastAsia" w:ascii="宋体" w:hAnsi="宋体" w:eastAsia="宋体" w:cs="宋体"/>
          <w:b/>
          <w:bCs/>
          <w:sz w:val="24"/>
        </w:rPr>
        <w:t>1、投标保证金退还时间：中标结果公告发布后将退还未中标投标人的投标保证金，合同签订后将退还中标投标人的投标保证金。</w:t>
      </w:r>
    </w:p>
    <w:p>
      <w:pPr>
        <w:spacing w:line="360" w:lineRule="auto"/>
        <w:ind w:firstLine="482"/>
        <w:rPr>
          <w:rFonts w:ascii="宋体" w:hAnsi="宋体" w:eastAsia="宋体" w:cs="宋体"/>
          <w:b/>
          <w:bCs/>
          <w:sz w:val="24"/>
        </w:rPr>
      </w:pPr>
      <w:r>
        <w:rPr>
          <w:rFonts w:hint="eastAsia" w:ascii="宋体" w:hAnsi="宋体" w:eastAsia="宋体" w:cs="宋体"/>
          <w:b/>
          <w:bCs/>
          <w:sz w:val="24"/>
        </w:rPr>
        <w:t>2、投标保证金退还事宜：</w:t>
      </w:r>
    </w:p>
    <w:p>
      <w:pPr>
        <w:spacing w:line="360" w:lineRule="auto"/>
        <w:ind w:firstLine="482"/>
        <w:rPr>
          <w:rFonts w:ascii="宋体" w:hAnsi="宋体" w:eastAsia="宋体" w:cs="宋体"/>
          <w:b/>
          <w:bCs/>
          <w:sz w:val="24"/>
        </w:rPr>
      </w:pPr>
      <w:r>
        <w:rPr>
          <w:rFonts w:hint="eastAsia" w:ascii="宋体" w:hAnsi="宋体" w:eastAsia="宋体" w:cs="宋体"/>
          <w:b/>
          <w:bCs/>
          <w:sz w:val="24"/>
        </w:rPr>
        <w:t>已领取投标保证金收据原件的，需凭采购代理机构出具的收据原件或投标人另行开具退还投标保证金收据退还投标保证金，投标保证金将以电汇方式汇入投标人的开户银行指定账户。</w:t>
      </w:r>
    </w:p>
    <w:p>
      <w:pPr>
        <w:pStyle w:val="10"/>
        <w:spacing w:line="360" w:lineRule="auto"/>
        <w:jc w:val="center"/>
        <w:rPr>
          <w:rFonts w:ascii="宋体" w:hAnsi="宋体" w:eastAsia="宋体" w:cs="宋体"/>
          <w:b/>
          <w:bCs/>
          <w:snapToGrid w:val="0"/>
          <w:kern w:val="0"/>
          <w:sz w:val="32"/>
          <w:szCs w:val="32"/>
        </w:rPr>
      </w:pPr>
      <w:r>
        <w:rPr>
          <w:rFonts w:hint="eastAsia" w:ascii="宋体" w:hAnsi="宋体" w:eastAsia="宋体" w:cs="宋体"/>
          <w:b/>
          <w:bCs/>
          <w:sz w:val="24"/>
          <w:szCs w:val="24"/>
        </w:rPr>
        <w:t>未领取投标保证金收据原件的，联系采购代理机构核对账号后，采购代理机构将投标保证金以电汇方式汇入投标人的银行开户许可证指定账户。</w:t>
      </w:r>
      <w:r>
        <w:rPr>
          <w:rFonts w:hint="eastAsia" w:ascii="宋体" w:hAnsi="宋体" w:eastAsia="宋体" w:cs="宋体"/>
          <w:b/>
          <w:bCs/>
          <w:snapToGrid w:val="0"/>
          <w:kern w:val="0"/>
          <w:sz w:val="32"/>
          <w:szCs w:val="32"/>
        </w:rPr>
        <w:br w:type="page"/>
      </w:r>
      <w:r>
        <w:rPr>
          <w:rFonts w:hint="eastAsia" w:ascii="宋体" w:hAnsi="宋体" w:eastAsia="宋体" w:cs="宋体"/>
          <w:b/>
          <w:bCs/>
          <w:snapToGrid w:val="0"/>
          <w:kern w:val="0"/>
          <w:sz w:val="32"/>
          <w:szCs w:val="32"/>
        </w:rPr>
        <w:t>六、投标声明书</w:t>
      </w:r>
    </w:p>
    <w:p>
      <w:pPr>
        <w:pStyle w:val="10"/>
        <w:spacing w:line="360" w:lineRule="auto"/>
        <w:ind w:firstLine="420" w:firstLineChars="200"/>
        <w:rPr>
          <w:rFonts w:ascii="宋体" w:hAnsi="宋体" w:eastAsia="宋体" w:cs="宋体"/>
          <w:u w:val="single"/>
        </w:rPr>
      </w:pPr>
      <w:r>
        <w:rPr>
          <w:rFonts w:hint="eastAsia" w:ascii="宋体" w:hAnsi="宋体" w:eastAsia="宋体" w:cs="宋体"/>
        </w:rPr>
        <w:t>致：</w:t>
      </w:r>
      <w:r>
        <w:rPr>
          <w:rFonts w:hint="eastAsia" w:ascii="宋体" w:hAnsi="宋体" w:eastAsia="宋体" w:cs="宋体"/>
          <w:u w:val="single"/>
        </w:rPr>
        <w:t>（采购人单位名称）：</w:t>
      </w:r>
    </w:p>
    <w:p>
      <w:pPr>
        <w:pStyle w:val="10"/>
        <w:spacing w:line="360" w:lineRule="auto"/>
        <w:ind w:firstLine="420" w:firstLineChars="200"/>
        <w:rPr>
          <w:rFonts w:ascii="宋体" w:hAnsi="宋体" w:eastAsia="宋体" w:cs="宋体"/>
        </w:rPr>
      </w:pPr>
      <w:r>
        <w:rPr>
          <w:rFonts w:hint="eastAsia" w:ascii="宋体" w:hAnsi="宋体" w:eastAsia="宋体" w:cs="宋体"/>
          <w:u w:val="single"/>
        </w:rPr>
        <w:t>浙江五石工程咨询有限公司：</w:t>
      </w:r>
    </w:p>
    <w:p>
      <w:pPr>
        <w:spacing w:line="360" w:lineRule="auto"/>
        <w:ind w:firstLine="420" w:firstLineChars="200"/>
        <w:jc w:val="left"/>
        <w:rPr>
          <w:rFonts w:ascii="宋体" w:hAnsi="宋体" w:eastAsia="宋体" w:cs="宋体"/>
        </w:rPr>
      </w:pP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（投标人名称）系中华人民共和国合法企业，经营地址 </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20" w:firstLineChars="200"/>
        <w:jc w:val="left"/>
        <w:rPr>
          <w:rFonts w:ascii="宋体" w:hAnsi="宋体" w:eastAsia="宋体" w:cs="宋体"/>
        </w:rPr>
      </w:pPr>
      <w:r>
        <w:rPr>
          <w:rFonts w:hint="eastAsia" w:ascii="宋体" w:hAnsi="宋体" w:eastAsia="宋体" w:cs="宋体"/>
        </w:rPr>
        <w:t>我方愿意参加贵方组织的浙江大学 项目的投标，为便于贵方公正、择优地确定中标人及其投标产品和服务，我方就本次投标有关事项郑重声明如下：</w:t>
      </w:r>
    </w:p>
    <w:p>
      <w:pPr>
        <w:spacing w:line="360" w:lineRule="auto"/>
        <w:ind w:firstLine="420" w:firstLineChars="200"/>
        <w:jc w:val="left"/>
        <w:rPr>
          <w:rFonts w:ascii="宋体" w:hAnsi="宋体" w:eastAsia="宋体" w:cs="宋体"/>
        </w:rPr>
      </w:pPr>
      <w:r>
        <w:rPr>
          <w:rFonts w:hint="eastAsia" w:ascii="宋体" w:hAnsi="宋体" w:eastAsia="宋体" w:cs="宋体"/>
        </w:rPr>
        <w:t>1.我方向贵方提交的所有投标文件、资料都是准确的和真实的；</w:t>
      </w:r>
    </w:p>
    <w:p>
      <w:pPr>
        <w:spacing w:line="360" w:lineRule="auto"/>
        <w:ind w:firstLine="420" w:firstLineChars="200"/>
        <w:jc w:val="left"/>
        <w:rPr>
          <w:rFonts w:ascii="宋体" w:hAnsi="宋体" w:eastAsia="宋体" w:cs="宋体"/>
        </w:rPr>
      </w:pPr>
      <w:r>
        <w:rPr>
          <w:rFonts w:hint="eastAsia" w:ascii="宋体" w:hAnsi="宋体" w:eastAsia="宋体" w:cs="宋体"/>
        </w:rPr>
        <w:t>2.我方不是采购人的附属机构；在获知本项目信息后，与采购人聘请的为此项目提供咨询服务的公司及其附属机构没有任何联系。</w:t>
      </w:r>
    </w:p>
    <w:p>
      <w:pPr>
        <w:spacing w:line="360" w:lineRule="auto"/>
        <w:ind w:firstLine="420" w:firstLineChars="200"/>
        <w:jc w:val="left"/>
        <w:rPr>
          <w:rFonts w:ascii="宋体" w:hAnsi="宋体" w:eastAsia="宋体" w:cs="宋体"/>
        </w:rPr>
      </w:pPr>
      <w:r>
        <w:rPr>
          <w:rFonts w:hint="eastAsia" w:ascii="宋体" w:hAnsi="宋体" w:eastAsia="宋体" w:cs="宋体"/>
        </w:rPr>
        <w:t>3.我方最近三年内的被公开披露或查处的违法违规行为有：</w:t>
      </w:r>
    </w:p>
    <w:p>
      <w:pPr>
        <w:spacing w:line="360" w:lineRule="auto"/>
        <w:ind w:left="210" w:leftChars="100" w:firstLine="210" w:firstLineChars="100"/>
        <w:jc w:val="left"/>
        <w:rPr>
          <w:rFonts w:ascii="宋体" w:hAnsi="宋体" w:eastAsia="宋体" w:cs="宋体"/>
        </w:rPr>
      </w:pPr>
      <w:r>
        <w:rPr>
          <w:rFonts w:hint="eastAsia" w:ascii="宋体" w:hAnsi="宋体" w:eastAsia="宋体" w:cs="宋体"/>
        </w:rPr>
        <w:t>___________________________________________________________________________</w:t>
      </w:r>
      <w:r>
        <w:rPr>
          <w:rFonts w:hint="eastAsia" w:ascii="宋体" w:hAnsi="宋体" w:eastAsia="宋体" w:cs="宋体"/>
          <w:u w:val="single"/>
        </w:rPr>
        <w:t xml:space="preserve">                                                       。</w:t>
      </w:r>
      <w:r>
        <w:rPr>
          <w:rFonts w:hint="eastAsia" w:ascii="宋体" w:hAnsi="宋体" w:eastAsia="宋体" w:cs="宋体"/>
        </w:rPr>
        <w:t xml:space="preserve"> </w:t>
      </w:r>
    </w:p>
    <w:p>
      <w:pPr>
        <w:spacing w:line="360" w:lineRule="auto"/>
        <w:ind w:firstLine="420" w:firstLineChars="200"/>
        <w:jc w:val="left"/>
        <w:rPr>
          <w:rFonts w:ascii="宋体" w:hAnsi="宋体" w:eastAsia="宋体" w:cs="宋体"/>
        </w:rPr>
      </w:pPr>
      <w:r>
        <w:rPr>
          <w:rFonts w:hint="eastAsia" w:ascii="宋体" w:hAnsi="宋体" w:eastAsia="宋体" w:cs="宋体"/>
        </w:rPr>
        <w:t>4.以上事项如有虚假或隐瞒，我方愿意承担一切后果和责任。</w:t>
      </w:r>
    </w:p>
    <w:p>
      <w:pPr>
        <w:spacing w:line="360" w:lineRule="auto"/>
        <w:ind w:firstLine="420" w:firstLineChars="200"/>
        <w:jc w:val="left"/>
        <w:rPr>
          <w:rFonts w:ascii="宋体" w:hAnsi="宋体" w:eastAsia="宋体" w:cs="宋体"/>
        </w:rPr>
      </w:pPr>
    </w:p>
    <w:p>
      <w:pPr>
        <w:spacing w:line="360" w:lineRule="auto"/>
        <w:ind w:firstLine="420" w:firstLineChars="200"/>
        <w:jc w:val="left"/>
        <w:rPr>
          <w:rFonts w:ascii="宋体" w:hAnsi="宋体" w:eastAsia="宋体" w:cs="宋体"/>
        </w:rPr>
      </w:pPr>
    </w:p>
    <w:p>
      <w:pPr>
        <w:spacing w:line="360" w:lineRule="auto"/>
        <w:ind w:firstLine="420" w:firstLineChars="200"/>
        <w:jc w:val="left"/>
        <w:rPr>
          <w:rFonts w:ascii="宋体" w:hAnsi="宋体" w:eastAsia="宋体" w:cs="宋体"/>
        </w:rPr>
      </w:pPr>
    </w:p>
    <w:p>
      <w:pPr>
        <w:spacing w:line="360" w:lineRule="auto"/>
        <w:ind w:firstLine="420" w:firstLineChars="200"/>
        <w:jc w:val="left"/>
        <w:rPr>
          <w:rFonts w:ascii="宋体" w:hAnsi="宋体" w:eastAsia="宋体" w:cs="宋体"/>
        </w:rPr>
      </w:pPr>
    </w:p>
    <w:p>
      <w:pPr>
        <w:spacing w:line="360" w:lineRule="auto"/>
        <w:ind w:firstLine="420" w:firstLineChars="200"/>
        <w:jc w:val="left"/>
        <w:rPr>
          <w:rFonts w:ascii="宋体" w:hAnsi="宋体" w:eastAsia="宋体" w:cs="宋体"/>
        </w:rPr>
      </w:pPr>
    </w:p>
    <w:p>
      <w:pPr>
        <w:spacing w:line="360" w:lineRule="auto"/>
        <w:ind w:firstLine="420" w:firstLineChars="200"/>
        <w:jc w:val="left"/>
        <w:rPr>
          <w:rFonts w:ascii="宋体" w:hAnsi="宋体" w:eastAsia="宋体" w:cs="宋体"/>
        </w:rPr>
      </w:pPr>
      <w:r>
        <w:rPr>
          <w:rFonts w:hint="eastAsia" w:ascii="宋体" w:hAnsi="宋体" w:eastAsia="宋体" w:cs="宋体"/>
        </w:rPr>
        <w:t>投标方名称（盖章）：</w:t>
      </w:r>
    </w:p>
    <w:p>
      <w:pPr>
        <w:spacing w:line="360" w:lineRule="auto"/>
        <w:ind w:firstLine="420" w:firstLineChars="200"/>
        <w:jc w:val="left"/>
        <w:rPr>
          <w:rFonts w:ascii="宋体" w:hAnsi="宋体" w:eastAsia="宋体" w:cs="宋体"/>
        </w:rPr>
      </w:pPr>
      <w:r>
        <w:rPr>
          <w:rFonts w:hint="eastAsia" w:ascii="宋体" w:hAnsi="宋体" w:eastAsia="宋体" w:cs="宋体"/>
        </w:rPr>
        <w:t>投标方代表签字：</w:t>
      </w:r>
    </w:p>
    <w:p>
      <w:pPr>
        <w:spacing w:line="360" w:lineRule="auto"/>
        <w:ind w:firstLine="420" w:firstLineChars="200"/>
        <w:jc w:val="left"/>
        <w:rPr>
          <w:rFonts w:ascii="宋体" w:hAnsi="宋体" w:eastAsia="宋体" w:cs="宋体"/>
        </w:rPr>
      </w:pPr>
      <w:r>
        <w:rPr>
          <w:rFonts w:hint="eastAsia" w:ascii="宋体" w:hAnsi="宋体" w:eastAsia="宋体" w:cs="宋体"/>
        </w:rPr>
        <w:t>日期：    年  月  日</w:t>
      </w:r>
    </w:p>
    <w:p>
      <w:pPr>
        <w:pStyle w:val="10"/>
        <w:spacing w:line="360" w:lineRule="auto"/>
        <w:jc w:val="center"/>
        <w:rPr>
          <w:rFonts w:ascii="宋体" w:hAnsi="宋体" w:eastAsia="宋体" w:cs="宋体"/>
          <w:b/>
          <w:bCs/>
          <w:snapToGrid w:val="0"/>
          <w:kern w:val="0"/>
          <w:sz w:val="32"/>
          <w:szCs w:val="32"/>
        </w:rPr>
        <w:sectPr>
          <w:pgSz w:w="11906" w:h="16838"/>
          <w:pgMar w:top="1418" w:right="1418" w:bottom="1418" w:left="1418" w:header="851" w:footer="992" w:gutter="0"/>
          <w:pgNumType w:fmt="decimal"/>
          <w:cols w:space="720" w:num="1"/>
          <w:docGrid w:linePitch="312" w:charSpace="0"/>
        </w:sectPr>
      </w:pPr>
    </w:p>
    <w:p>
      <w:pPr>
        <w:pStyle w:val="10"/>
        <w:spacing w:line="360" w:lineRule="auto"/>
        <w:jc w:val="center"/>
        <w:rPr>
          <w:rFonts w:ascii="宋体" w:hAnsi="宋体" w:eastAsia="宋体" w:cs="宋体"/>
          <w:b/>
          <w:bCs/>
          <w:snapToGrid w:val="0"/>
          <w:kern w:val="0"/>
          <w:sz w:val="32"/>
          <w:szCs w:val="32"/>
        </w:rPr>
      </w:pPr>
      <w:r>
        <w:rPr>
          <w:rFonts w:hint="eastAsia" w:ascii="宋体" w:hAnsi="宋体" w:eastAsia="宋体" w:cs="宋体"/>
          <w:b/>
          <w:bCs/>
          <w:snapToGrid w:val="0"/>
          <w:kern w:val="0"/>
          <w:sz w:val="32"/>
          <w:szCs w:val="32"/>
        </w:rPr>
        <w:t>七、供应商类似工程业绩</w:t>
      </w:r>
    </w:p>
    <w:p>
      <w:pPr>
        <w:spacing w:line="360" w:lineRule="auto"/>
        <w:rPr>
          <w:rFonts w:ascii="宋体" w:hAnsi="宋体" w:eastAsia="宋体" w:cs="宋体"/>
          <w:b/>
          <w:bCs/>
          <w:lang w:val="zh-CN"/>
        </w:rPr>
      </w:pPr>
      <w:r>
        <w:rPr>
          <w:rFonts w:hint="eastAsia" w:ascii="宋体" w:hAnsi="宋体" w:eastAsia="宋体" w:cs="宋体"/>
        </w:rPr>
        <w:t xml:space="preserve">招标项目名称：                   招标编号：              </w:t>
      </w:r>
    </w:p>
    <w:tbl>
      <w:tblPr>
        <w:tblStyle w:val="18"/>
        <w:tblW w:w="93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2160"/>
        <w:gridCol w:w="1440"/>
        <w:gridCol w:w="2340"/>
        <w:gridCol w:w="1676"/>
        <w:gridCol w:w="10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rPr>
            </w:pPr>
            <w:r>
              <w:rPr>
                <w:rFonts w:hint="eastAsia" w:ascii="宋体" w:hAnsi="宋体" w:eastAsia="宋体" w:cs="宋体"/>
                <w:lang w:val="zh-CN"/>
              </w:rPr>
              <w:t>序号</w:t>
            </w:r>
          </w:p>
        </w:tc>
        <w:tc>
          <w:tcPr>
            <w:tcW w:w="21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rPr>
            </w:pPr>
            <w:r>
              <w:rPr>
                <w:rFonts w:hint="eastAsia" w:ascii="宋体" w:hAnsi="宋体" w:eastAsia="宋体" w:cs="宋体"/>
                <w:lang w:val="zh-CN"/>
              </w:rPr>
              <w:t>项目名称</w:t>
            </w:r>
          </w:p>
        </w:tc>
        <w:tc>
          <w:tcPr>
            <w:tcW w:w="144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rPr>
            </w:pPr>
            <w:r>
              <w:rPr>
                <w:rFonts w:hint="eastAsia" w:ascii="宋体" w:hAnsi="宋体" w:eastAsia="宋体" w:cs="宋体"/>
                <w:lang w:val="zh-CN"/>
              </w:rPr>
              <w:t>项目时间</w:t>
            </w:r>
          </w:p>
          <w:p>
            <w:pPr>
              <w:spacing w:line="360" w:lineRule="auto"/>
              <w:jc w:val="center"/>
              <w:rPr>
                <w:rFonts w:ascii="宋体" w:hAnsi="宋体" w:eastAsia="宋体" w:cs="宋体"/>
              </w:rPr>
            </w:pPr>
            <w:r>
              <w:rPr>
                <w:rFonts w:hint="eastAsia" w:ascii="宋体" w:hAnsi="宋体" w:eastAsia="宋体" w:cs="宋体"/>
                <w:lang w:val="zh-CN"/>
              </w:rPr>
              <w:t>年/月</w:t>
            </w:r>
          </w:p>
        </w:tc>
        <w:tc>
          <w:tcPr>
            <w:tcW w:w="234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rPr>
            </w:pPr>
            <w:r>
              <w:rPr>
                <w:rFonts w:hint="eastAsia" w:ascii="宋体" w:hAnsi="宋体" w:eastAsia="宋体" w:cs="宋体"/>
                <w:lang w:val="zh-CN"/>
              </w:rPr>
              <w:t>使用单位名称、地址及联系方式</w:t>
            </w:r>
          </w:p>
        </w:tc>
        <w:tc>
          <w:tcPr>
            <w:tcW w:w="16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rPr>
            </w:pPr>
            <w:r>
              <w:rPr>
                <w:rFonts w:hint="eastAsia" w:ascii="宋体" w:hAnsi="宋体" w:eastAsia="宋体" w:cs="宋体"/>
                <w:lang w:val="zh-CN"/>
              </w:rPr>
              <w:t>项目合同金额（单位：万元）</w:t>
            </w:r>
          </w:p>
        </w:tc>
        <w:tc>
          <w:tcPr>
            <w:tcW w:w="10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rPr>
            </w:pPr>
            <w:r>
              <w:rPr>
                <w:rFonts w:hint="eastAsia" w:ascii="宋体" w:hAnsi="宋体" w:eastAsia="宋体" w:cs="宋体"/>
                <w:lang w:val="zh-CN"/>
              </w:rPr>
              <w:t>备 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rPr>
            </w:pPr>
            <w:r>
              <w:rPr>
                <w:rFonts w:hint="eastAsia" w:ascii="宋体" w:hAnsi="宋体" w:eastAsia="宋体" w:cs="宋体"/>
              </w:rPr>
              <w:t>1</w:t>
            </w:r>
          </w:p>
        </w:tc>
        <w:tc>
          <w:tcPr>
            <w:tcW w:w="216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4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23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6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02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rPr>
            </w:pPr>
            <w:r>
              <w:rPr>
                <w:rFonts w:hint="eastAsia" w:ascii="宋体" w:hAnsi="宋体" w:eastAsia="宋体" w:cs="宋体"/>
              </w:rPr>
              <w:t>2</w:t>
            </w:r>
          </w:p>
        </w:tc>
        <w:tc>
          <w:tcPr>
            <w:tcW w:w="216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4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23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6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02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rPr>
            </w:pPr>
            <w:r>
              <w:rPr>
                <w:rFonts w:hint="eastAsia" w:ascii="宋体" w:hAnsi="宋体" w:eastAsia="宋体" w:cs="宋体"/>
              </w:rPr>
              <w:t>3</w:t>
            </w:r>
          </w:p>
        </w:tc>
        <w:tc>
          <w:tcPr>
            <w:tcW w:w="216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4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23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6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02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rPr>
            </w:pPr>
            <w:r>
              <w:rPr>
                <w:rFonts w:hint="eastAsia" w:ascii="宋体" w:hAnsi="宋体" w:eastAsia="宋体" w:cs="宋体"/>
              </w:rPr>
              <w:t>4</w:t>
            </w:r>
          </w:p>
        </w:tc>
        <w:tc>
          <w:tcPr>
            <w:tcW w:w="216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4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23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6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02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rPr>
            </w:pPr>
            <w:r>
              <w:rPr>
                <w:rFonts w:hint="eastAsia" w:ascii="宋体" w:hAnsi="宋体" w:eastAsia="宋体" w:cs="宋体"/>
              </w:rPr>
              <w:t>5</w:t>
            </w:r>
          </w:p>
        </w:tc>
        <w:tc>
          <w:tcPr>
            <w:tcW w:w="216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4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23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6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02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rPr>
            </w:pPr>
            <w:r>
              <w:rPr>
                <w:rFonts w:hint="eastAsia" w:ascii="宋体" w:hAnsi="宋体" w:eastAsia="宋体" w:cs="宋体"/>
              </w:rPr>
              <w:t>6</w:t>
            </w:r>
          </w:p>
        </w:tc>
        <w:tc>
          <w:tcPr>
            <w:tcW w:w="216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4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23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6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02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rPr>
            </w:pPr>
            <w:r>
              <w:rPr>
                <w:rFonts w:hint="eastAsia" w:ascii="宋体" w:hAnsi="宋体" w:eastAsia="宋体" w:cs="宋体"/>
              </w:rPr>
              <w:t>7</w:t>
            </w:r>
          </w:p>
        </w:tc>
        <w:tc>
          <w:tcPr>
            <w:tcW w:w="216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4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23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6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02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rPr>
            </w:pPr>
            <w:r>
              <w:rPr>
                <w:rFonts w:hint="eastAsia" w:ascii="宋体" w:hAnsi="宋体" w:eastAsia="宋体" w:cs="宋体"/>
              </w:rPr>
              <w:t>8</w:t>
            </w:r>
          </w:p>
        </w:tc>
        <w:tc>
          <w:tcPr>
            <w:tcW w:w="216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4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23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6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02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宋体"/>
              </w:rPr>
            </w:pPr>
            <w:r>
              <w:rPr>
                <w:rFonts w:hint="eastAsia" w:ascii="宋体" w:hAnsi="宋体" w:eastAsia="宋体" w:cs="宋体"/>
              </w:rPr>
              <w:t>9</w:t>
            </w:r>
          </w:p>
        </w:tc>
        <w:tc>
          <w:tcPr>
            <w:tcW w:w="216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4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2340"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6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c>
          <w:tcPr>
            <w:tcW w:w="102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rPr>
            </w:pPr>
          </w:p>
        </w:tc>
      </w:tr>
    </w:tbl>
    <w:p>
      <w:pPr>
        <w:spacing w:line="360" w:lineRule="auto"/>
        <w:rPr>
          <w:rFonts w:ascii="宋体" w:hAnsi="宋体" w:eastAsia="宋体" w:cs="宋体"/>
        </w:rPr>
      </w:pPr>
    </w:p>
    <w:p>
      <w:pPr>
        <w:ind w:left="-720" w:right="-960"/>
        <w:rPr>
          <w:rFonts w:ascii="宋体" w:hAnsi="宋体" w:eastAsia="宋体" w:cs="宋体"/>
          <w:spacing w:val="4"/>
        </w:rPr>
      </w:pPr>
    </w:p>
    <w:p>
      <w:pPr>
        <w:spacing w:line="360" w:lineRule="auto"/>
        <w:jc w:val="left"/>
        <w:rPr>
          <w:rFonts w:ascii="宋体" w:hAnsi="宋体" w:eastAsia="宋体" w:cs="宋体"/>
        </w:rPr>
      </w:pPr>
      <w:r>
        <w:rPr>
          <w:rFonts w:hint="eastAsia" w:ascii="宋体" w:hAnsi="宋体" w:eastAsia="宋体" w:cs="宋体"/>
        </w:rPr>
        <w:t>投标方名称（盖章）：</w:t>
      </w:r>
    </w:p>
    <w:p>
      <w:pPr>
        <w:spacing w:line="360" w:lineRule="auto"/>
        <w:jc w:val="left"/>
        <w:rPr>
          <w:rFonts w:ascii="宋体" w:hAnsi="宋体" w:eastAsia="宋体" w:cs="宋体"/>
        </w:rPr>
      </w:pPr>
      <w:r>
        <w:rPr>
          <w:rFonts w:hint="eastAsia" w:ascii="宋体" w:hAnsi="宋体" w:eastAsia="宋体" w:cs="宋体"/>
        </w:rPr>
        <w:t>投标方代表签字：</w:t>
      </w:r>
    </w:p>
    <w:p>
      <w:pPr>
        <w:rPr>
          <w:rFonts w:ascii="宋体" w:hAnsi="宋体" w:eastAsia="宋体" w:cs="宋体"/>
        </w:rPr>
        <w:sectPr>
          <w:pgSz w:w="11906" w:h="16838"/>
          <w:pgMar w:top="1418" w:right="1418" w:bottom="1418" w:left="1418" w:header="851" w:footer="992" w:gutter="0"/>
          <w:pgNumType w:fmt="decimal"/>
          <w:cols w:space="720" w:num="1"/>
          <w:docGrid w:linePitch="312" w:charSpace="0"/>
        </w:sectPr>
      </w:pPr>
      <w:r>
        <w:rPr>
          <w:rFonts w:hint="eastAsia" w:ascii="宋体" w:hAnsi="宋体" w:eastAsia="宋体" w:cs="宋体"/>
        </w:rPr>
        <w:t>日期：    年  月  日</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（1）施工方案；</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（2）主要设备、材料品牌选择情况（</w:t>
      </w:r>
      <w:r>
        <w:rPr>
          <w:rFonts w:hint="eastAsia" w:ascii="宋体" w:hAnsi="宋体" w:eastAsia="宋体" w:cs="宋体"/>
          <w:b/>
          <w:bCs/>
          <w:snapToGrid w:val="0"/>
          <w:kern w:val="0"/>
          <w:szCs w:val="21"/>
        </w:rPr>
        <w:t>需</w:t>
      </w:r>
      <w:r>
        <w:rPr>
          <w:rFonts w:hint="eastAsia" w:ascii="宋体" w:hAnsi="宋体" w:eastAsia="宋体" w:cs="宋体"/>
          <w:b/>
          <w:bCs/>
        </w:rPr>
        <w:t>明确品牌、规格、型号</w:t>
      </w:r>
      <w:r>
        <w:rPr>
          <w:rFonts w:hint="eastAsia" w:ascii="宋体" w:hAnsi="宋体" w:eastAsia="宋体" w:cs="宋体"/>
          <w:snapToGrid w:val="0"/>
          <w:kern w:val="0"/>
          <w:szCs w:val="21"/>
        </w:rPr>
        <w:t>）</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（3）质量保证措施；</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（4）施工机具和检验仪器的投入；</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（5）工期承诺、进度控制措施及施工质量控制措施；</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（6）投入本项目的工程技术管理人员的专业配置情况；</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（7）关键工序、复杂环节的相应技术措施；</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（8）安全文明施工保证措施；</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（9）材料设备进场计划及施工计划情况；</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（10）合理化建议及售后服务；</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（11）招标文件要求提供的相关检测报告、证明材料等材料；（应列出清单并备注页码，检测报告、相关证明材料等应提供复印件加盖投标人公章，要求清晰无缺漏。原件备查）</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（12）供应商认为需要提供的资料。</w:t>
      </w:r>
    </w:p>
    <w:p>
      <w:pPr>
        <w:spacing w:line="360" w:lineRule="auto"/>
        <w:ind w:firstLine="420" w:firstLineChars="200"/>
        <w:jc w:val="left"/>
        <w:rPr>
          <w:rFonts w:ascii="宋体" w:hAnsi="宋体" w:eastAsia="宋体" w:cs="宋体"/>
          <w:snapToGrid w:val="0"/>
          <w:kern w:val="0"/>
          <w:szCs w:val="21"/>
        </w:rPr>
      </w:pP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采用文字表述外可附下列图表，图表及格式要求附后，没有图表的可格式自拟。</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附表一  拟投入的主要施工设备表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附表二  拟配备的试验和检测仪器设备表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附表三  项目管理班子配备情况表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附表四、项目经理简历表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附表五、技术负责人简历表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附表六、劳动力计划表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附表七、计划开、竣工日期和施工进度网络图或横道图</w:t>
      </w:r>
    </w:p>
    <w:p>
      <w:pPr>
        <w:pStyle w:val="5"/>
        <w:ind w:firstLine="422"/>
        <w:rPr>
          <w:rFonts w:cs="宋体"/>
        </w:rPr>
        <w:sectPr>
          <w:pgSz w:w="11906" w:h="16838"/>
          <w:pgMar w:top="1418" w:right="1418" w:bottom="1418" w:left="1418" w:header="851" w:footer="992" w:gutter="0"/>
          <w:pgNumType w:fmt="decimal"/>
          <w:cols w:space="720" w:num="1"/>
          <w:docGrid w:linePitch="312" w:charSpace="0"/>
        </w:sectPr>
      </w:pPr>
      <w:bookmarkStart w:id="797" w:name="_Toc438"/>
    </w:p>
    <w:p>
      <w:pPr>
        <w:spacing w:line="360" w:lineRule="auto"/>
        <w:jc w:val="center"/>
        <w:rPr>
          <w:rFonts w:ascii="宋体" w:hAnsi="宋体"/>
          <w:b/>
          <w:sz w:val="32"/>
          <w:szCs w:val="32"/>
        </w:rPr>
      </w:pPr>
      <w:r>
        <w:rPr>
          <w:rFonts w:hint="eastAsia" w:ascii="宋体" w:hAnsi="宋体"/>
          <w:b/>
          <w:sz w:val="32"/>
          <w:szCs w:val="32"/>
        </w:rPr>
        <w:t>主要材料、</w:t>
      </w:r>
      <w:r>
        <w:rPr>
          <w:rFonts w:ascii="宋体" w:hAnsi="宋体"/>
          <w:b/>
          <w:sz w:val="32"/>
          <w:szCs w:val="32"/>
        </w:rPr>
        <w:t>设备</w:t>
      </w:r>
      <w:r>
        <w:rPr>
          <w:rFonts w:hint="eastAsia" w:ascii="宋体" w:hAnsi="宋体"/>
          <w:b/>
          <w:sz w:val="32"/>
          <w:szCs w:val="32"/>
        </w:rPr>
        <w:t>品牌选用</w:t>
      </w:r>
      <w:r>
        <w:rPr>
          <w:rFonts w:ascii="宋体" w:hAnsi="宋体"/>
          <w:b/>
          <w:sz w:val="32"/>
          <w:szCs w:val="32"/>
        </w:rPr>
        <w:t>表</w:t>
      </w:r>
    </w:p>
    <w:tbl>
      <w:tblPr>
        <w:tblStyle w:val="18"/>
        <w:tblW w:w="4999"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903"/>
        <w:gridCol w:w="3255"/>
        <w:gridCol w:w="1627"/>
        <w:gridCol w:w="1627"/>
        <w:gridCol w:w="1872"/>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33" w:hRule="atLeast"/>
          <w:jc w:val="center"/>
        </w:trPr>
        <w:tc>
          <w:tcPr>
            <w:tcW w:w="486" w:type="pct"/>
            <w:vAlign w:val="center"/>
          </w:tcPr>
          <w:p>
            <w:pPr>
              <w:tabs>
                <w:tab w:val="left" w:pos="3780"/>
              </w:tabs>
              <w:jc w:val="center"/>
            </w:pPr>
            <w:r>
              <w:t>序号</w:t>
            </w:r>
          </w:p>
        </w:tc>
        <w:tc>
          <w:tcPr>
            <w:tcW w:w="1752" w:type="pct"/>
            <w:vAlign w:val="center"/>
          </w:tcPr>
          <w:p>
            <w:pPr>
              <w:tabs>
                <w:tab w:val="left" w:pos="3780"/>
              </w:tabs>
              <w:jc w:val="center"/>
            </w:pPr>
            <w:r>
              <w:rPr>
                <w:rFonts w:hint="eastAsia"/>
              </w:rPr>
              <w:t>名称</w:t>
            </w:r>
          </w:p>
        </w:tc>
        <w:tc>
          <w:tcPr>
            <w:tcW w:w="876" w:type="pct"/>
            <w:vAlign w:val="center"/>
          </w:tcPr>
          <w:p>
            <w:pPr>
              <w:tabs>
                <w:tab w:val="left" w:pos="3780"/>
              </w:tabs>
              <w:jc w:val="center"/>
            </w:pPr>
            <w:r>
              <w:rPr>
                <w:rFonts w:hint="eastAsia"/>
              </w:rPr>
              <w:t>品牌</w:t>
            </w:r>
          </w:p>
        </w:tc>
        <w:tc>
          <w:tcPr>
            <w:tcW w:w="876" w:type="pct"/>
            <w:vAlign w:val="center"/>
          </w:tcPr>
          <w:p>
            <w:pPr>
              <w:tabs>
                <w:tab w:val="left" w:pos="3780"/>
              </w:tabs>
              <w:jc w:val="center"/>
            </w:pPr>
            <w:r>
              <w:rPr>
                <w:rFonts w:hint="eastAsia"/>
              </w:rPr>
              <w:t>规格</w:t>
            </w:r>
          </w:p>
        </w:tc>
        <w:tc>
          <w:tcPr>
            <w:tcW w:w="1008" w:type="pct"/>
            <w:vAlign w:val="center"/>
          </w:tcPr>
          <w:p>
            <w:pPr>
              <w:tabs>
                <w:tab w:val="left" w:pos="3780"/>
              </w:tabs>
              <w:jc w:val="center"/>
            </w:pPr>
            <w:r>
              <w:rPr>
                <w:rFonts w:hint="eastAsia"/>
              </w:rPr>
              <w:t>型号</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486" w:type="pct"/>
            <w:vAlign w:val="center"/>
          </w:tcPr>
          <w:p>
            <w:pPr>
              <w:tabs>
                <w:tab w:val="left" w:pos="3780"/>
              </w:tabs>
              <w:jc w:val="center"/>
            </w:pPr>
          </w:p>
        </w:tc>
        <w:tc>
          <w:tcPr>
            <w:tcW w:w="1752" w:type="pct"/>
            <w:vAlign w:val="center"/>
          </w:tcPr>
          <w:p>
            <w:pPr>
              <w:tabs>
                <w:tab w:val="left" w:pos="3780"/>
              </w:tabs>
              <w:jc w:val="left"/>
            </w:pPr>
          </w:p>
        </w:tc>
        <w:tc>
          <w:tcPr>
            <w:tcW w:w="876" w:type="pct"/>
            <w:vAlign w:val="center"/>
          </w:tcPr>
          <w:p>
            <w:pPr>
              <w:tabs>
                <w:tab w:val="left" w:pos="3780"/>
              </w:tabs>
              <w:jc w:val="center"/>
            </w:pPr>
          </w:p>
        </w:tc>
        <w:tc>
          <w:tcPr>
            <w:tcW w:w="876" w:type="pct"/>
            <w:vAlign w:val="center"/>
          </w:tcPr>
          <w:p>
            <w:pPr>
              <w:tabs>
                <w:tab w:val="left" w:pos="3780"/>
              </w:tabs>
              <w:jc w:val="center"/>
            </w:pPr>
          </w:p>
        </w:tc>
        <w:tc>
          <w:tcPr>
            <w:tcW w:w="1008" w:type="pct"/>
            <w:vAlign w:val="center"/>
          </w:tcPr>
          <w:p>
            <w:pPr>
              <w:tabs>
                <w:tab w:val="left" w:pos="3780"/>
              </w:tabs>
              <w:jc w:val="center"/>
            </w:pPr>
          </w:p>
        </w:tc>
      </w:tr>
    </w:tbl>
    <w:p>
      <w:pPr>
        <w:sectPr>
          <w:pgSz w:w="11906" w:h="16838"/>
          <w:pgMar w:top="1418" w:right="1418" w:bottom="1418" w:left="1418" w:header="851" w:footer="992" w:gutter="0"/>
          <w:pgNumType w:fmt="decimal"/>
          <w:cols w:space="720" w:num="1"/>
          <w:docGrid w:linePitch="312" w:charSpace="0"/>
        </w:sectPr>
      </w:pPr>
    </w:p>
    <w:p>
      <w:pPr>
        <w:spacing w:line="360" w:lineRule="auto"/>
        <w:jc w:val="center"/>
        <w:rPr>
          <w:rFonts w:ascii="宋体" w:hAnsi="宋体"/>
          <w:b/>
          <w:sz w:val="32"/>
          <w:szCs w:val="32"/>
        </w:rPr>
      </w:pPr>
      <w:r>
        <w:rPr>
          <w:rFonts w:hint="eastAsia" w:ascii="宋体" w:hAnsi="宋体"/>
          <w:b/>
          <w:sz w:val="32"/>
          <w:szCs w:val="32"/>
        </w:rPr>
        <w:t>招标文件要求提供的相关检测报告、证明材料等材料</w:t>
      </w:r>
    </w:p>
    <w:p>
      <w:pPr>
        <w:rPr>
          <w:b/>
          <w:bCs/>
          <w:sz w:val="22"/>
          <w:szCs w:val="28"/>
        </w:rPr>
      </w:pPr>
      <w:r>
        <w:rPr>
          <w:rFonts w:hint="eastAsia"/>
          <w:b/>
          <w:bCs/>
          <w:sz w:val="22"/>
          <w:szCs w:val="28"/>
        </w:rPr>
        <w:t>一、清单</w:t>
      </w:r>
    </w:p>
    <w:tbl>
      <w:tblPr>
        <w:tblStyle w:val="18"/>
        <w:tblW w:w="4998"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1057"/>
        <w:gridCol w:w="3827"/>
        <w:gridCol w:w="2199"/>
        <w:gridCol w:w="2199"/>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33" w:hRule="atLeast"/>
          <w:jc w:val="center"/>
        </w:trPr>
        <w:tc>
          <w:tcPr>
            <w:tcW w:w="569" w:type="pct"/>
            <w:vAlign w:val="center"/>
          </w:tcPr>
          <w:p>
            <w:pPr>
              <w:tabs>
                <w:tab w:val="left" w:pos="3780"/>
              </w:tabs>
              <w:jc w:val="center"/>
            </w:pPr>
            <w:r>
              <w:t>序号</w:t>
            </w:r>
          </w:p>
        </w:tc>
        <w:tc>
          <w:tcPr>
            <w:tcW w:w="2060" w:type="pct"/>
            <w:vAlign w:val="center"/>
          </w:tcPr>
          <w:p>
            <w:pPr>
              <w:tabs>
                <w:tab w:val="left" w:pos="3780"/>
              </w:tabs>
              <w:jc w:val="center"/>
            </w:pPr>
            <w:r>
              <w:rPr>
                <w:rFonts w:hint="eastAsia"/>
              </w:rPr>
              <w:t>名称</w:t>
            </w:r>
          </w:p>
        </w:tc>
        <w:tc>
          <w:tcPr>
            <w:tcW w:w="1184" w:type="pct"/>
            <w:vAlign w:val="center"/>
          </w:tcPr>
          <w:p>
            <w:pPr>
              <w:tabs>
                <w:tab w:val="left" w:pos="3780"/>
              </w:tabs>
              <w:jc w:val="center"/>
            </w:pPr>
            <w:r>
              <w:rPr>
                <w:rFonts w:hint="eastAsia"/>
              </w:rPr>
              <w:t>页码</w:t>
            </w:r>
          </w:p>
        </w:tc>
        <w:tc>
          <w:tcPr>
            <w:tcW w:w="1184" w:type="pct"/>
            <w:vAlign w:val="center"/>
          </w:tcPr>
          <w:p>
            <w:pPr>
              <w:tabs>
                <w:tab w:val="left" w:pos="3780"/>
              </w:tabs>
              <w:jc w:val="center"/>
            </w:pPr>
            <w:r>
              <w:rPr>
                <w:rFonts w:hint="eastAsia"/>
              </w:rPr>
              <w:t>备注</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r>
              <w:rPr>
                <w:rFonts w:hint="eastAsia"/>
              </w:rPr>
              <w:t>1</w:t>
            </w: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r>
              <w:rPr>
                <w:rFonts w:hint="eastAsia"/>
              </w:rPr>
              <w:t>2</w:t>
            </w: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r>
              <w:rPr>
                <w:rFonts w:hint="eastAsia"/>
              </w:rPr>
              <w:t>3</w:t>
            </w: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r>
              <w:rPr>
                <w:rFonts w:hint="eastAsia"/>
              </w:rPr>
              <w:t>...</w:t>
            </w: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569" w:type="pct"/>
            <w:vAlign w:val="center"/>
          </w:tcPr>
          <w:p>
            <w:pPr>
              <w:tabs>
                <w:tab w:val="left" w:pos="3780"/>
              </w:tabs>
              <w:jc w:val="center"/>
            </w:pPr>
          </w:p>
        </w:tc>
        <w:tc>
          <w:tcPr>
            <w:tcW w:w="2060" w:type="pct"/>
            <w:vAlign w:val="center"/>
          </w:tcPr>
          <w:p>
            <w:pPr>
              <w:tabs>
                <w:tab w:val="left" w:pos="3780"/>
              </w:tabs>
              <w:jc w:val="left"/>
            </w:pPr>
          </w:p>
        </w:tc>
        <w:tc>
          <w:tcPr>
            <w:tcW w:w="1184" w:type="pct"/>
            <w:vAlign w:val="center"/>
          </w:tcPr>
          <w:p>
            <w:pPr>
              <w:tabs>
                <w:tab w:val="left" w:pos="3780"/>
              </w:tabs>
              <w:jc w:val="center"/>
            </w:pPr>
          </w:p>
        </w:tc>
        <w:tc>
          <w:tcPr>
            <w:tcW w:w="1184" w:type="pct"/>
            <w:vAlign w:val="center"/>
          </w:tcPr>
          <w:p>
            <w:pPr>
              <w:tabs>
                <w:tab w:val="left" w:pos="3780"/>
              </w:tabs>
              <w:jc w:val="center"/>
            </w:pPr>
          </w:p>
        </w:tc>
      </w:tr>
    </w:tbl>
    <w:p>
      <w:pPr>
        <w:pStyle w:val="26"/>
      </w:pPr>
    </w:p>
    <w:p/>
    <w:p>
      <w:pPr>
        <w:pStyle w:val="25"/>
      </w:pPr>
    </w:p>
    <w:p>
      <w:pPr>
        <w:rPr>
          <w:b/>
          <w:bCs/>
        </w:rPr>
        <w:sectPr>
          <w:pgSz w:w="11906" w:h="16838"/>
          <w:pgMar w:top="1418" w:right="1418" w:bottom="1418" w:left="1418" w:header="851" w:footer="992" w:gutter="0"/>
          <w:pgNumType w:fmt="decimal"/>
          <w:cols w:space="720" w:num="1"/>
          <w:docGrid w:linePitch="312" w:charSpace="0"/>
        </w:sectPr>
      </w:pPr>
      <w:r>
        <w:rPr>
          <w:rFonts w:hint="eastAsia"/>
          <w:b/>
          <w:bCs/>
        </w:rPr>
        <w:t>二、相关材料复印件（均需加盖公章）</w:t>
      </w:r>
    </w:p>
    <w:p>
      <w:r>
        <w:rPr>
          <w:rFonts w:hint="eastAsia"/>
        </w:rPr>
        <w:t>附件一 拟投入的主要施工设备表</w:t>
      </w:r>
      <w:bookmarkEnd w:id="797"/>
    </w:p>
    <w:tbl>
      <w:tblPr>
        <w:tblStyle w:val="18"/>
        <w:tblW w:w="96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925"/>
        <w:gridCol w:w="926"/>
        <w:gridCol w:w="926"/>
        <w:gridCol w:w="926"/>
        <w:gridCol w:w="928"/>
        <w:gridCol w:w="947"/>
        <w:gridCol w:w="928"/>
        <w:gridCol w:w="1285"/>
        <w:gridCol w:w="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6" w:hRule="atLeast"/>
          <w:jc w:val="center"/>
        </w:trPr>
        <w:tc>
          <w:tcPr>
            <w:tcW w:w="925"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序号</w:t>
            </w:r>
          </w:p>
        </w:tc>
        <w:tc>
          <w:tcPr>
            <w:tcW w:w="925"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设备</w:t>
            </w:r>
          </w:p>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名称</w:t>
            </w:r>
          </w:p>
        </w:tc>
        <w:tc>
          <w:tcPr>
            <w:tcW w:w="926"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型号</w:t>
            </w:r>
          </w:p>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规格</w:t>
            </w:r>
          </w:p>
        </w:tc>
        <w:tc>
          <w:tcPr>
            <w:tcW w:w="926"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数量</w:t>
            </w:r>
          </w:p>
        </w:tc>
        <w:tc>
          <w:tcPr>
            <w:tcW w:w="926"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国别</w:t>
            </w:r>
          </w:p>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产地</w:t>
            </w:r>
          </w:p>
        </w:tc>
        <w:tc>
          <w:tcPr>
            <w:tcW w:w="928"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制造</w:t>
            </w:r>
          </w:p>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年份</w:t>
            </w:r>
          </w:p>
        </w:tc>
        <w:tc>
          <w:tcPr>
            <w:tcW w:w="947"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额定功率（KW）</w:t>
            </w:r>
          </w:p>
        </w:tc>
        <w:tc>
          <w:tcPr>
            <w:tcW w:w="928"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生产</w:t>
            </w:r>
          </w:p>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能力</w:t>
            </w:r>
          </w:p>
        </w:tc>
        <w:tc>
          <w:tcPr>
            <w:tcW w:w="1285"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用于施工部位</w:t>
            </w:r>
          </w:p>
        </w:tc>
        <w:tc>
          <w:tcPr>
            <w:tcW w:w="928"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5"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5"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6"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6"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6"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8"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47"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8"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85"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8" w:type="dxa"/>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5"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5"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6"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6"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6"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8"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47"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8"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85"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28" w:type="dxa"/>
            <w:vAlign w:val="center"/>
          </w:tcPr>
          <w:p>
            <w:pPr>
              <w:tabs>
                <w:tab w:val="left" w:pos="639"/>
                <w:tab w:val="left" w:pos="3663"/>
                <w:tab w:val="left" w:pos="4968"/>
                <w:tab w:val="left" w:pos="6559"/>
                <w:tab w:val="left" w:pos="8199"/>
              </w:tabs>
              <w:jc w:val="left"/>
              <w:rPr>
                <w:rFonts w:ascii="宋体" w:hAnsi="宋体" w:eastAsia="宋体" w:cs="宋体"/>
                <w:szCs w:val="21"/>
              </w:rPr>
            </w:pPr>
          </w:p>
        </w:tc>
      </w:tr>
    </w:tbl>
    <w:p>
      <w:pPr>
        <w:tabs>
          <w:tab w:val="left" w:pos="639"/>
          <w:tab w:val="left" w:pos="3663"/>
          <w:tab w:val="left" w:pos="4968"/>
          <w:tab w:val="left" w:pos="6559"/>
          <w:tab w:val="left" w:pos="8199"/>
        </w:tabs>
        <w:jc w:val="left"/>
        <w:rPr>
          <w:rFonts w:ascii="宋体" w:hAnsi="宋体" w:eastAsia="宋体" w:cs="宋体"/>
          <w:szCs w:val="21"/>
        </w:rPr>
      </w:pPr>
    </w:p>
    <w:p>
      <w:bookmarkStart w:id="798" w:name="_Toc29592"/>
      <w:bookmarkStart w:id="799" w:name="_Toc144974866"/>
      <w:bookmarkStart w:id="800" w:name="_Toc152045798"/>
      <w:bookmarkStart w:id="801" w:name="_Toc179632818"/>
      <w:bookmarkStart w:id="802" w:name="_Toc152042587"/>
      <w:bookmarkStart w:id="803" w:name="_Toc246392156"/>
      <w:r>
        <w:rPr>
          <w:rFonts w:hint="eastAsia"/>
        </w:rPr>
        <w:t>附表二 拟配备的试验和检测仪器设备表</w:t>
      </w:r>
      <w:bookmarkEnd w:id="798"/>
      <w:bookmarkEnd w:id="799"/>
      <w:bookmarkEnd w:id="800"/>
      <w:bookmarkEnd w:id="801"/>
      <w:bookmarkEnd w:id="802"/>
      <w:bookmarkEnd w:id="803"/>
    </w:p>
    <w:tbl>
      <w:tblPr>
        <w:tblStyle w:val="18"/>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231"/>
        <w:gridCol w:w="1045"/>
        <w:gridCol w:w="1124"/>
        <w:gridCol w:w="1028"/>
        <w:gridCol w:w="1022"/>
        <w:gridCol w:w="1200"/>
        <w:gridCol w:w="1203"/>
        <w:gridCol w:w="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891"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序号</w:t>
            </w:r>
          </w:p>
        </w:tc>
        <w:tc>
          <w:tcPr>
            <w:tcW w:w="1231"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仪器设备名称</w:t>
            </w:r>
          </w:p>
        </w:tc>
        <w:tc>
          <w:tcPr>
            <w:tcW w:w="1045"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型号</w:t>
            </w:r>
          </w:p>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规格</w:t>
            </w:r>
          </w:p>
        </w:tc>
        <w:tc>
          <w:tcPr>
            <w:tcW w:w="1124"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数量</w:t>
            </w:r>
          </w:p>
        </w:tc>
        <w:tc>
          <w:tcPr>
            <w:tcW w:w="1028"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国别</w:t>
            </w:r>
          </w:p>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产地</w:t>
            </w:r>
          </w:p>
        </w:tc>
        <w:tc>
          <w:tcPr>
            <w:tcW w:w="1022"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制造</w:t>
            </w:r>
          </w:p>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年份</w:t>
            </w:r>
          </w:p>
        </w:tc>
        <w:tc>
          <w:tcPr>
            <w:tcW w:w="1200"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已使用</w:t>
            </w:r>
          </w:p>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台时数</w:t>
            </w:r>
          </w:p>
        </w:tc>
        <w:tc>
          <w:tcPr>
            <w:tcW w:w="120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用途</w:t>
            </w:r>
          </w:p>
        </w:tc>
        <w:tc>
          <w:tcPr>
            <w:tcW w:w="771"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1"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31"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045"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12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028"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022"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00"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03"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771" w:type="dxa"/>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1"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31"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045"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12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028"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022"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00"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03"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771" w:type="dxa"/>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1" w:type="dxa"/>
          </w:tcPr>
          <w:p>
            <w:pPr>
              <w:tabs>
                <w:tab w:val="left" w:pos="639"/>
                <w:tab w:val="left" w:pos="3663"/>
                <w:tab w:val="left" w:pos="4968"/>
                <w:tab w:val="left" w:pos="6559"/>
                <w:tab w:val="left" w:pos="8199"/>
              </w:tabs>
              <w:jc w:val="left"/>
              <w:rPr>
                <w:rFonts w:ascii="宋体" w:hAnsi="宋体" w:eastAsia="宋体" w:cs="宋体"/>
                <w:szCs w:val="21"/>
              </w:rPr>
            </w:pPr>
          </w:p>
        </w:tc>
        <w:tc>
          <w:tcPr>
            <w:tcW w:w="1231" w:type="dxa"/>
          </w:tcPr>
          <w:p>
            <w:pPr>
              <w:tabs>
                <w:tab w:val="left" w:pos="639"/>
                <w:tab w:val="left" w:pos="3663"/>
                <w:tab w:val="left" w:pos="4968"/>
                <w:tab w:val="left" w:pos="6559"/>
                <w:tab w:val="left" w:pos="8199"/>
              </w:tabs>
              <w:jc w:val="left"/>
              <w:rPr>
                <w:rFonts w:ascii="宋体" w:hAnsi="宋体" w:eastAsia="宋体" w:cs="宋体"/>
                <w:szCs w:val="21"/>
              </w:rPr>
            </w:pPr>
          </w:p>
        </w:tc>
        <w:tc>
          <w:tcPr>
            <w:tcW w:w="1045" w:type="dxa"/>
          </w:tcPr>
          <w:p>
            <w:pPr>
              <w:tabs>
                <w:tab w:val="left" w:pos="639"/>
                <w:tab w:val="left" w:pos="3663"/>
                <w:tab w:val="left" w:pos="4968"/>
                <w:tab w:val="left" w:pos="6559"/>
                <w:tab w:val="left" w:pos="8199"/>
              </w:tabs>
              <w:jc w:val="left"/>
              <w:rPr>
                <w:rFonts w:ascii="宋体" w:hAnsi="宋体" w:eastAsia="宋体" w:cs="宋体"/>
                <w:szCs w:val="21"/>
              </w:rPr>
            </w:pPr>
          </w:p>
        </w:tc>
        <w:tc>
          <w:tcPr>
            <w:tcW w:w="1124" w:type="dxa"/>
          </w:tcPr>
          <w:p>
            <w:pPr>
              <w:tabs>
                <w:tab w:val="left" w:pos="639"/>
                <w:tab w:val="left" w:pos="3663"/>
                <w:tab w:val="left" w:pos="4968"/>
                <w:tab w:val="left" w:pos="6559"/>
                <w:tab w:val="left" w:pos="8199"/>
              </w:tabs>
              <w:jc w:val="left"/>
              <w:rPr>
                <w:rFonts w:ascii="宋体" w:hAnsi="宋体" w:eastAsia="宋体" w:cs="宋体"/>
                <w:szCs w:val="21"/>
              </w:rPr>
            </w:pPr>
          </w:p>
        </w:tc>
        <w:tc>
          <w:tcPr>
            <w:tcW w:w="1028" w:type="dxa"/>
          </w:tcPr>
          <w:p>
            <w:pPr>
              <w:tabs>
                <w:tab w:val="left" w:pos="639"/>
                <w:tab w:val="left" w:pos="3663"/>
                <w:tab w:val="left" w:pos="4968"/>
                <w:tab w:val="left" w:pos="6559"/>
                <w:tab w:val="left" w:pos="8199"/>
              </w:tabs>
              <w:jc w:val="left"/>
              <w:rPr>
                <w:rFonts w:ascii="宋体" w:hAnsi="宋体" w:eastAsia="宋体" w:cs="宋体"/>
                <w:szCs w:val="21"/>
              </w:rPr>
            </w:pPr>
          </w:p>
        </w:tc>
        <w:tc>
          <w:tcPr>
            <w:tcW w:w="1022" w:type="dxa"/>
          </w:tcPr>
          <w:p>
            <w:pPr>
              <w:tabs>
                <w:tab w:val="left" w:pos="639"/>
                <w:tab w:val="left" w:pos="3663"/>
                <w:tab w:val="left" w:pos="4968"/>
                <w:tab w:val="left" w:pos="6559"/>
                <w:tab w:val="left" w:pos="8199"/>
              </w:tabs>
              <w:jc w:val="left"/>
              <w:rPr>
                <w:rFonts w:ascii="宋体" w:hAnsi="宋体" w:eastAsia="宋体" w:cs="宋体"/>
                <w:szCs w:val="21"/>
              </w:rPr>
            </w:pPr>
          </w:p>
        </w:tc>
        <w:tc>
          <w:tcPr>
            <w:tcW w:w="1200" w:type="dxa"/>
          </w:tcPr>
          <w:p>
            <w:pPr>
              <w:tabs>
                <w:tab w:val="left" w:pos="639"/>
                <w:tab w:val="left" w:pos="3663"/>
                <w:tab w:val="left" w:pos="4968"/>
                <w:tab w:val="left" w:pos="6559"/>
                <w:tab w:val="left" w:pos="8199"/>
              </w:tabs>
              <w:jc w:val="left"/>
              <w:rPr>
                <w:rFonts w:ascii="宋体" w:hAnsi="宋体" w:eastAsia="宋体" w:cs="宋体"/>
                <w:szCs w:val="21"/>
              </w:rPr>
            </w:pPr>
          </w:p>
        </w:tc>
        <w:tc>
          <w:tcPr>
            <w:tcW w:w="1203" w:type="dxa"/>
          </w:tcPr>
          <w:p>
            <w:pPr>
              <w:tabs>
                <w:tab w:val="left" w:pos="639"/>
                <w:tab w:val="left" w:pos="3663"/>
                <w:tab w:val="left" w:pos="4968"/>
                <w:tab w:val="left" w:pos="6559"/>
                <w:tab w:val="left" w:pos="8199"/>
              </w:tabs>
              <w:jc w:val="left"/>
              <w:rPr>
                <w:rFonts w:ascii="宋体" w:hAnsi="宋体" w:eastAsia="宋体" w:cs="宋体"/>
                <w:szCs w:val="21"/>
              </w:rPr>
            </w:pPr>
          </w:p>
        </w:tc>
        <w:tc>
          <w:tcPr>
            <w:tcW w:w="771" w:type="dxa"/>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1" w:type="dxa"/>
          </w:tcPr>
          <w:p>
            <w:pPr>
              <w:tabs>
                <w:tab w:val="left" w:pos="639"/>
                <w:tab w:val="left" w:pos="3663"/>
                <w:tab w:val="left" w:pos="4968"/>
                <w:tab w:val="left" w:pos="6559"/>
                <w:tab w:val="left" w:pos="8199"/>
              </w:tabs>
              <w:jc w:val="left"/>
              <w:rPr>
                <w:rFonts w:ascii="宋体" w:hAnsi="宋体" w:eastAsia="宋体" w:cs="宋体"/>
                <w:szCs w:val="21"/>
              </w:rPr>
            </w:pPr>
          </w:p>
        </w:tc>
        <w:tc>
          <w:tcPr>
            <w:tcW w:w="1231" w:type="dxa"/>
          </w:tcPr>
          <w:p>
            <w:pPr>
              <w:tabs>
                <w:tab w:val="left" w:pos="639"/>
                <w:tab w:val="left" w:pos="3663"/>
                <w:tab w:val="left" w:pos="4968"/>
                <w:tab w:val="left" w:pos="6559"/>
                <w:tab w:val="left" w:pos="8199"/>
              </w:tabs>
              <w:jc w:val="left"/>
              <w:rPr>
                <w:rFonts w:ascii="宋体" w:hAnsi="宋体" w:eastAsia="宋体" w:cs="宋体"/>
                <w:szCs w:val="21"/>
              </w:rPr>
            </w:pPr>
          </w:p>
        </w:tc>
        <w:tc>
          <w:tcPr>
            <w:tcW w:w="1045" w:type="dxa"/>
          </w:tcPr>
          <w:p>
            <w:pPr>
              <w:tabs>
                <w:tab w:val="left" w:pos="639"/>
                <w:tab w:val="left" w:pos="3663"/>
                <w:tab w:val="left" w:pos="4968"/>
                <w:tab w:val="left" w:pos="6559"/>
                <w:tab w:val="left" w:pos="8199"/>
              </w:tabs>
              <w:jc w:val="left"/>
              <w:rPr>
                <w:rFonts w:ascii="宋体" w:hAnsi="宋体" w:eastAsia="宋体" w:cs="宋体"/>
                <w:szCs w:val="21"/>
              </w:rPr>
            </w:pPr>
          </w:p>
        </w:tc>
        <w:tc>
          <w:tcPr>
            <w:tcW w:w="1124" w:type="dxa"/>
          </w:tcPr>
          <w:p>
            <w:pPr>
              <w:tabs>
                <w:tab w:val="left" w:pos="639"/>
                <w:tab w:val="left" w:pos="3663"/>
                <w:tab w:val="left" w:pos="4968"/>
                <w:tab w:val="left" w:pos="6559"/>
                <w:tab w:val="left" w:pos="8199"/>
              </w:tabs>
              <w:jc w:val="left"/>
              <w:rPr>
                <w:rFonts w:ascii="宋体" w:hAnsi="宋体" w:eastAsia="宋体" w:cs="宋体"/>
                <w:szCs w:val="21"/>
              </w:rPr>
            </w:pPr>
          </w:p>
        </w:tc>
        <w:tc>
          <w:tcPr>
            <w:tcW w:w="1028" w:type="dxa"/>
          </w:tcPr>
          <w:p>
            <w:pPr>
              <w:tabs>
                <w:tab w:val="left" w:pos="639"/>
                <w:tab w:val="left" w:pos="3663"/>
                <w:tab w:val="left" w:pos="4968"/>
                <w:tab w:val="left" w:pos="6559"/>
                <w:tab w:val="left" w:pos="8199"/>
              </w:tabs>
              <w:jc w:val="left"/>
              <w:rPr>
                <w:rFonts w:ascii="宋体" w:hAnsi="宋体" w:eastAsia="宋体" w:cs="宋体"/>
                <w:szCs w:val="21"/>
              </w:rPr>
            </w:pPr>
          </w:p>
        </w:tc>
        <w:tc>
          <w:tcPr>
            <w:tcW w:w="1022" w:type="dxa"/>
          </w:tcPr>
          <w:p>
            <w:pPr>
              <w:tabs>
                <w:tab w:val="left" w:pos="639"/>
                <w:tab w:val="left" w:pos="3663"/>
                <w:tab w:val="left" w:pos="4968"/>
                <w:tab w:val="left" w:pos="6559"/>
                <w:tab w:val="left" w:pos="8199"/>
              </w:tabs>
              <w:jc w:val="left"/>
              <w:rPr>
                <w:rFonts w:ascii="宋体" w:hAnsi="宋体" w:eastAsia="宋体" w:cs="宋体"/>
                <w:szCs w:val="21"/>
              </w:rPr>
            </w:pPr>
          </w:p>
        </w:tc>
        <w:tc>
          <w:tcPr>
            <w:tcW w:w="1200" w:type="dxa"/>
          </w:tcPr>
          <w:p>
            <w:pPr>
              <w:tabs>
                <w:tab w:val="left" w:pos="639"/>
                <w:tab w:val="left" w:pos="3663"/>
                <w:tab w:val="left" w:pos="4968"/>
                <w:tab w:val="left" w:pos="6559"/>
                <w:tab w:val="left" w:pos="8199"/>
              </w:tabs>
              <w:jc w:val="left"/>
              <w:rPr>
                <w:rFonts w:ascii="宋体" w:hAnsi="宋体" w:eastAsia="宋体" w:cs="宋体"/>
                <w:szCs w:val="21"/>
              </w:rPr>
            </w:pPr>
          </w:p>
        </w:tc>
        <w:tc>
          <w:tcPr>
            <w:tcW w:w="1203" w:type="dxa"/>
          </w:tcPr>
          <w:p>
            <w:pPr>
              <w:tabs>
                <w:tab w:val="left" w:pos="639"/>
                <w:tab w:val="left" w:pos="3663"/>
                <w:tab w:val="left" w:pos="4968"/>
                <w:tab w:val="left" w:pos="6559"/>
                <w:tab w:val="left" w:pos="8199"/>
              </w:tabs>
              <w:jc w:val="left"/>
              <w:rPr>
                <w:rFonts w:ascii="宋体" w:hAnsi="宋体" w:eastAsia="宋体" w:cs="宋体"/>
                <w:szCs w:val="21"/>
              </w:rPr>
            </w:pPr>
          </w:p>
        </w:tc>
        <w:tc>
          <w:tcPr>
            <w:tcW w:w="771" w:type="dxa"/>
          </w:tcPr>
          <w:p>
            <w:pPr>
              <w:tabs>
                <w:tab w:val="left" w:pos="639"/>
                <w:tab w:val="left" w:pos="3663"/>
                <w:tab w:val="left" w:pos="4968"/>
                <w:tab w:val="left" w:pos="6559"/>
                <w:tab w:val="left" w:pos="8199"/>
              </w:tabs>
              <w:jc w:val="left"/>
              <w:rPr>
                <w:rFonts w:ascii="宋体" w:hAnsi="宋体" w:eastAsia="宋体" w:cs="宋体"/>
                <w:szCs w:val="21"/>
              </w:rPr>
            </w:pPr>
          </w:p>
        </w:tc>
      </w:tr>
    </w:tbl>
    <w:p>
      <w:pPr>
        <w:tabs>
          <w:tab w:val="left" w:pos="639"/>
          <w:tab w:val="left" w:pos="3663"/>
          <w:tab w:val="left" w:pos="4968"/>
          <w:tab w:val="left" w:pos="6559"/>
          <w:tab w:val="left" w:pos="8199"/>
        </w:tabs>
        <w:jc w:val="left"/>
        <w:rPr>
          <w:rFonts w:ascii="宋体" w:hAnsi="宋体" w:eastAsia="宋体" w:cs="宋体"/>
          <w:szCs w:val="21"/>
        </w:rPr>
      </w:pPr>
    </w:p>
    <w:p>
      <w:bookmarkStart w:id="804" w:name="_Toc15502"/>
      <w:r>
        <w:rPr>
          <w:rFonts w:hint="eastAsia"/>
        </w:rPr>
        <w:t>附表三 项目管理班子配备情况表</w:t>
      </w:r>
      <w:bookmarkEnd w:id="804"/>
    </w:p>
    <w:tbl>
      <w:tblPr>
        <w:tblStyle w:val="18"/>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747"/>
        <w:gridCol w:w="746"/>
        <w:gridCol w:w="920"/>
        <w:gridCol w:w="921"/>
        <w:gridCol w:w="920"/>
        <w:gridCol w:w="921"/>
        <w:gridCol w:w="1542"/>
        <w:gridCol w:w="921"/>
        <w:gridCol w:w="1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1" w:type="dxa"/>
            <w:vMerge w:val="restart"/>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职务</w:t>
            </w:r>
          </w:p>
        </w:tc>
        <w:tc>
          <w:tcPr>
            <w:tcW w:w="747" w:type="dxa"/>
            <w:vMerge w:val="restart"/>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姓名</w:t>
            </w:r>
          </w:p>
        </w:tc>
        <w:tc>
          <w:tcPr>
            <w:tcW w:w="746" w:type="dxa"/>
            <w:vMerge w:val="restart"/>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职称</w:t>
            </w:r>
          </w:p>
        </w:tc>
        <w:tc>
          <w:tcPr>
            <w:tcW w:w="5224" w:type="dxa"/>
            <w:gridSpan w:val="5"/>
            <w:vAlign w:val="center"/>
          </w:tcPr>
          <w:p>
            <w:pPr>
              <w:tabs>
                <w:tab w:val="left" w:pos="639"/>
                <w:tab w:val="left" w:pos="3663"/>
                <w:tab w:val="left" w:pos="4968"/>
                <w:tab w:val="left" w:pos="6559"/>
                <w:tab w:val="left" w:pos="8199"/>
              </w:tabs>
              <w:jc w:val="center"/>
              <w:rPr>
                <w:rFonts w:ascii="宋体" w:hAnsi="宋体" w:eastAsia="宋体" w:cs="宋体"/>
                <w:szCs w:val="21"/>
              </w:rPr>
            </w:pPr>
            <w:r>
              <w:rPr>
                <w:rFonts w:hint="eastAsia" w:ascii="宋体" w:hAnsi="宋体" w:eastAsia="宋体" w:cs="宋体"/>
                <w:szCs w:val="21"/>
              </w:rPr>
              <w:t>上岗资格证明</w:t>
            </w:r>
          </w:p>
        </w:tc>
        <w:tc>
          <w:tcPr>
            <w:tcW w:w="2127" w:type="dxa"/>
            <w:gridSpan w:val="2"/>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已承担在建工程情况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1" w:type="dxa"/>
            <w:vMerge w:val="continue"/>
          </w:tcPr>
          <w:p>
            <w:pPr>
              <w:tabs>
                <w:tab w:val="left" w:pos="639"/>
                <w:tab w:val="left" w:pos="3663"/>
                <w:tab w:val="left" w:pos="4968"/>
                <w:tab w:val="left" w:pos="6559"/>
                <w:tab w:val="left" w:pos="8199"/>
              </w:tabs>
              <w:jc w:val="left"/>
              <w:rPr>
                <w:rFonts w:ascii="宋体" w:hAnsi="宋体" w:eastAsia="宋体" w:cs="宋体"/>
                <w:szCs w:val="21"/>
              </w:rPr>
            </w:pPr>
          </w:p>
        </w:tc>
        <w:tc>
          <w:tcPr>
            <w:tcW w:w="747" w:type="dxa"/>
            <w:vMerge w:val="continue"/>
          </w:tcPr>
          <w:p>
            <w:pPr>
              <w:tabs>
                <w:tab w:val="left" w:pos="639"/>
                <w:tab w:val="left" w:pos="3663"/>
                <w:tab w:val="left" w:pos="4968"/>
                <w:tab w:val="left" w:pos="6559"/>
                <w:tab w:val="left" w:pos="8199"/>
              </w:tabs>
              <w:jc w:val="left"/>
              <w:rPr>
                <w:rFonts w:ascii="宋体" w:hAnsi="宋体" w:eastAsia="宋体" w:cs="宋体"/>
                <w:szCs w:val="21"/>
              </w:rPr>
            </w:pPr>
          </w:p>
        </w:tc>
        <w:tc>
          <w:tcPr>
            <w:tcW w:w="746" w:type="dxa"/>
            <w:vMerge w:val="continue"/>
          </w:tcPr>
          <w:p>
            <w:pPr>
              <w:tabs>
                <w:tab w:val="left" w:pos="639"/>
                <w:tab w:val="left" w:pos="3663"/>
                <w:tab w:val="left" w:pos="4968"/>
                <w:tab w:val="left" w:pos="6559"/>
                <w:tab w:val="left" w:pos="8199"/>
              </w:tabs>
              <w:jc w:val="left"/>
              <w:rPr>
                <w:rFonts w:ascii="宋体" w:hAnsi="宋体" w:eastAsia="宋体" w:cs="宋体"/>
                <w:szCs w:val="21"/>
              </w:rPr>
            </w:pPr>
          </w:p>
        </w:tc>
        <w:tc>
          <w:tcPr>
            <w:tcW w:w="920"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证书</w:t>
            </w:r>
          </w:p>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名称</w:t>
            </w:r>
          </w:p>
        </w:tc>
        <w:tc>
          <w:tcPr>
            <w:tcW w:w="921"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级别</w:t>
            </w:r>
          </w:p>
        </w:tc>
        <w:tc>
          <w:tcPr>
            <w:tcW w:w="920"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证号</w:t>
            </w:r>
          </w:p>
        </w:tc>
        <w:tc>
          <w:tcPr>
            <w:tcW w:w="921"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专业</w:t>
            </w:r>
          </w:p>
        </w:tc>
        <w:tc>
          <w:tcPr>
            <w:tcW w:w="1542"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原服务单位</w:t>
            </w:r>
          </w:p>
        </w:tc>
        <w:tc>
          <w:tcPr>
            <w:tcW w:w="921"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项目数</w:t>
            </w:r>
          </w:p>
        </w:tc>
        <w:tc>
          <w:tcPr>
            <w:tcW w:w="1206"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主要项目名称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671" w:type="dxa"/>
          </w:tcPr>
          <w:p>
            <w:pPr>
              <w:tabs>
                <w:tab w:val="left" w:pos="639"/>
                <w:tab w:val="left" w:pos="3663"/>
                <w:tab w:val="left" w:pos="4968"/>
                <w:tab w:val="left" w:pos="6559"/>
                <w:tab w:val="left" w:pos="8199"/>
              </w:tabs>
              <w:jc w:val="left"/>
              <w:rPr>
                <w:rFonts w:ascii="宋体" w:hAnsi="宋体" w:eastAsia="宋体" w:cs="宋体"/>
                <w:szCs w:val="21"/>
              </w:rPr>
            </w:pPr>
          </w:p>
        </w:tc>
        <w:tc>
          <w:tcPr>
            <w:tcW w:w="747" w:type="dxa"/>
          </w:tcPr>
          <w:p>
            <w:pPr>
              <w:tabs>
                <w:tab w:val="left" w:pos="639"/>
                <w:tab w:val="left" w:pos="3663"/>
                <w:tab w:val="left" w:pos="4968"/>
                <w:tab w:val="left" w:pos="6559"/>
                <w:tab w:val="left" w:pos="8199"/>
              </w:tabs>
              <w:jc w:val="left"/>
              <w:rPr>
                <w:rFonts w:ascii="宋体" w:hAnsi="宋体" w:eastAsia="宋体" w:cs="宋体"/>
                <w:szCs w:val="21"/>
              </w:rPr>
            </w:pPr>
          </w:p>
        </w:tc>
        <w:tc>
          <w:tcPr>
            <w:tcW w:w="746" w:type="dxa"/>
          </w:tcPr>
          <w:p>
            <w:pPr>
              <w:tabs>
                <w:tab w:val="left" w:pos="639"/>
                <w:tab w:val="left" w:pos="3663"/>
                <w:tab w:val="left" w:pos="4968"/>
                <w:tab w:val="left" w:pos="6559"/>
                <w:tab w:val="left" w:pos="8199"/>
              </w:tabs>
              <w:jc w:val="left"/>
              <w:rPr>
                <w:rFonts w:ascii="宋体" w:hAnsi="宋体" w:eastAsia="宋体" w:cs="宋体"/>
                <w:szCs w:val="21"/>
              </w:rPr>
            </w:pPr>
          </w:p>
        </w:tc>
        <w:tc>
          <w:tcPr>
            <w:tcW w:w="920" w:type="dxa"/>
          </w:tcPr>
          <w:p>
            <w:pPr>
              <w:tabs>
                <w:tab w:val="left" w:pos="639"/>
                <w:tab w:val="left" w:pos="3663"/>
                <w:tab w:val="left" w:pos="4968"/>
                <w:tab w:val="left" w:pos="6559"/>
                <w:tab w:val="left" w:pos="8199"/>
              </w:tabs>
              <w:jc w:val="left"/>
              <w:rPr>
                <w:rFonts w:ascii="宋体" w:hAnsi="宋体" w:eastAsia="宋体" w:cs="宋体"/>
                <w:szCs w:val="21"/>
              </w:rPr>
            </w:pPr>
          </w:p>
        </w:tc>
        <w:tc>
          <w:tcPr>
            <w:tcW w:w="921" w:type="dxa"/>
          </w:tcPr>
          <w:p>
            <w:pPr>
              <w:tabs>
                <w:tab w:val="left" w:pos="639"/>
                <w:tab w:val="left" w:pos="3663"/>
                <w:tab w:val="left" w:pos="4968"/>
                <w:tab w:val="left" w:pos="6559"/>
                <w:tab w:val="left" w:pos="8199"/>
              </w:tabs>
              <w:jc w:val="left"/>
              <w:rPr>
                <w:rFonts w:ascii="宋体" w:hAnsi="宋体" w:eastAsia="宋体" w:cs="宋体"/>
                <w:szCs w:val="21"/>
              </w:rPr>
            </w:pPr>
          </w:p>
        </w:tc>
        <w:tc>
          <w:tcPr>
            <w:tcW w:w="920" w:type="dxa"/>
          </w:tcPr>
          <w:p>
            <w:pPr>
              <w:tabs>
                <w:tab w:val="left" w:pos="639"/>
                <w:tab w:val="left" w:pos="3663"/>
                <w:tab w:val="left" w:pos="4968"/>
                <w:tab w:val="left" w:pos="6559"/>
                <w:tab w:val="left" w:pos="8199"/>
              </w:tabs>
              <w:jc w:val="left"/>
              <w:rPr>
                <w:rFonts w:ascii="宋体" w:hAnsi="宋体" w:eastAsia="宋体" w:cs="宋体"/>
                <w:szCs w:val="21"/>
              </w:rPr>
            </w:pPr>
          </w:p>
        </w:tc>
        <w:tc>
          <w:tcPr>
            <w:tcW w:w="921" w:type="dxa"/>
          </w:tcPr>
          <w:p>
            <w:pPr>
              <w:tabs>
                <w:tab w:val="left" w:pos="639"/>
                <w:tab w:val="left" w:pos="3663"/>
                <w:tab w:val="left" w:pos="4968"/>
                <w:tab w:val="left" w:pos="6559"/>
                <w:tab w:val="left" w:pos="8199"/>
              </w:tabs>
              <w:jc w:val="left"/>
              <w:rPr>
                <w:rFonts w:ascii="宋体" w:hAnsi="宋体" w:eastAsia="宋体" w:cs="宋体"/>
                <w:szCs w:val="21"/>
              </w:rPr>
            </w:pPr>
          </w:p>
        </w:tc>
        <w:tc>
          <w:tcPr>
            <w:tcW w:w="1542" w:type="dxa"/>
          </w:tcPr>
          <w:p>
            <w:pPr>
              <w:tabs>
                <w:tab w:val="left" w:pos="639"/>
                <w:tab w:val="left" w:pos="3663"/>
                <w:tab w:val="left" w:pos="4968"/>
                <w:tab w:val="left" w:pos="6559"/>
                <w:tab w:val="left" w:pos="8199"/>
              </w:tabs>
              <w:jc w:val="left"/>
              <w:rPr>
                <w:rFonts w:ascii="宋体" w:hAnsi="宋体" w:eastAsia="宋体" w:cs="宋体"/>
                <w:szCs w:val="21"/>
              </w:rPr>
            </w:pPr>
          </w:p>
        </w:tc>
        <w:tc>
          <w:tcPr>
            <w:tcW w:w="921" w:type="dxa"/>
          </w:tcPr>
          <w:p>
            <w:pPr>
              <w:tabs>
                <w:tab w:val="left" w:pos="639"/>
                <w:tab w:val="left" w:pos="3663"/>
                <w:tab w:val="left" w:pos="4968"/>
                <w:tab w:val="left" w:pos="6559"/>
                <w:tab w:val="left" w:pos="8199"/>
              </w:tabs>
              <w:jc w:val="left"/>
              <w:rPr>
                <w:rFonts w:ascii="宋体" w:hAnsi="宋体" w:eastAsia="宋体" w:cs="宋体"/>
                <w:szCs w:val="21"/>
              </w:rPr>
            </w:pPr>
          </w:p>
        </w:tc>
        <w:tc>
          <w:tcPr>
            <w:tcW w:w="1206" w:type="dxa"/>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671" w:type="dxa"/>
          </w:tcPr>
          <w:p>
            <w:pPr>
              <w:tabs>
                <w:tab w:val="left" w:pos="639"/>
                <w:tab w:val="left" w:pos="3663"/>
                <w:tab w:val="left" w:pos="4968"/>
                <w:tab w:val="left" w:pos="6559"/>
                <w:tab w:val="left" w:pos="8199"/>
              </w:tabs>
              <w:jc w:val="left"/>
              <w:rPr>
                <w:rFonts w:ascii="宋体" w:hAnsi="宋体" w:eastAsia="宋体" w:cs="宋体"/>
                <w:szCs w:val="21"/>
              </w:rPr>
            </w:pPr>
          </w:p>
        </w:tc>
        <w:tc>
          <w:tcPr>
            <w:tcW w:w="747" w:type="dxa"/>
          </w:tcPr>
          <w:p>
            <w:pPr>
              <w:tabs>
                <w:tab w:val="left" w:pos="639"/>
                <w:tab w:val="left" w:pos="3663"/>
                <w:tab w:val="left" w:pos="4968"/>
                <w:tab w:val="left" w:pos="6559"/>
                <w:tab w:val="left" w:pos="8199"/>
              </w:tabs>
              <w:jc w:val="left"/>
              <w:rPr>
                <w:rFonts w:ascii="宋体" w:hAnsi="宋体" w:eastAsia="宋体" w:cs="宋体"/>
                <w:szCs w:val="21"/>
              </w:rPr>
            </w:pPr>
          </w:p>
        </w:tc>
        <w:tc>
          <w:tcPr>
            <w:tcW w:w="746" w:type="dxa"/>
          </w:tcPr>
          <w:p>
            <w:pPr>
              <w:tabs>
                <w:tab w:val="left" w:pos="639"/>
                <w:tab w:val="left" w:pos="3663"/>
                <w:tab w:val="left" w:pos="4968"/>
                <w:tab w:val="left" w:pos="6559"/>
                <w:tab w:val="left" w:pos="8199"/>
              </w:tabs>
              <w:jc w:val="left"/>
              <w:rPr>
                <w:rFonts w:ascii="宋体" w:hAnsi="宋体" w:eastAsia="宋体" w:cs="宋体"/>
                <w:szCs w:val="21"/>
              </w:rPr>
            </w:pPr>
          </w:p>
        </w:tc>
        <w:tc>
          <w:tcPr>
            <w:tcW w:w="920" w:type="dxa"/>
          </w:tcPr>
          <w:p>
            <w:pPr>
              <w:tabs>
                <w:tab w:val="left" w:pos="639"/>
                <w:tab w:val="left" w:pos="3663"/>
                <w:tab w:val="left" w:pos="4968"/>
                <w:tab w:val="left" w:pos="6559"/>
                <w:tab w:val="left" w:pos="8199"/>
              </w:tabs>
              <w:jc w:val="left"/>
              <w:rPr>
                <w:rFonts w:ascii="宋体" w:hAnsi="宋体" w:eastAsia="宋体" w:cs="宋体"/>
                <w:szCs w:val="21"/>
              </w:rPr>
            </w:pPr>
          </w:p>
        </w:tc>
        <w:tc>
          <w:tcPr>
            <w:tcW w:w="921" w:type="dxa"/>
          </w:tcPr>
          <w:p>
            <w:pPr>
              <w:tabs>
                <w:tab w:val="left" w:pos="639"/>
                <w:tab w:val="left" w:pos="3663"/>
                <w:tab w:val="left" w:pos="4968"/>
                <w:tab w:val="left" w:pos="6559"/>
                <w:tab w:val="left" w:pos="8199"/>
              </w:tabs>
              <w:jc w:val="left"/>
              <w:rPr>
                <w:rFonts w:ascii="宋体" w:hAnsi="宋体" w:eastAsia="宋体" w:cs="宋体"/>
                <w:szCs w:val="21"/>
              </w:rPr>
            </w:pPr>
          </w:p>
        </w:tc>
        <w:tc>
          <w:tcPr>
            <w:tcW w:w="920" w:type="dxa"/>
          </w:tcPr>
          <w:p>
            <w:pPr>
              <w:tabs>
                <w:tab w:val="left" w:pos="639"/>
                <w:tab w:val="left" w:pos="3663"/>
                <w:tab w:val="left" w:pos="4968"/>
                <w:tab w:val="left" w:pos="6559"/>
                <w:tab w:val="left" w:pos="8199"/>
              </w:tabs>
              <w:jc w:val="left"/>
              <w:rPr>
                <w:rFonts w:ascii="宋体" w:hAnsi="宋体" w:eastAsia="宋体" w:cs="宋体"/>
                <w:szCs w:val="21"/>
              </w:rPr>
            </w:pPr>
          </w:p>
        </w:tc>
        <w:tc>
          <w:tcPr>
            <w:tcW w:w="921" w:type="dxa"/>
          </w:tcPr>
          <w:p>
            <w:pPr>
              <w:tabs>
                <w:tab w:val="left" w:pos="639"/>
                <w:tab w:val="left" w:pos="3663"/>
                <w:tab w:val="left" w:pos="4968"/>
                <w:tab w:val="left" w:pos="6559"/>
                <w:tab w:val="left" w:pos="8199"/>
              </w:tabs>
              <w:jc w:val="left"/>
              <w:rPr>
                <w:rFonts w:ascii="宋体" w:hAnsi="宋体" w:eastAsia="宋体" w:cs="宋体"/>
                <w:szCs w:val="21"/>
              </w:rPr>
            </w:pPr>
          </w:p>
        </w:tc>
        <w:tc>
          <w:tcPr>
            <w:tcW w:w="1542" w:type="dxa"/>
          </w:tcPr>
          <w:p>
            <w:pPr>
              <w:tabs>
                <w:tab w:val="left" w:pos="639"/>
                <w:tab w:val="left" w:pos="3663"/>
                <w:tab w:val="left" w:pos="4968"/>
                <w:tab w:val="left" w:pos="6559"/>
                <w:tab w:val="left" w:pos="8199"/>
              </w:tabs>
              <w:jc w:val="left"/>
              <w:rPr>
                <w:rFonts w:ascii="宋体" w:hAnsi="宋体" w:eastAsia="宋体" w:cs="宋体"/>
                <w:szCs w:val="21"/>
              </w:rPr>
            </w:pPr>
          </w:p>
        </w:tc>
        <w:tc>
          <w:tcPr>
            <w:tcW w:w="921" w:type="dxa"/>
          </w:tcPr>
          <w:p>
            <w:pPr>
              <w:tabs>
                <w:tab w:val="left" w:pos="639"/>
                <w:tab w:val="left" w:pos="3663"/>
                <w:tab w:val="left" w:pos="4968"/>
                <w:tab w:val="left" w:pos="6559"/>
                <w:tab w:val="left" w:pos="8199"/>
              </w:tabs>
              <w:jc w:val="left"/>
              <w:rPr>
                <w:rFonts w:ascii="宋体" w:hAnsi="宋体" w:eastAsia="宋体" w:cs="宋体"/>
                <w:szCs w:val="21"/>
              </w:rPr>
            </w:pPr>
          </w:p>
        </w:tc>
        <w:tc>
          <w:tcPr>
            <w:tcW w:w="1206" w:type="dxa"/>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671" w:type="dxa"/>
          </w:tcPr>
          <w:p>
            <w:pPr>
              <w:tabs>
                <w:tab w:val="left" w:pos="639"/>
                <w:tab w:val="left" w:pos="3663"/>
                <w:tab w:val="left" w:pos="4968"/>
                <w:tab w:val="left" w:pos="6559"/>
                <w:tab w:val="left" w:pos="8199"/>
              </w:tabs>
              <w:jc w:val="left"/>
              <w:rPr>
                <w:rFonts w:ascii="宋体" w:hAnsi="宋体" w:eastAsia="宋体" w:cs="宋体"/>
                <w:szCs w:val="21"/>
              </w:rPr>
            </w:pPr>
          </w:p>
        </w:tc>
        <w:tc>
          <w:tcPr>
            <w:tcW w:w="747" w:type="dxa"/>
          </w:tcPr>
          <w:p>
            <w:pPr>
              <w:tabs>
                <w:tab w:val="left" w:pos="639"/>
                <w:tab w:val="left" w:pos="3663"/>
                <w:tab w:val="left" w:pos="4968"/>
                <w:tab w:val="left" w:pos="6559"/>
                <w:tab w:val="left" w:pos="8199"/>
              </w:tabs>
              <w:jc w:val="left"/>
              <w:rPr>
                <w:rFonts w:ascii="宋体" w:hAnsi="宋体" w:eastAsia="宋体" w:cs="宋体"/>
                <w:szCs w:val="21"/>
              </w:rPr>
            </w:pPr>
          </w:p>
        </w:tc>
        <w:tc>
          <w:tcPr>
            <w:tcW w:w="746" w:type="dxa"/>
          </w:tcPr>
          <w:p>
            <w:pPr>
              <w:tabs>
                <w:tab w:val="left" w:pos="639"/>
                <w:tab w:val="left" w:pos="3663"/>
                <w:tab w:val="left" w:pos="4968"/>
                <w:tab w:val="left" w:pos="6559"/>
                <w:tab w:val="left" w:pos="8199"/>
              </w:tabs>
              <w:jc w:val="left"/>
              <w:rPr>
                <w:rFonts w:ascii="宋体" w:hAnsi="宋体" w:eastAsia="宋体" w:cs="宋体"/>
                <w:szCs w:val="21"/>
              </w:rPr>
            </w:pPr>
          </w:p>
        </w:tc>
        <w:tc>
          <w:tcPr>
            <w:tcW w:w="920" w:type="dxa"/>
          </w:tcPr>
          <w:p>
            <w:pPr>
              <w:tabs>
                <w:tab w:val="left" w:pos="639"/>
                <w:tab w:val="left" w:pos="3663"/>
                <w:tab w:val="left" w:pos="4968"/>
                <w:tab w:val="left" w:pos="6559"/>
                <w:tab w:val="left" w:pos="8199"/>
              </w:tabs>
              <w:jc w:val="left"/>
              <w:rPr>
                <w:rFonts w:ascii="宋体" w:hAnsi="宋体" w:eastAsia="宋体" w:cs="宋体"/>
                <w:szCs w:val="21"/>
              </w:rPr>
            </w:pPr>
          </w:p>
        </w:tc>
        <w:tc>
          <w:tcPr>
            <w:tcW w:w="921" w:type="dxa"/>
          </w:tcPr>
          <w:p>
            <w:pPr>
              <w:tabs>
                <w:tab w:val="left" w:pos="639"/>
                <w:tab w:val="left" w:pos="3663"/>
                <w:tab w:val="left" w:pos="4968"/>
                <w:tab w:val="left" w:pos="6559"/>
                <w:tab w:val="left" w:pos="8199"/>
              </w:tabs>
              <w:jc w:val="left"/>
              <w:rPr>
                <w:rFonts w:ascii="宋体" w:hAnsi="宋体" w:eastAsia="宋体" w:cs="宋体"/>
                <w:szCs w:val="21"/>
              </w:rPr>
            </w:pPr>
          </w:p>
        </w:tc>
        <w:tc>
          <w:tcPr>
            <w:tcW w:w="920" w:type="dxa"/>
          </w:tcPr>
          <w:p>
            <w:pPr>
              <w:tabs>
                <w:tab w:val="left" w:pos="639"/>
                <w:tab w:val="left" w:pos="3663"/>
                <w:tab w:val="left" w:pos="4968"/>
                <w:tab w:val="left" w:pos="6559"/>
                <w:tab w:val="left" w:pos="8199"/>
              </w:tabs>
              <w:jc w:val="left"/>
              <w:rPr>
                <w:rFonts w:ascii="宋体" w:hAnsi="宋体" w:eastAsia="宋体" w:cs="宋体"/>
                <w:szCs w:val="21"/>
              </w:rPr>
            </w:pPr>
          </w:p>
        </w:tc>
        <w:tc>
          <w:tcPr>
            <w:tcW w:w="921" w:type="dxa"/>
          </w:tcPr>
          <w:p>
            <w:pPr>
              <w:tabs>
                <w:tab w:val="left" w:pos="639"/>
                <w:tab w:val="left" w:pos="3663"/>
                <w:tab w:val="left" w:pos="4968"/>
                <w:tab w:val="left" w:pos="6559"/>
                <w:tab w:val="left" w:pos="8199"/>
              </w:tabs>
              <w:jc w:val="left"/>
              <w:rPr>
                <w:rFonts w:ascii="宋体" w:hAnsi="宋体" w:eastAsia="宋体" w:cs="宋体"/>
                <w:szCs w:val="21"/>
              </w:rPr>
            </w:pPr>
          </w:p>
        </w:tc>
        <w:tc>
          <w:tcPr>
            <w:tcW w:w="1542" w:type="dxa"/>
          </w:tcPr>
          <w:p>
            <w:pPr>
              <w:tabs>
                <w:tab w:val="left" w:pos="639"/>
                <w:tab w:val="left" w:pos="3663"/>
                <w:tab w:val="left" w:pos="4968"/>
                <w:tab w:val="left" w:pos="6559"/>
                <w:tab w:val="left" w:pos="8199"/>
              </w:tabs>
              <w:jc w:val="left"/>
              <w:rPr>
                <w:rFonts w:ascii="宋体" w:hAnsi="宋体" w:eastAsia="宋体" w:cs="宋体"/>
                <w:szCs w:val="21"/>
              </w:rPr>
            </w:pPr>
          </w:p>
        </w:tc>
        <w:tc>
          <w:tcPr>
            <w:tcW w:w="921" w:type="dxa"/>
          </w:tcPr>
          <w:p>
            <w:pPr>
              <w:tabs>
                <w:tab w:val="left" w:pos="639"/>
                <w:tab w:val="left" w:pos="3663"/>
                <w:tab w:val="left" w:pos="4968"/>
                <w:tab w:val="left" w:pos="6559"/>
                <w:tab w:val="left" w:pos="8199"/>
              </w:tabs>
              <w:jc w:val="left"/>
              <w:rPr>
                <w:rFonts w:ascii="宋体" w:hAnsi="宋体" w:eastAsia="宋体" w:cs="宋体"/>
                <w:szCs w:val="21"/>
              </w:rPr>
            </w:pPr>
          </w:p>
        </w:tc>
        <w:tc>
          <w:tcPr>
            <w:tcW w:w="1206" w:type="dxa"/>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671" w:type="dxa"/>
          </w:tcPr>
          <w:p>
            <w:pPr>
              <w:tabs>
                <w:tab w:val="left" w:pos="639"/>
                <w:tab w:val="left" w:pos="3663"/>
                <w:tab w:val="left" w:pos="4968"/>
                <w:tab w:val="left" w:pos="6559"/>
                <w:tab w:val="left" w:pos="8199"/>
              </w:tabs>
              <w:jc w:val="left"/>
              <w:rPr>
                <w:rFonts w:ascii="宋体" w:hAnsi="宋体" w:eastAsia="宋体" w:cs="宋体"/>
                <w:szCs w:val="21"/>
              </w:rPr>
            </w:pPr>
          </w:p>
        </w:tc>
        <w:tc>
          <w:tcPr>
            <w:tcW w:w="747" w:type="dxa"/>
          </w:tcPr>
          <w:p>
            <w:pPr>
              <w:tabs>
                <w:tab w:val="left" w:pos="639"/>
                <w:tab w:val="left" w:pos="3663"/>
                <w:tab w:val="left" w:pos="4968"/>
                <w:tab w:val="left" w:pos="6559"/>
                <w:tab w:val="left" w:pos="8199"/>
              </w:tabs>
              <w:jc w:val="left"/>
              <w:rPr>
                <w:rFonts w:ascii="宋体" w:hAnsi="宋体" w:eastAsia="宋体" w:cs="宋体"/>
                <w:szCs w:val="21"/>
              </w:rPr>
            </w:pPr>
          </w:p>
        </w:tc>
        <w:tc>
          <w:tcPr>
            <w:tcW w:w="746" w:type="dxa"/>
          </w:tcPr>
          <w:p>
            <w:pPr>
              <w:tabs>
                <w:tab w:val="left" w:pos="639"/>
                <w:tab w:val="left" w:pos="3663"/>
                <w:tab w:val="left" w:pos="4968"/>
                <w:tab w:val="left" w:pos="6559"/>
                <w:tab w:val="left" w:pos="8199"/>
              </w:tabs>
              <w:jc w:val="left"/>
              <w:rPr>
                <w:rFonts w:ascii="宋体" w:hAnsi="宋体" w:eastAsia="宋体" w:cs="宋体"/>
                <w:szCs w:val="21"/>
              </w:rPr>
            </w:pPr>
          </w:p>
        </w:tc>
        <w:tc>
          <w:tcPr>
            <w:tcW w:w="920" w:type="dxa"/>
          </w:tcPr>
          <w:p>
            <w:pPr>
              <w:tabs>
                <w:tab w:val="left" w:pos="639"/>
                <w:tab w:val="left" w:pos="3663"/>
                <w:tab w:val="left" w:pos="4968"/>
                <w:tab w:val="left" w:pos="6559"/>
                <w:tab w:val="left" w:pos="8199"/>
              </w:tabs>
              <w:jc w:val="left"/>
              <w:rPr>
                <w:rFonts w:ascii="宋体" w:hAnsi="宋体" w:eastAsia="宋体" w:cs="宋体"/>
                <w:szCs w:val="21"/>
              </w:rPr>
            </w:pPr>
          </w:p>
        </w:tc>
        <w:tc>
          <w:tcPr>
            <w:tcW w:w="921" w:type="dxa"/>
          </w:tcPr>
          <w:p>
            <w:pPr>
              <w:tabs>
                <w:tab w:val="left" w:pos="639"/>
                <w:tab w:val="left" w:pos="3663"/>
                <w:tab w:val="left" w:pos="4968"/>
                <w:tab w:val="left" w:pos="6559"/>
                <w:tab w:val="left" w:pos="8199"/>
              </w:tabs>
              <w:jc w:val="left"/>
              <w:rPr>
                <w:rFonts w:ascii="宋体" w:hAnsi="宋体" w:eastAsia="宋体" w:cs="宋体"/>
                <w:szCs w:val="21"/>
              </w:rPr>
            </w:pPr>
          </w:p>
        </w:tc>
        <w:tc>
          <w:tcPr>
            <w:tcW w:w="920" w:type="dxa"/>
          </w:tcPr>
          <w:p>
            <w:pPr>
              <w:tabs>
                <w:tab w:val="left" w:pos="639"/>
                <w:tab w:val="left" w:pos="3663"/>
                <w:tab w:val="left" w:pos="4968"/>
                <w:tab w:val="left" w:pos="6559"/>
                <w:tab w:val="left" w:pos="8199"/>
              </w:tabs>
              <w:jc w:val="left"/>
              <w:rPr>
                <w:rFonts w:ascii="宋体" w:hAnsi="宋体" w:eastAsia="宋体" w:cs="宋体"/>
                <w:szCs w:val="21"/>
              </w:rPr>
            </w:pPr>
          </w:p>
        </w:tc>
        <w:tc>
          <w:tcPr>
            <w:tcW w:w="921" w:type="dxa"/>
          </w:tcPr>
          <w:p>
            <w:pPr>
              <w:tabs>
                <w:tab w:val="left" w:pos="639"/>
                <w:tab w:val="left" w:pos="3663"/>
                <w:tab w:val="left" w:pos="4968"/>
                <w:tab w:val="left" w:pos="6559"/>
                <w:tab w:val="left" w:pos="8199"/>
              </w:tabs>
              <w:jc w:val="left"/>
              <w:rPr>
                <w:rFonts w:ascii="宋体" w:hAnsi="宋体" w:eastAsia="宋体" w:cs="宋体"/>
                <w:szCs w:val="21"/>
              </w:rPr>
            </w:pPr>
          </w:p>
        </w:tc>
        <w:tc>
          <w:tcPr>
            <w:tcW w:w="1542" w:type="dxa"/>
          </w:tcPr>
          <w:p>
            <w:pPr>
              <w:tabs>
                <w:tab w:val="left" w:pos="639"/>
                <w:tab w:val="left" w:pos="3663"/>
                <w:tab w:val="left" w:pos="4968"/>
                <w:tab w:val="left" w:pos="6559"/>
                <w:tab w:val="left" w:pos="8199"/>
              </w:tabs>
              <w:jc w:val="left"/>
              <w:rPr>
                <w:rFonts w:ascii="宋体" w:hAnsi="宋体" w:eastAsia="宋体" w:cs="宋体"/>
                <w:szCs w:val="21"/>
              </w:rPr>
            </w:pPr>
          </w:p>
        </w:tc>
        <w:tc>
          <w:tcPr>
            <w:tcW w:w="921" w:type="dxa"/>
          </w:tcPr>
          <w:p>
            <w:pPr>
              <w:tabs>
                <w:tab w:val="left" w:pos="639"/>
                <w:tab w:val="left" w:pos="3663"/>
                <w:tab w:val="left" w:pos="4968"/>
                <w:tab w:val="left" w:pos="6559"/>
                <w:tab w:val="left" w:pos="8199"/>
              </w:tabs>
              <w:jc w:val="left"/>
              <w:rPr>
                <w:rFonts w:ascii="宋体" w:hAnsi="宋体" w:eastAsia="宋体" w:cs="宋体"/>
                <w:szCs w:val="21"/>
              </w:rPr>
            </w:pPr>
          </w:p>
        </w:tc>
        <w:tc>
          <w:tcPr>
            <w:tcW w:w="1206" w:type="dxa"/>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6" w:hRule="exact"/>
          <w:jc w:val="center"/>
        </w:trPr>
        <w:tc>
          <w:tcPr>
            <w:tcW w:w="9515" w:type="dxa"/>
            <w:gridSpan w:val="10"/>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本项目一旦我单位中标，将实行项目经理负责制，并配备上述项目管理班子。上述填报内容真实，若不真实，愿按有关规定接受处理。项目管理班子机构设置、职责分工等情况另附资料说明。</w:t>
            </w:r>
          </w:p>
        </w:tc>
      </w:tr>
    </w:tbl>
    <w:p>
      <w:bookmarkStart w:id="805" w:name="_Toc26125"/>
    </w:p>
    <w:p>
      <w:r>
        <w:rPr>
          <w:rFonts w:hint="eastAsia"/>
        </w:rPr>
        <w:t>附表四 项目经理简历表</w:t>
      </w:r>
      <w:bookmarkEnd w:id="805"/>
    </w:p>
    <w:tbl>
      <w:tblPr>
        <w:tblStyle w:val="18"/>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3"/>
        <w:gridCol w:w="1563"/>
        <w:gridCol w:w="1563"/>
        <w:gridCol w:w="1698"/>
        <w:gridCol w:w="1564"/>
        <w:gridCol w:w="1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姓名</w:t>
            </w: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性别</w:t>
            </w:r>
          </w:p>
        </w:tc>
        <w:tc>
          <w:tcPr>
            <w:tcW w:w="1698"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年龄</w:t>
            </w: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职务</w:t>
            </w: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职称</w:t>
            </w:r>
          </w:p>
        </w:tc>
        <w:tc>
          <w:tcPr>
            <w:tcW w:w="1698"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学历</w:t>
            </w: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6" w:type="dxa"/>
            <w:gridSpan w:val="2"/>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参加工作时间</w:t>
            </w: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3262" w:type="dxa"/>
            <w:gridSpan w:val="2"/>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从事项目经理年限</w:t>
            </w: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6" w:type="dxa"/>
            <w:gridSpan w:val="2"/>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项目经理资格证书编号</w:t>
            </w:r>
          </w:p>
        </w:tc>
        <w:tc>
          <w:tcPr>
            <w:tcW w:w="6389" w:type="dxa"/>
            <w:gridSpan w:val="4"/>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15" w:type="dxa"/>
            <w:gridSpan w:val="6"/>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在建和已完工程项目情况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建设单位</w:t>
            </w: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项目名称</w:t>
            </w: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建设规模</w:t>
            </w:r>
          </w:p>
        </w:tc>
        <w:tc>
          <w:tcPr>
            <w:tcW w:w="1698"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开、竣工日期</w:t>
            </w: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在建或已完</w:t>
            </w: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698"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698"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698"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698"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r>
    </w:tbl>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备注：后附项目经理注册证书、B证、职称证等</w:t>
      </w:r>
    </w:p>
    <w:p>
      <w:pPr>
        <w:tabs>
          <w:tab w:val="left" w:pos="639"/>
          <w:tab w:val="left" w:pos="3663"/>
          <w:tab w:val="left" w:pos="4968"/>
          <w:tab w:val="left" w:pos="6559"/>
          <w:tab w:val="left" w:pos="8199"/>
        </w:tabs>
        <w:jc w:val="left"/>
        <w:rPr>
          <w:rFonts w:ascii="宋体" w:hAnsi="宋体" w:eastAsia="宋体" w:cs="宋体"/>
          <w:szCs w:val="21"/>
        </w:rPr>
      </w:pPr>
    </w:p>
    <w:p>
      <w:bookmarkStart w:id="806" w:name="_Toc31709"/>
      <w:r>
        <w:rPr>
          <w:rFonts w:hint="eastAsia"/>
        </w:rPr>
        <w:t>附表五 技术负责人简历表</w:t>
      </w:r>
      <w:bookmarkEnd w:id="806"/>
    </w:p>
    <w:tbl>
      <w:tblPr>
        <w:tblStyle w:val="18"/>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3"/>
        <w:gridCol w:w="1563"/>
        <w:gridCol w:w="1563"/>
        <w:gridCol w:w="1698"/>
        <w:gridCol w:w="1564"/>
        <w:gridCol w:w="1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姓名</w:t>
            </w: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性别</w:t>
            </w:r>
          </w:p>
        </w:tc>
        <w:tc>
          <w:tcPr>
            <w:tcW w:w="1698"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年龄</w:t>
            </w: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职务</w:t>
            </w: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职称</w:t>
            </w:r>
          </w:p>
        </w:tc>
        <w:tc>
          <w:tcPr>
            <w:tcW w:w="1698"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学历</w:t>
            </w: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126" w:type="dxa"/>
            <w:gridSpan w:val="2"/>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参加工作时间</w:t>
            </w: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3262" w:type="dxa"/>
            <w:gridSpan w:val="2"/>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从事技术负责人年限</w:t>
            </w: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126" w:type="dxa"/>
            <w:gridSpan w:val="2"/>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资格证书名称及编号</w:t>
            </w:r>
          </w:p>
        </w:tc>
        <w:tc>
          <w:tcPr>
            <w:tcW w:w="6389" w:type="dxa"/>
            <w:gridSpan w:val="4"/>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15" w:type="dxa"/>
            <w:gridSpan w:val="6"/>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在建和已完工程项目情况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建设单位</w:t>
            </w: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项目名称</w:t>
            </w:r>
          </w:p>
        </w:tc>
        <w:tc>
          <w:tcPr>
            <w:tcW w:w="1563"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建设规模</w:t>
            </w:r>
          </w:p>
        </w:tc>
        <w:tc>
          <w:tcPr>
            <w:tcW w:w="1698"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开、竣工日期</w:t>
            </w: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在建或已完</w:t>
            </w:r>
          </w:p>
        </w:tc>
        <w:tc>
          <w:tcPr>
            <w:tcW w:w="1564"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698"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698"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563" w:type="dxa"/>
          </w:tcPr>
          <w:p>
            <w:pPr>
              <w:tabs>
                <w:tab w:val="left" w:pos="639"/>
                <w:tab w:val="left" w:pos="3663"/>
                <w:tab w:val="left" w:pos="4968"/>
                <w:tab w:val="left" w:pos="6559"/>
                <w:tab w:val="left" w:pos="8199"/>
              </w:tabs>
              <w:jc w:val="left"/>
              <w:rPr>
                <w:rFonts w:ascii="宋体" w:hAnsi="宋体" w:eastAsia="宋体" w:cs="宋体"/>
                <w:szCs w:val="21"/>
              </w:rPr>
            </w:pPr>
          </w:p>
        </w:tc>
        <w:tc>
          <w:tcPr>
            <w:tcW w:w="1698"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c>
          <w:tcPr>
            <w:tcW w:w="1564" w:type="dxa"/>
          </w:tcPr>
          <w:p>
            <w:pPr>
              <w:tabs>
                <w:tab w:val="left" w:pos="639"/>
                <w:tab w:val="left" w:pos="3663"/>
                <w:tab w:val="left" w:pos="4968"/>
                <w:tab w:val="left" w:pos="6559"/>
                <w:tab w:val="left" w:pos="8199"/>
              </w:tabs>
              <w:jc w:val="left"/>
              <w:rPr>
                <w:rFonts w:ascii="宋体" w:hAnsi="宋体" w:eastAsia="宋体" w:cs="宋体"/>
                <w:szCs w:val="21"/>
              </w:rPr>
            </w:pPr>
          </w:p>
        </w:tc>
      </w:tr>
    </w:tbl>
    <w:p>
      <w:bookmarkStart w:id="807" w:name="_Toc152045799"/>
      <w:bookmarkStart w:id="808" w:name="_Toc152042588"/>
      <w:bookmarkStart w:id="809" w:name="_Toc144974867"/>
      <w:bookmarkStart w:id="810" w:name="_Toc246392157"/>
      <w:bookmarkStart w:id="811" w:name="_Toc179632819"/>
      <w:bookmarkStart w:id="812" w:name="_Toc25911"/>
    </w:p>
    <w:p>
      <w:r>
        <w:rPr>
          <w:rFonts w:hint="eastAsia"/>
        </w:rPr>
        <w:t>附表六 劳动力计划表</w:t>
      </w:r>
      <w:bookmarkEnd w:id="807"/>
      <w:bookmarkEnd w:id="808"/>
      <w:bookmarkEnd w:id="809"/>
      <w:bookmarkEnd w:id="810"/>
      <w:bookmarkEnd w:id="811"/>
      <w:bookmarkEnd w:id="812"/>
    </w:p>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单位：人</w:t>
      </w:r>
    </w:p>
    <w:tbl>
      <w:tblPr>
        <w:tblStyle w:val="18"/>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949"/>
        <w:gridCol w:w="1234"/>
        <w:gridCol w:w="1234"/>
        <w:gridCol w:w="953"/>
        <w:gridCol w:w="1234"/>
        <w:gridCol w:w="1234"/>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9" w:type="dxa"/>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工种</w:t>
            </w:r>
          </w:p>
        </w:tc>
        <w:tc>
          <w:tcPr>
            <w:tcW w:w="8061" w:type="dxa"/>
            <w:gridSpan w:val="7"/>
            <w:vAlign w:val="center"/>
          </w:tcPr>
          <w:p>
            <w:pPr>
              <w:tabs>
                <w:tab w:val="left" w:pos="639"/>
                <w:tab w:val="left" w:pos="3663"/>
                <w:tab w:val="left" w:pos="4968"/>
                <w:tab w:val="left" w:pos="6559"/>
                <w:tab w:val="left" w:pos="8199"/>
              </w:tabs>
              <w:jc w:val="left"/>
              <w:rPr>
                <w:rFonts w:ascii="宋体" w:hAnsi="宋体" w:eastAsia="宋体" w:cs="宋体"/>
                <w:szCs w:val="21"/>
              </w:rPr>
            </w:pPr>
            <w:r>
              <w:rPr>
                <w:rFonts w:hint="eastAsia" w:ascii="宋体" w:hAnsi="宋体" w:eastAsia="宋体" w:cs="宋体"/>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9"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49"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53"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23" w:type="dxa"/>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9"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49"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953"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vAlign w:val="center"/>
          </w:tcPr>
          <w:p>
            <w:pPr>
              <w:tabs>
                <w:tab w:val="left" w:pos="639"/>
                <w:tab w:val="left" w:pos="3663"/>
                <w:tab w:val="left" w:pos="4968"/>
                <w:tab w:val="left" w:pos="6559"/>
                <w:tab w:val="left" w:pos="8199"/>
              </w:tabs>
              <w:jc w:val="left"/>
              <w:rPr>
                <w:rFonts w:ascii="宋体" w:hAnsi="宋体" w:eastAsia="宋体" w:cs="宋体"/>
                <w:szCs w:val="21"/>
              </w:rPr>
            </w:pPr>
          </w:p>
        </w:tc>
        <w:tc>
          <w:tcPr>
            <w:tcW w:w="1223" w:type="dxa"/>
            <w:vAlign w:val="center"/>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9" w:type="dxa"/>
          </w:tcPr>
          <w:p>
            <w:pPr>
              <w:tabs>
                <w:tab w:val="left" w:pos="639"/>
                <w:tab w:val="left" w:pos="3663"/>
                <w:tab w:val="left" w:pos="4968"/>
                <w:tab w:val="left" w:pos="6559"/>
                <w:tab w:val="left" w:pos="8199"/>
              </w:tabs>
              <w:jc w:val="left"/>
              <w:rPr>
                <w:rFonts w:ascii="宋体" w:hAnsi="宋体" w:eastAsia="宋体" w:cs="宋体"/>
                <w:szCs w:val="21"/>
              </w:rPr>
            </w:pPr>
          </w:p>
        </w:tc>
        <w:tc>
          <w:tcPr>
            <w:tcW w:w="949" w:type="dxa"/>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tcPr>
          <w:p>
            <w:pPr>
              <w:tabs>
                <w:tab w:val="left" w:pos="639"/>
                <w:tab w:val="left" w:pos="3663"/>
                <w:tab w:val="left" w:pos="4968"/>
                <w:tab w:val="left" w:pos="6559"/>
                <w:tab w:val="left" w:pos="8199"/>
              </w:tabs>
              <w:jc w:val="left"/>
              <w:rPr>
                <w:rFonts w:ascii="宋体" w:hAnsi="宋体" w:eastAsia="宋体" w:cs="宋体"/>
                <w:szCs w:val="21"/>
              </w:rPr>
            </w:pPr>
          </w:p>
        </w:tc>
        <w:tc>
          <w:tcPr>
            <w:tcW w:w="953" w:type="dxa"/>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tcPr>
          <w:p>
            <w:pPr>
              <w:tabs>
                <w:tab w:val="left" w:pos="639"/>
                <w:tab w:val="left" w:pos="3663"/>
                <w:tab w:val="left" w:pos="4968"/>
                <w:tab w:val="left" w:pos="6559"/>
                <w:tab w:val="left" w:pos="8199"/>
              </w:tabs>
              <w:jc w:val="left"/>
              <w:rPr>
                <w:rFonts w:ascii="宋体" w:hAnsi="宋体" w:eastAsia="宋体" w:cs="宋体"/>
                <w:szCs w:val="21"/>
              </w:rPr>
            </w:pPr>
          </w:p>
        </w:tc>
        <w:tc>
          <w:tcPr>
            <w:tcW w:w="1223" w:type="dxa"/>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9" w:type="dxa"/>
          </w:tcPr>
          <w:p>
            <w:pPr>
              <w:tabs>
                <w:tab w:val="left" w:pos="639"/>
                <w:tab w:val="left" w:pos="3663"/>
                <w:tab w:val="left" w:pos="4968"/>
                <w:tab w:val="left" w:pos="6559"/>
                <w:tab w:val="left" w:pos="8199"/>
              </w:tabs>
              <w:jc w:val="left"/>
              <w:rPr>
                <w:rFonts w:ascii="宋体" w:hAnsi="宋体" w:eastAsia="宋体" w:cs="宋体"/>
                <w:szCs w:val="21"/>
              </w:rPr>
            </w:pPr>
          </w:p>
        </w:tc>
        <w:tc>
          <w:tcPr>
            <w:tcW w:w="949" w:type="dxa"/>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tcPr>
          <w:p>
            <w:pPr>
              <w:tabs>
                <w:tab w:val="left" w:pos="639"/>
                <w:tab w:val="left" w:pos="3663"/>
                <w:tab w:val="left" w:pos="4968"/>
                <w:tab w:val="left" w:pos="6559"/>
                <w:tab w:val="left" w:pos="8199"/>
              </w:tabs>
              <w:jc w:val="left"/>
              <w:rPr>
                <w:rFonts w:ascii="宋体" w:hAnsi="宋体" w:eastAsia="宋体" w:cs="宋体"/>
                <w:szCs w:val="21"/>
              </w:rPr>
            </w:pPr>
          </w:p>
        </w:tc>
        <w:tc>
          <w:tcPr>
            <w:tcW w:w="953" w:type="dxa"/>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tcPr>
          <w:p>
            <w:pPr>
              <w:tabs>
                <w:tab w:val="left" w:pos="639"/>
                <w:tab w:val="left" w:pos="3663"/>
                <w:tab w:val="left" w:pos="4968"/>
                <w:tab w:val="left" w:pos="6559"/>
                <w:tab w:val="left" w:pos="8199"/>
              </w:tabs>
              <w:jc w:val="left"/>
              <w:rPr>
                <w:rFonts w:ascii="宋体" w:hAnsi="宋体" w:eastAsia="宋体" w:cs="宋体"/>
                <w:szCs w:val="21"/>
              </w:rPr>
            </w:pPr>
          </w:p>
        </w:tc>
        <w:tc>
          <w:tcPr>
            <w:tcW w:w="1223" w:type="dxa"/>
          </w:tcPr>
          <w:p>
            <w:pPr>
              <w:tabs>
                <w:tab w:val="left" w:pos="639"/>
                <w:tab w:val="left" w:pos="3663"/>
                <w:tab w:val="left" w:pos="4968"/>
                <w:tab w:val="left" w:pos="6559"/>
                <w:tab w:val="left" w:pos="8199"/>
              </w:tabs>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9" w:type="dxa"/>
          </w:tcPr>
          <w:p>
            <w:pPr>
              <w:tabs>
                <w:tab w:val="left" w:pos="639"/>
                <w:tab w:val="left" w:pos="3663"/>
                <w:tab w:val="left" w:pos="4968"/>
                <w:tab w:val="left" w:pos="6559"/>
                <w:tab w:val="left" w:pos="8199"/>
              </w:tabs>
              <w:jc w:val="left"/>
              <w:rPr>
                <w:rFonts w:ascii="宋体" w:hAnsi="宋体" w:eastAsia="宋体" w:cs="宋体"/>
                <w:szCs w:val="21"/>
              </w:rPr>
            </w:pPr>
          </w:p>
        </w:tc>
        <w:tc>
          <w:tcPr>
            <w:tcW w:w="949" w:type="dxa"/>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tcPr>
          <w:p>
            <w:pPr>
              <w:tabs>
                <w:tab w:val="left" w:pos="639"/>
                <w:tab w:val="left" w:pos="3663"/>
                <w:tab w:val="left" w:pos="4968"/>
                <w:tab w:val="left" w:pos="6559"/>
                <w:tab w:val="left" w:pos="8199"/>
              </w:tabs>
              <w:jc w:val="left"/>
              <w:rPr>
                <w:rFonts w:ascii="宋体" w:hAnsi="宋体" w:eastAsia="宋体" w:cs="宋体"/>
                <w:szCs w:val="21"/>
              </w:rPr>
            </w:pPr>
          </w:p>
        </w:tc>
        <w:tc>
          <w:tcPr>
            <w:tcW w:w="953" w:type="dxa"/>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tcPr>
          <w:p>
            <w:pPr>
              <w:tabs>
                <w:tab w:val="left" w:pos="639"/>
                <w:tab w:val="left" w:pos="3663"/>
                <w:tab w:val="left" w:pos="4968"/>
                <w:tab w:val="left" w:pos="6559"/>
                <w:tab w:val="left" w:pos="8199"/>
              </w:tabs>
              <w:jc w:val="left"/>
              <w:rPr>
                <w:rFonts w:ascii="宋体" w:hAnsi="宋体" w:eastAsia="宋体" w:cs="宋体"/>
                <w:szCs w:val="21"/>
              </w:rPr>
            </w:pPr>
          </w:p>
        </w:tc>
        <w:tc>
          <w:tcPr>
            <w:tcW w:w="1234" w:type="dxa"/>
          </w:tcPr>
          <w:p>
            <w:pPr>
              <w:tabs>
                <w:tab w:val="left" w:pos="639"/>
                <w:tab w:val="left" w:pos="3663"/>
                <w:tab w:val="left" w:pos="4968"/>
                <w:tab w:val="left" w:pos="6559"/>
                <w:tab w:val="left" w:pos="8199"/>
              </w:tabs>
              <w:jc w:val="left"/>
              <w:rPr>
                <w:rFonts w:ascii="宋体" w:hAnsi="宋体" w:eastAsia="宋体" w:cs="宋体"/>
                <w:szCs w:val="21"/>
              </w:rPr>
            </w:pPr>
          </w:p>
        </w:tc>
        <w:tc>
          <w:tcPr>
            <w:tcW w:w="1223" w:type="dxa"/>
          </w:tcPr>
          <w:p>
            <w:pPr>
              <w:tabs>
                <w:tab w:val="left" w:pos="639"/>
                <w:tab w:val="left" w:pos="3663"/>
                <w:tab w:val="left" w:pos="4968"/>
                <w:tab w:val="left" w:pos="6559"/>
                <w:tab w:val="left" w:pos="8199"/>
              </w:tabs>
              <w:jc w:val="left"/>
              <w:rPr>
                <w:rFonts w:ascii="宋体" w:hAnsi="宋体" w:eastAsia="宋体" w:cs="宋体"/>
                <w:szCs w:val="21"/>
              </w:rPr>
            </w:pPr>
          </w:p>
        </w:tc>
      </w:tr>
    </w:tbl>
    <w:p>
      <w:pPr>
        <w:spacing w:line="360" w:lineRule="auto"/>
        <w:rPr>
          <w:rFonts w:ascii="宋体" w:hAnsi="宋体" w:eastAsia="宋体" w:cs="宋体"/>
          <w:szCs w:val="21"/>
        </w:rPr>
      </w:pPr>
      <w:bookmarkStart w:id="813" w:name="_Toc144974868"/>
      <w:bookmarkStart w:id="814" w:name="_Toc152042589"/>
      <w:bookmarkStart w:id="815" w:name="_Toc179632820"/>
      <w:bookmarkStart w:id="816" w:name="_Toc246392158"/>
      <w:bookmarkStart w:id="817" w:name="_Toc152045800"/>
      <w:r>
        <w:rPr>
          <w:rFonts w:hint="eastAsia" w:ascii="宋体" w:hAnsi="宋体" w:eastAsia="宋体" w:cs="宋体"/>
          <w:szCs w:val="21"/>
        </w:rPr>
        <w:br w:type="page"/>
      </w:r>
      <w:bookmarkStart w:id="818" w:name="_Toc17338"/>
      <w:r>
        <w:rPr>
          <w:rFonts w:hint="eastAsia" w:ascii="宋体" w:hAnsi="宋体" w:eastAsia="宋体" w:cs="宋体"/>
          <w:szCs w:val="21"/>
        </w:rPr>
        <w:t>附表七 计划开、竣工日期和施工进度网络图</w:t>
      </w:r>
      <w:bookmarkEnd w:id="813"/>
      <w:bookmarkEnd w:id="814"/>
      <w:bookmarkEnd w:id="815"/>
      <w:bookmarkEnd w:id="816"/>
      <w:bookmarkEnd w:id="817"/>
      <w:bookmarkEnd w:id="818"/>
    </w:p>
    <w:p>
      <w:pPr>
        <w:spacing w:line="360" w:lineRule="auto"/>
        <w:rPr>
          <w:rFonts w:ascii="宋体" w:hAnsi="宋体" w:eastAsia="宋体" w:cs="宋体"/>
        </w:rPr>
      </w:pPr>
      <w:r>
        <w:rPr>
          <w:rFonts w:hint="eastAsia" w:ascii="宋体" w:hAnsi="宋体" w:eastAsia="宋体" w:cs="宋体"/>
        </w:rPr>
        <w:t>1. 投标人应递交施工进度网络图或施工进度表，说明按招标文件要求的计划工期进行施工的各个关键日期。</w:t>
      </w:r>
    </w:p>
    <w:p>
      <w:pPr>
        <w:spacing w:line="360" w:lineRule="auto"/>
        <w:rPr>
          <w:rFonts w:ascii="宋体" w:hAnsi="宋体" w:eastAsia="宋体" w:cs="宋体"/>
          <w:szCs w:val="21"/>
        </w:rPr>
      </w:pPr>
      <w:r>
        <w:rPr>
          <w:rFonts w:hint="eastAsia" w:ascii="宋体" w:hAnsi="宋体" w:eastAsia="宋体" w:cs="宋体"/>
        </w:rPr>
        <w:t>2. 施工进度</w:t>
      </w:r>
      <w:r>
        <w:rPr>
          <w:rFonts w:hint="eastAsia" w:ascii="宋体" w:hAnsi="宋体" w:eastAsia="宋体" w:cs="宋体"/>
          <w:szCs w:val="21"/>
        </w:rPr>
        <w:t>表可采用网络图（或横道图）表示。</w:t>
      </w:r>
    </w:p>
    <w:p>
      <w:pPr>
        <w:adjustRightInd/>
        <w:snapToGrid/>
        <w:spacing w:line="360" w:lineRule="auto"/>
        <w:rPr>
          <w:rFonts w:ascii="宋体" w:hAnsi="宋体" w:eastAsia="宋体" w:cs="宋体"/>
          <w:b/>
          <w:bCs/>
          <w:sz w:val="32"/>
          <w:szCs w:val="32"/>
        </w:rPr>
        <w:sectPr>
          <w:pgSz w:w="11906" w:h="16838"/>
          <w:pgMar w:top="1418" w:right="1418" w:bottom="1418" w:left="1418" w:header="851" w:footer="992" w:gutter="0"/>
          <w:pgNumType w:fmt="decimal"/>
          <w:cols w:space="720" w:num="1"/>
          <w:docGrid w:linePitch="312" w:charSpace="0"/>
        </w:sectPr>
      </w:pPr>
      <w:bookmarkStart w:id="819" w:name="_Toc18348"/>
    </w:p>
    <w:p>
      <w:pPr>
        <w:adjustRightInd/>
        <w:snapToGrid/>
        <w:spacing w:line="360" w:lineRule="auto"/>
        <w:rPr>
          <w:rFonts w:ascii="宋体" w:hAnsi="宋体" w:eastAsia="宋体" w:cs="宋体"/>
          <w:b/>
          <w:bCs/>
          <w:sz w:val="32"/>
          <w:szCs w:val="32"/>
        </w:rPr>
      </w:pPr>
      <w:r>
        <w:rPr>
          <w:rFonts w:hint="eastAsia" w:ascii="宋体" w:hAnsi="宋体" w:eastAsia="宋体" w:cs="宋体"/>
          <w:b/>
          <w:bCs/>
          <w:sz w:val="32"/>
          <w:szCs w:val="32"/>
        </w:rPr>
        <w:t>项目名称：</w:t>
      </w:r>
      <w:bookmarkEnd w:id="819"/>
    </w:p>
    <w:p>
      <w:pPr>
        <w:adjustRightInd/>
        <w:snapToGrid/>
        <w:spacing w:line="360" w:lineRule="auto"/>
        <w:rPr>
          <w:rFonts w:ascii="宋体" w:hAnsi="宋体" w:eastAsia="宋体" w:cs="宋体"/>
          <w:b/>
          <w:bCs/>
          <w:sz w:val="32"/>
          <w:szCs w:val="32"/>
        </w:rPr>
      </w:pPr>
      <w:bookmarkStart w:id="820" w:name="_Toc20439"/>
      <w:r>
        <w:rPr>
          <w:rFonts w:hint="eastAsia" w:ascii="宋体" w:hAnsi="宋体" w:eastAsia="宋体" w:cs="宋体"/>
          <w:b/>
          <w:bCs/>
          <w:sz w:val="32"/>
          <w:szCs w:val="32"/>
        </w:rPr>
        <w:t>招标编号</w:t>
      </w:r>
      <w:bookmarkEnd w:id="820"/>
    </w:p>
    <w:p>
      <w:pPr>
        <w:pStyle w:val="10"/>
        <w:spacing w:line="264" w:lineRule="auto"/>
        <w:jc w:val="center"/>
        <w:rPr>
          <w:rFonts w:ascii="宋体" w:hAnsi="宋体" w:eastAsia="宋体" w:cs="宋体"/>
          <w:b/>
          <w:sz w:val="84"/>
        </w:rPr>
      </w:pPr>
    </w:p>
    <w:p>
      <w:pPr>
        <w:pStyle w:val="10"/>
        <w:spacing w:line="264" w:lineRule="auto"/>
        <w:jc w:val="center"/>
        <w:rPr>
          <w:rFonts w:ascii="宋体" w:hAnsi="宋体" w:eastAsia="宋体" w:cs="宋体"/>
          <w:b/>
          <w:sz w:val="84"/>
        </w:rPr>
      </w:pPr>
    </w:p>
    <w:p>
      <w:pPr>
        <w:pStyle w:val="10"/>
        <w:spacing w:line="264" w:lineRule="auto"/>
        <w:jc w:val="center"/>
        <w:rPr>
          <w:rFonts w:ascii="宋体" w:hAnsi="宋体" w:eastAsia="宋体" w:cs="宋体"/>
          <w:sz w:val="28"/>
        </w:rPr>
      </w:pPr>
      <w:r>
        <w:rPr>
          <w:rFonts w:hint="eastAsia" w:ascii="宋体" w:hAnsi="宋体" w:eastAsia="宋体" w:cs="宋体"/>
          <w:b/>
          <w:sz w:val="84"/>
        </w:rPr>
        <w:t>投 标 文 件</w:t>
      </w:r>
    </w:p>
    <w:p>
      <w:pPr>
        <w:pStyle w:val="10"/>
        <w:spacing w:line="264" w:lineRule="auto"/>
        <w:jc w:val="center"/>
        <w:rPr>
          <w:rFonts w:ascii="宋体" w:hAnsi="宋体" w:eastAsia="宋体" w:cs="宋体"/>
          <w:sz w:val="72"/>
        </w:rPr>
      </w:pPr>
      <w:r>
        <w:rPr>
          <w:rFonts w:hint="eastAsia" w:ascii="宋体" w:hAnsi="宋体" w:eastAsia="宋体" w:cs="宋体"/>
          <w:sz w:val="72"/>
        </w:rPr>
        <w:t>（</w:t>
      </w:r>
      <w:r>
        <w:rPr>
          <w:rFonts w:hint="eastAsia" w:ascii="宋体" w:hAnsi="宋体" w:eastAsia="宋体" w:cs="宋体"/>
          <w:sz w:val="72"/>
          <w:u w:val="single"/>
        </w:rPr>
        <w:t>价格文件</w:t>
      </w:r>
      <w:r>
        <w:rPr>
          <w:rFonts w:hint="eastAsia" w:ascii="宋体" w:hAnsi="宋体" w:eastAsia="宋体" w:cs="宋体"/>
          <w:sz w:val="72"/>
        </w:rPr>
        <w:t>）</w:t>
      </w:r>
    </w:p>
    <w:p>
      <w:pPr>
        <w:pStyle w:val="10"/>
        <w:spacing w:line="264" w:lineRule="auto"/>
        <w:jc w:val="center"/>
        <w:rPr>
          <w:rFonts w:ascii="宋体" w:hAnsi="宋体" w:eastAsia="宋体" w:cs="宋体"/>
          <w:sz w:val="72"/>
        </w:rPr>
      </w:pPr>
    </w:p>
    <w:p>
      <w:pPr>
        <w:pStyle w:val="10"/>
        <w:spacing w:line="264" w:lineRule="auto"/>
        <w:jc w:val="center"/>
        <w:rPr>
          <w:rFonts w:ascii="宋体" w:hAnsi="宋体" w:eastAsia="宋体" w:cs="宋体"/>
          <w:sz w:val="72"/>
        </w:rPr>
      </w:pPr>
    </w:p>
    <w:p>
      <w:pPr>
        <w:pStyle w:val="10"/>
        <w:spacing w:line="264" w:lineRule="auto"/>
        <w:jc w:val="center"/>
        <w:rPr>
          <w:rFonts w:ascii="宋体" w:hAnsi="宋体" w:eastAsia="宋体" w:cs="宋体"/>
          <w:sz w:val="72"/>
        </w:rPr>
      </w:pPr>
    </w:p>
    <w:p>
      <w:pPr>
        <w:pStyle w:val="10"/>
        <w:spacing w:before="240" w:after="240"/>
        <w:ind w:left="630"/>
        <w:jc w:val="left"/>
        <w:rPr>
          <w:rFonts w:ascii="宋体" w:hAnsi="宋体" w:eastAsia="宋体" w:cs="宋体"/>
          <w:sz w:val="30"/>
        </w:rPr>
      </w:pPr>
      <w:r>
        <w:rPr>
          <w:rFonts w:hint="eastAsia" w:ascii="宋体" w:hAnsi="宋体" w:eastAsia="宋体" w:cs="宋体"/>
          <w:sz w:val="30"/>
        </w:rPr>
        <w:t>投   标   人:</w:t>
      </w:r>
      <w:r>
        <w:rPr>
          <w:rFonts w:hint="eastAsia" w:ascii="宋体" w:hAnsi="宋体" w:eastAsia="宋体" w:cs="宋体"/>
          <w:sz w:val="30"/>
          <w:u w:val="single"/>
        </w:rPr>
        <w:t xml:space="preserve">          （盖投标人单位公章）           </w:t>
      </w:r>
    </w:p>
    <w:p>
      <w:pPr>
        <w:pStyle w:val="10"/>
        <w:spacing w:before="240" w:after="240"/>
        <w:ind w:left="630"/>
        <w:rPr>
          <w:rFonts w:ascii="宋体" w:hAnsi="宋体" w:eastAsia="宋体" w:cs="宋体"/>
          <w:sz w:val="30"/>
        </w:rPr>
      </w:pPr>
      <w:r>
        <w:rPr>
          <w:rFonts w:hint="eastAsia" w:ascii="宋体" w:hAnsi="宋体" w:eastAsia="宋体" w:cs="宋体"/>
          <w:sz w:val="30"/>
        </w:rPr>
        <w:t>法定代表人或其委托代理人：</w:t>
      </w:r>
      <w:r>
        <w:rPr>
          <w:rFonts w:hint="eastAsia" w:ascii="宋体" w:hAnsi="宋体" w:eastAsia="宋体" w:cs="宋体"/>
          <w:sz w:val="30"/>
          <w:u w:val="single"/>
        </w:rPr>
        <w:t xml:space="preserve">   （签字或盖章）</w:t>
      </w:r>
    </w:p>
    <w:p>
      <w:pPr>
        <w:pStyle w:val="10"/>
        <w:spacing w:before="240" w:after="240"/>
        <w:ind w:left="630"/>
        <w:rPr>
          <w:rFonts w:ascii="宋体" w:hAnsi="宋体" w:eastAsia="宋体" w:cs="宋体"/>
          <w:sz w:val="30"/>
        </w:rPr>
      </w:pPr>
      <w:r>
        <w:rPr>
          <w:rFonts w:hint="eastAsia" w:ascii="宋体" w:hAnsi="宋体" w:eastAsia="宋体" w:cs="宋体"/>
          <w:sz w:val="30"/>
        </w:rPr>
        <w:t>日期：__________年_____月_____日</w:t>
      </w:r>
    </w:p>
    <w:p>
      <w:pPr>
        <w:pStyle w:val="25"/>
        <w:rPr>
          <w:rFonts w:ascii="宋体" w:hAnsi="宋体" w:eastAsia="宋体" w:cs="宋体"/>
          <w:color w:val="auto"/>
          <w:kern w:val="2"/>
          <w:sz w:val="21"/>
        </w:rPr>
      </w:pPr>
    </w:p>
    <w:p>
      <w:pPr>
        <w:pStyle w:val="25"/>
        <w:rPr>
          <w:rFonts w:ascii="宋体" w:hAnsi="宋体" w:eastAsia="宋体" w:cs="宋体"/>
          <w:color w:val="auto"/>
          <w:kern w:val="2"/>
          <w:sz w:val="21"/>
        </w:rPr>
      </w:pPr>
    </w:p>
    <w:p>
      <w:pPr>
        <w:spacing w:line="360" w:lineRule="auto"/>
        <w:ind w:firstLine="420" w:firstLineChars="200"/>
        <w:jc w:val="left"/>
        <w:rPr>
          <w:rFonts w:ascii="宋体" w:hAnsi="宋体" w:eastAsia="宋体" w:cs="宋体"/>
          <w:snapToGrid w:val="0"/>
          <w:kern w:val="0"/>
          <w:szCs w:val="21"/>
        </w:rPr>
        <w:sectPr>
          <w:footerReference r:id="rId20" w:type="default"/>
          <w:pgSz w:w="11906" w:h="16838"/>
          <w:pgMar w:top="1418" w:right="1418" w:bottom="1418" w:left="1418" w:header="851" w:footer="992" w:gutter="0"/>
          <w:pgNumType w:fmt="decimal"/>
          <w:cols w:space="720" w:num="1"/>
          <w:docGrid w:linePitch="312" w:charSpace="0"/>
        </w:sectPr>
      </w:pPr>
    </w:p>
    <w:p>
      <w:pPr>
        <w:spacing w:line="366" w:lineRule="exact"/>
        <w:jc w:val="center"/>
        <w:outlineLvl w:val="1"/>
        <w:rPr>
          <w:rFonts w:ascii="宋体" w:hAnsi="宋体" w:eastAsia="宋体" w:cs="宋体"/>
          <w:b/>
          <w:bCs/>
          <w:sz w:val="28"/>
          <w:szCs w:val="28"/>
        </w:rPr>
      </w:pPr>
      <w:r>
        <w:rPr>
          <w:rFonts w:hint="eastAsia" w:ascii="宋体" w:hAnsi="宋体" w:eastAsia="宋体" w:cs="宋体"/>
          <w:b/>
          <w:bCs/>
          <w:sz w:val="28"/>
          <w:szCs w:val="28"/>
        </w:rPr>
        <w:t>报价文件</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（1）投标函；</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（2）开标一览表；</w:t>
      </w:r>
    </w:p>
    <w:p>
      <w:pPr>
        <w:spacing w:line="360" w:lineRule="auto"/>
        <w:ind w:firstLine="420" w:firstLineChars="200"/>
        <w:jc w:val="left"/>
        <w:rPr>
          <w:rFonts w:ascii="宋体" w:hAnsi="宋体" w:eastAsia="宋体" w:cs="宋体"/>
          <w:snapToGrid w:val="0"/>
          <w:kern w:val="0"/>
          <w:szCs w:val="21"/>
        </w:rPr>
      </w:pPr>
      <w:r>
        <w:rPr>
          <w:rFonts w:hint="eastAsia" w:ascii="宋体" w:hAnsi="宋体" w:eastAsia="宋体" w:cs="宋体"/>
          <w:snapToGrid w:val="0"/>
          <w:kern w:val="0"/>
          <w:szCs w:val="21"/>
        </w:rPr>
        <w:t>（3）工程量清单报价格式；</w:t>
      </w:r>
    </w:p>
    <w:p>
      <w:pPr>
        <w:spacing w:line="360" w:lineRule="auto"/>
        <w:ind w:firstLine="420" w:firstLineChars="200"/>
        <w:jc w:val="left"/>
        <w:rPr>
          <w:rFonts w:ascii="宋体" w:hAnsi="宋体" w:eastAsia="宋体" w:cs="宋体"/>
          <w:snapToGrid w:val="0"/>
          <w:kern w:val="0"/>
          <w:szCs w:val="21"/>
        </w:rPr>
        <w:sectPr>
          <w:pgSz w:w="11906" w:h="16838"/>
          <w:pgMar w:top="1418" w:right="1418" w:bottom="1418" w:left="1418" w:header="851" w:footer="992" w:gutter="0"/>
          <w:pgNumType w:fmt="decimal"/>
          <w:cols w:space="720" w:num="1"/>
          <w:docGrid w:linePitch="312" w:charSpace="0"/>
        </w:sectPr>
      </w:pPr>
      <w:r>
        <w:rPr>
          <w:rFonts w:hint="eastAsia" w:ascii="宋体" w:hAnsi="宋体" w:eastAsia="宋体" w:cs="宋体"/>
          <w:snapToGrid w:val="0"/>
          <w:kern w:val="0"/>
          <w:szCs w:val="21"/>
        </w:rPr>
        <w:t>（4）投标方认为需要的其他文件资料。</w:t>
      </w:r>
    </w:p>
    <w:p>
      <w:pPr>
        <w:spacing w:line="400" w:lineRule="exact"/>
        <w:ind w:firstLine="562"/>
        <w:jc w:val="center"/>
        <w:outlineLvl w:val="2"/>
        <w:rPr>
          <w:rFonts w:ascii="宋体" w:hAnsi="宋体" w:eastAsia="宋体" w:cs="宋体"/>
          <w:b/>
          <w:bCs/>
          <w:sz w:val="32"/>
          <w:szCs w:val="32"/>
        </w:rPr>
      </w:pPr>
      <w:bookmarkStart w:id="821" w:name="_Toc25598"/>
      <w:r>
        <w:rPr>
          <w:rFonts w:hint="eastAsia" w:ascii="宋体" w:hAnsi="宋体" w:eastAsia="宋体" w:cs="宋体"/>
          <w:b/>
          <w:bCs/>
          <w:sz w:val="32"/>
          <w:szCs w:val="32"/>
        </w:rPr>
        <w:t>一、投标函</w:t>
      </w:r>
      <w:bookmarkEnd w:id="821"/>
    </w:p>
    <w:p>
      <w:pPr>
        <w:spacing w:line="400" w:lineRule="exact"/>
        <w:ind w:firstLine="562"/>
        <w:jc w:val="center"/>
        <w:rPr>
          <w:rFonts w:ascii="宋体" w:hAnsi="宋体" w:eastAsia="宋体" w:cs="宋体"/>
          <w:b/>
          <w:sz w:val="28"/>
          <w:szCs w:val="28"/>
        </w:rPr>
      </w:pPr>
    </w:p>
    <w:p>
      <w:pPr>
        <w:spacing w:line="360" w:lineRule="auto"/>
        <w:ind w:firstLine="420" w:firstLineChars="200"/>
        <w:rPr>
          <w:rFonts w:ascii="宋体" w:hAnsi="宋体" w:eastAsia="宋体" w:cs="宋体"/>
        </w:rPr>
      </w:pPr>
      <w:r>
        <w:rPr>
          <w:rFonts w:hint="eastAsia" w:ascii="宋体" w:hAnsi="宋体" w:eastAsia="宋体" w:cs="宋体"/>
        </w:rPr>
        <w:t>致：</w:t>
      </w:r>
      <w:r>
        <w:rPr>
          <w:rFonts w:hint="eastAsia" w:ascii="宋体" w:hAnsi="宋体" w:eastAsia="宋体" w:cs="宋体"/>
          <w:u w:val="single"/>
        </w:rPr>
        <w:t xml:space="preserve">                 </w:t>
      </w:r>
      <w:r>
        <w:rPr>
          <w:rFonts w:hint="eastAsia" w:ascii="宋体" w:hAnsi="宋体" w:eastAsia="宋体" w:cs="宋体"/>
          <w:bCs/>
          <w:spacing w:val="-6"/>
        </w:rPr>
        <w:t>、浙江五石工程咨询有限公司</w:t>
      </w:r>
      <w:r>
        <w:rPr>
          <w:rFonts w:hint="eastAsia" w:ascii="宋体" w:hAnsi="宋体" w:eastAsia="宋体" w:cs="宋体"/>
          <w:spacing w:val="-6"/>
        </w:rPr>
        <w:t>：</w:t>
      </w:r>
      <w:r>
        <w:rPr>
          <w:rFonts w:hint="eastAsia" w:ascii="宋体" w:hAnsi="宋体" w:eastAsia="宋体" w:cs="宋体"/>
        </w:rPr>
        <w:t xml:space="preserve"> </w:t>
      </w:r>
    </w:p>
    <w:p>
      <w:pPr>
        <w:spacing w:line="360" w:lineRule="auto"/>
        <w:ind w:firstLine="420" w:firstLineChars="200"/>
        <w:rPr>
          <w:rFonts w:ascii="宋体" w:hAnsi="宋体" w:eastAsia="宋体" w:cs="宋体"/>
        </w:rPr>
      </w:pP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（投标方全称）授权 </w:t>
      </w:r>
      <w:r>
        <w:rPr>
          <w:rFonts w:hint="eastAsia" w:ascii="宋体" w:hAnsi="宋体" w:eastAsia="宋体" w:cs="宋体"/>
          <w:u w:val="single"/>
        </w:rPr>
        <w:t xml:space="preserve">              </w:t>
      </w:r>
      <w:r>
        <w:rPr>
          <w:rFonts w:hint="eastAsia" w:ascii="宋体" w:hAnsi="宋体" w:eastAsia="宋体" w:cs="宋体"/>
        </w:rPr>
        <w:t>（全权代表姓名）</w:t>
      </w:r>
      <w:r>
        <w:rPr>
          <w:rFonts w:hint="eastAsia" w:ascii="宋体" w:hAnsi="宋体" w:eastAsia="宋体" w:cs="宋体"/>
          <w:u w:val="single"/>
        </w:rPr>
        <w:t xml:space="preserve">                  </w:t>
      </w:r>
      <w:r>
        <w:rPr>
          <w:rFonts w:hint="eastAsia" w:ascii="宋体" w:hAnsi="宋体" w:eastAsia="宋体" w:cs="宋体"/>
        </w:rPr>
        <w:t>（职务、职称）为全权代表，参加贵方组织的</w:t>
      </w:r>
      <w:r>
        <w:rPr>
          <w:rFonts w:hint="eastAsia" w:ascii="宋体" w:hAnsi="宋体" w:eastAsia="宋体" w:cs="宋体"/>
          <w:u w:val="single"/>
        </w:rPr>
        <w:t xml:space="preserve">                       </w:t>
      </w:r>
      <w:r>
        <w:rPr>
          <w:rFonts w:hint="eastAsia" w:ascii="宋体" w:hAnsi="宋体" w:eastAsia="宋体" w:cs="宋体"/>
        </w:rPr>
        <w:t>（招标编号、招标项目名称）招标的有关活动，并对</w:t>
      </w:r>
      <w:r>
        <w:rPr>
          <w:rFonts w:hint="eastAsia" w:ascii="宋体" w:hAnsi="宋体" w:eastAsia="宋体" w:cs="宋体"/>
          <w:u w:val="single"/>
        </w:rPr>
        <w:t xml:space="preserve">                     </w:t>
      </w:r>
      <w:r>
        <w:rPr>
          <w:rFonts w:hint="eastAsia" w:ascii="宋体" w:hAnsi="宋体" w:eastAsia="宋体" w:cs="宋体"/>
        </w:rPr>
        <w:t>（标段号）进行投标。据此函，全权代表宣布同意如下：</w:t>
      </w:r>
    </w:p>
    <w:p>
      <w:pPr>
        <w:spacing w:line="360" w:lineRule="auto"/>
        <w:rPr>
          <w:rFonts w:ascii="宋体" w:hAnsi="宋体" w:eastAsia="宋体" w:cs="宋体"/>
        </w:rPr>
      </w:pPr>
      <w:r>
        <w:rPr>
          <w:rFonts w:hint="eastAsia" w:ascii="宋体" w:hAnsi="宋体" w:eastAsia="宋体" w:cs="宋体"/>
        </w:rPr>
        <w:t>1、提供投标须知规定的全部投标文件：</w:t>
      </w:r>
    </w:p>
    <w:p>
      <w:pPr>
        <w:tabs>
          <w:tab w:val="left" w:pos="945"/>
          <w:tab w:val="left" w:pos="1260"/>
        </w:tabs>
        <w:spacing w:line="360" w:lineRule="auto"/>
        <w:ind w:firstLine="420" w:firstLineChars="200"/>
        <w:rPr>
          <w:rFonts w:ascii="宋体" w:hAnsi="宋体" w:eastAsia="宋体" w:cs="宋体"/>
        </w:rPr>
      </w:pPr>
      <w:r>
        <w:rPr>
          <w:rFonts w:hint="eastAsia" w:ascii="宋体" w:hAnsi="宋体" w:eastAsia="宋体" w:cs="宋体"/>
          <w:szCs w:val="32"/>
        </w:rPr>
        <w:t>a、资格证明文件</w:t>
      </w:r>
      <w:r>
        <w:rPr>
          <w:rFonts w:hint="eastAsia" w:ascii="宋体" w:hAnsi="宋体" w:eastAsia="宋体" w:cs="宋体"/>
        </w:rPr>
        <w:t>正本</w:t>
      </w:r>
      <w:r>
        <w:rPr>
          <w:rFonts w:hint="eastAsia" w:ascii="宋体" w:hAnsi="宋体" w:eastAsia="宋体" w:cs="宋体"/>
          <w:u w:val="single"/>
        </w:rPr>
        <w:t xml:space="preserve">   </w:t>
      </w:r>
      <w:r>
        <w:rPr>
          <w:rFonts w:hint="eastAsia" w:ascii="宋体" w:hAnsi="宋体" w:eastAsia="宋体" w:cs="宋体"/>
        </w:rPr>
        <w:t>份，副本</w:t>
      </w:r>
      <w:r>
        <w:rPr>
          <w:rFonts w:hint="eastAsia" w:ascii="宋体" w:hAnsi="宋体" w:eastAsia="宋体" w:cs="宋体"/>
          <w:u w:val="single"/>
        </w:rPr>
        <w:t xml:space="preserve">   </w:t>
      </w:r>
      <w:r>
        <w:rPr>
          <w:rFonts w:hint="eastAsia" w:ascii="宋体" w:hAnsi="宋体" w:eastAsia="宋体" w:cs="宋体"/>
        </w:rPr>
        <w:t>份；</w:t>
      </w:r>
    </w:p>
    <w:p>
      <w:pPr>
        <w:tabs>
          <w:tab w:val="left" w:pos="945"/>
          <w:tab w:val="left" w:pos="1260"/>
        </w:tabs>
        <w:spacing w:line="360" w:lineRule="auto"/>
        <w:ind w:firstLine="420" w:firstLineChars="200"/>
        <w:rPr>
          <w:rFonts w:ascii="宋体" w:hAnsi="宋体" w:eastAsia="宋体" w:cs="宋体"/>
        </w:rPr>
      </w:pPr>
      <w:r>
        <w:rPr>
          <w:rFonts w:hint="eastAsia" w:ascii="宋体" w:hAnsi="宋体" w:eastAsia="宋体" w:cs="宋体"/>
        </w:rPr>
        <w:t>b、资信及技术文件正本</w:t>
      </w:r>
      <w:r>
        <w:rPr>
          <w:rFonts w:hint="eastAsia" w:ascii="宋体" w:hAnsi="宋体" w:eastAsia="宋体" w:cs="宋体"/>
          <w:u w:val="single"/>
        </w:rPr>
        <w:t xml:space="preserve">   </w:t>
      </w:r>
      <w:r>
        <w:rPr>
          <w:rFonts w:hint="eastAsia" w:ascii="宋体" w:hAnsi="宋体" w:eastAsia="宋体" w:cs="宋体"/>
        </w:rPr>
        <w:t>份，副本</w:t>
      </w:r>
      <w:r>
        <w:rPr>
          <w:rFonts w:hint="eastAsia" w:ascii="宋体" w:hAnsi="宋体" w:eastAsia="宋体" w:cs="宋体"/>
          <w:u w:val="single"/>
        </w:rPr>
        <w:t xml:space="preserve">   </w:t>
      </w:r>
      <w:r>
        <w:rPr>
          <w:rFonts w:hint="eastAsia" w:ascii="宋体" w:hAnsi="宋体" w:eastAsia="宋体" w:cs="宋体"/>
        </w:rPr>
        <w:t>份，电子文本</w:t>
      </w:r>
      <w:r>
        <w:rPr>
          <w:rFonts w:hint="eastAsia" w:ascii="宋体" w:hAnsi="宋体" w:eastAsia="宋体" w:cs="宋体"/>
          <w:u w:val="single"/>
        </w:rPr>
        <w:t xml:space="preserve">   </w:t>
      </w:r>
      <w:r>
        <w:rPr>
          <w:rFonts w:hint="eastAsia" w:ascii="宋体" w:hAnsi="宋体" w:eastAsia="宋体" w:cs="宋体"/>
        </w:rPr>
        <w:t>份；</w:t>
      </w:r>
    </w:p>
    <w:p>
      <w:pPr>
        <w:tabs>
          <w:tab w:val="left" w:pos="945"/>
          <w:tab w:val="left" w:pos="1260"/>
        </w:tabs>
        <w:spacing w:line="360" w:lineRule="auto"/>
        <w:ind w:firstLine="420" w:firstLineChars="200"/>
        <w:rPr>
          <w:rFonts w:ascii="宋体" w:hAnsi="宋体" w:eastAsia="宋体" w:cs="宋体"/>
        </w:rPr>
      </w:pPr>
      <w:r>
        <w:rPr>
          <w:rFonts w:hint="eastAsia" w:ascii="宋体" w:hAnsi="宋体" w:eastAsia="宋体" w:cs="宋体"/>
        </w:rPr>
        <w:t>C、报价文件正本</w:t>
      </w:r>
      <w:r>
        <w:rPr>
          <w:rFonts w:hint="eastAsia" w:ascii="宋体" w:hAnsi="宋体" w:eastAsia="宋体" w:cs="宋体"/>
          <w:u w:val="single"/>
        </w:rPr>
        <w:t xml:space="preserve">   </w:t>
      </w:r>
      <w:r>
        <w:rPr>
          <w:rFonts w:hint="eastAsia" w:ascii="宋体" w:hAnsi="宋体" w:eastAsia="宋体" w:cs="宋体"/>
        </w:rPr>
        <w:t>份，副本</w:t>
      </w:r>
      <w:r>
        <w:rPr>
          <w:rFonts w:hint="eastAsia" w:ascii="宋体" w:hAnsi="宋体" w:eastAsia="宋体" w:cs="宋体"/>
          <w:u w:val="single"/>
        </w:rPr>
        <w:t xml:space="preserve">   </w:t>
      </w:r>
      <w:r>
        <w:rPr>
          <w:rFonts w:hint="eastAsia" w:ascii="宋体" w:hAnsi="宋体" w:eastAsia="宋体" w:cs="宋体"/>
        </w:rPr>
        <w:t>份；</w:t>
      </w:r>
    </w:p>
    <w:p>
      <w:pPr>
        <w:spacing w:line="360" w:lineRule="auto"/>
        <w:rPr>
          <w:rFonts w:ascii="宋体" w:hAnsi="宋体" w:eastAsia="宋体" w:cs="宋体"/>
        </w:rPr>
      </w:pPr>
      <w:r>
        <w:rPr>
          <w:rFonts w:hint="eastAsia" w:ascii="宋体" w:hAnsi="宋体" w:eastAsia="宋体" w:cs="宋体"/>
        </w:rPr>
        <w:t>2、投标项目的总投标价为：人民币（大写）：</w:t>
      </w:r>
      <w:r>
        <w:rPr>
          <w:rFonts w:hint="eastAsia" w:ascii="宋体" w:hAnsi="宋体" w:eastAsia="宋体" w:cs="宋体"/>
          <w:u w:val="single"/>
        </w:rPr>
        <w:t xml:space="preserve">              </w:t>
      </w:r>
      <w:r>
        <w:rPr>
          <w:rFonts w:hint="eastAsia" w:ascii="宋体" w:hAnsi="宋体" w:eastAsia="宋体" w:cs="宋体"/>
        </w:rPr>
        <w:t>元。</w:t>
      </w:r>
    </w:p>
    <w:p>
      <w:pPr>
        <w:spacing w:line="360" w:lineRule="auto"/>
        <w:rPr>
          <w:rFonts w:ascii="宋体" w:hAnsi="宋体" w:eastAsia="宋体" w:cs="宋体"/>
        </w:rPr>
      </w:pPr>
      <w:r>
        <w:rPr>
          <w:rFonts w:hint="eastAsia" w:ascii="宋体" w:hAnsi="宋体" w:eastAsia="宋体" w:cs="宋体"/>
        </w:rPr>
        <w:t>3、投标方已详细审查全部招标文件，包括修改文件（如需要修改）以及全部参考资料和有关附件。我们完全理解并同意放弃对这方面有不明及误解的权利。</w:t>
      </w:r>
    </w:p>
    <w:p>
      <w:pPr>
        <w:spacing w:line="360" w:lineRule="auto"/>
        <w:rPr>
          <w:rFonts w:ascii="宋体" w:hAnsi="宋体" w:eastAsia="宋体" w:cs="宋体"/>
        </w:rPr>
      </w:pPr>
      <w:r>
        <w:rPr>
          <w:rFonts w:hint="eastAsia" w:ascii="宋体" w:hAnsi="宋体" w:eastAsia="宋体" w:cs="宋体"/>
        </w:rPr>
        <w:t>4、投标方将按招标文件的规定履行合同责任和义务。</w:t>
      </w:r>
    </w:p>
    <w:p>
      <w:pPr>
        <w:spacing w:line="360" w:lineRule="auto"/>
        <w:rPr>
          <w:rFonts w:ascii="宋体" w:hAnsi="宋体" w:eastAsia="宋体" w:cs="宋体"/>
        </w:rPr>
      </w:pPr>
      <w:r>
        <w:rPr>
          <w:rFonts w:hint="eastAsia" w:ascii="宋体" w:hAnsi="宋体" w:eastAsia="宋体" w:cs="宋体"/>
        </w:rPr>
        <w:t>5、投标方同意提供按照贵方可能要求的与其投标有关的一切数据或资料。</w:t>
      </w:r>
    </w:p>
    <w:p>
      <w:pPr>
        <w:spacing w:line="360" w:lineRule="auto"/>
        <w:rPr>
          <w:rFonts w:ascii="宋体" w:hAnsi="宋体" w:eastAsia="宋体" w:cs="宋体"/>
        </w:rPr>
      </w:pPr>
      <w:r>
        <w:rPr>
          <w:rFonts w:hint="eastAsia" w:ascii="宋体" w:hAnsi="宋体" w:eastAsia="宋体" w:cs="宋体"/>
        </w:rPr>
        <w:t>6、从提交投标文件的截止之日起</w:t>
      </w:r>
      <w:r>
        <w:rPr>
          <w:rFonts w:hint="eastAsia" w:ascii="宋体" w:hAnsi="宋体" w:eastAsia="宋体" w:cs="宋体"/>
          <w:u w:val="single"/>
        </w:rPr>
        <w:t xml:space="preserve">        </w:t>
      </w:r>
      <w:r>
        <w:rPr>
          <w:rFonts w:hint="eastAsia" w:ascii="宋体" w:hAnsi="宋体" w:eastAsia="宋体" w:cs="宋体"/>
        </w:rPr>
        <w:t>天。</w:t>
      </w:r>
    </w:p>
    <w:p>
      <w:pPr>
        <w:spacing w:line="360" w:lineRule="auto"/>
        <w:rPr>
          <w:rFonts w:ascii="宋体" w:hAnsi="宋体" w:eastAsia="宋体" w:cs="宋体"/>
        </w:rPr>
      </w:pPr>
      <w:r>
        <w:rPr>
          <w:rFonts w:hint="eastAsia" w:ascii="宋体" w:hAnsi="宋体" w:eastAsia="宋体" w:cs="宋体"/>
        </w:rPr>
        <w:t>7、与本投标有关的一切往来通讯请寄：</w:t>
      </w:r>
    </w:p>
    <w:p>
      <w:pPr>
        <w:spacing w:line="360" w:lineRule="auto"/>
        <w:ind w:left="525" w:firstLine="420" w:firstLineChars="200"/>
        <w:rPr>
          <w:rFonts w:ascii="宋体" w:hAnsi="宋体" w:eastAsia="宋体" w:cs="宋体"/>
        </w:rPr>
      </w:pPr>
    </w:p>
    <w:p>
      <w:pPr>
        <w:spacing w:line="360" w:lineRule="auto"/>
        <w:rPr>
          <w:rFonts w:ascii="宋体" w:hAnsi="宋体" w:eastAsia="宋体" w:cs="宋体"/>
        </w:rPr>
      </w:pPr>
      <w:r>
        <w:rPr>
          <w:rFonts w:hint="eastAsia" w:ascii="宋体" w:hAnsi="宋体" w:eastAsia="宋体" w:cs="宋体"/>
        </w:rPr>
        <w:t>名称：</w:t>
      </w:r>
      <w:r>
        <w:rPr>
          <w:rFonts w:hint="eastAsia" w:ascii="宋体" w:hAnsi="宋体" w:eastAsia="宋体" w:cs="宋体"/>
          <w:u w:val="single"/>
        </w:rPr>
        <w:t xml:space="preserve">                                 </w:t>
      </w:r>
    </w:p>
    <w:p>
      <w:pPr>
        <w:spacing w:line="360" w:lineRule="auto"/>
        <w:rPr>
          <w:rFonts w:ascii="宋体" w:hAnsi="宋体" w:eastAsia="宋体" w:cs="宋体"/>
        </w:rPr>
      </w:pP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rPr>
        <w:t xml:space="preserve">邮编： </w:t>
      </w:r>
      <w:r>
        <w:rPr>
          <w:rFonts w:hint="eastAsia" w:ascii="宋体" w:hAnsi="宋体" w:eastAsia="宋体" w:cs="宋体"/>
          <w:u w:val="single"/>
        </w:rPr>
        <w:t xml:space="preserve">            </w:t>
      </w:r>
      <w:r>
        <w:rPr>
          <w:rFonts w:hint="eastAsia" w:ascii="宋体" w:hAnsi="宋体" w:eastAsia="宋体" w:cs="宋体"/>
        </w:rPr>
        <w:t xml:space="preserve"> </w:t>
      </w:r>
    </w:p>
    <w:p>
      <w:pPr>
        <w:spacing w:line="360" w:lineRule="auto"/>
        <w:rPr>
          <w:rFonts w:ascii="宋体" w:hAnsi="宋体" w:eastAsia="宋体" w:cs="宋体"/>
        </w:rPr>
      </w:pPr>
      <w:r>
        <w:rPr>
          <w:rFonts w:hint="eastAsia" w:ascii="宋体" w:hAnsi="宋体" w:eastAsia="宋体" w:cs="宋体"/>
        </w:rPr>
        <w:t>联系人：</w:t>
      </w:r>
      <w:r>
        <w:rPr>
          <w:rFonts w:hint="eastAsia" w:ascii="宋体" w:hAnsi="宋体" w:eastAsia="宋体" w:cs="宋体"/>
          <w:u w:val="single"/>
        </w:rPr>
        <w:t xml:space="preserve">            </w:t>
      </w:r>
      <w:r>
        <w:rPr>
          <w:rFonts w:hint="eastAsia" w:ascii="宋体" w:hAnsi="宋体" w:eastAsia="宋体" w:cs="宋体"/>
        </w:rPr>
        <w:t xml:space="preserve">电话： </w:t>
      </w:r>
      <w:r>
        <w:rPr>
          <w:rFonts w:hint="eastAsia" w:ascii="宋体" w:hAnsi="宋体" w:eastAsia="宋体" w:cs="宋体"/>
          <w:u w:val="single"/>
        </w:rPr>
        <w:t xml:space="preserve">           </w:t>
      </w:r>
      <w:r>
        <w:rPr>
          <w:rFonts w:hint="eastAsia" w:ascii="宋体" w:hAnsi="宋体" w:eastAsia="宋体" w:cs="宋体"/>
        </w:rPr>
        <w:t xml:space="preserve"> 传真：</w:t>
      </w:r>
      <w:r>
        <w:rPr>
          <w:rFonts w:hint="eastAsia" w:ascii="宋体" w:hAnsi="宋体" w:eastAsia="宋体" w:cs="宋体"/>
          <w:u w:val="single"/>
        </w:rPr>
        <w:t xml:space="preserve">             </w:t>
      </w:r>
      <w:r>
        <w:rPr>
          <w:rFonts w:hint="eastAsia" w:ascii="宋体" w:hAnsi="宋体" w:eastAsia="宋体" w:cs="宋体"/>
        </w:rPr>
        <w:t xml:space="preserve"> </w:t>
      </w:r>
    </w:p>
    <w:p>
      <w:pPr>
        <w:spacing w:line="360" w:lineRule="auto"/>
        <w:rPr>
          <w:rFonts w:ascii="宋体" w:hAnsi="宋体" w:eastAsia="宋体" w:cs="宋体"/>
          <w:u w:val="single"/>
        </w:rPr>
      </w:pPr>
      <w:r>
        <w:rPr>
          <w:rFonts w:hint="eastAsia" w:ascii="宋体" w:hAnsi="宋体" w:eastAsia="宋体" w:cs="宋体"/>
        </w:rPr>
        <w:t>移动电话：</w:t>
      </w:r>
      <w:r>
        <w:rPr>
          <w:rFonts w:hint="eastAsia" w:ascii="宋体" w:hAnsi="宋体" w:eastAsia="宋体" w:cs="宋体"/>
          <w:u w:val="single"/>
        </w:rPr>
        <w:t xml:space="preserve">             </w:t>
      </w:r>
      <w:r>
        <w:rPr>
          <w:rFonts w:hint="eastAsia" w:ascii="宋体" w:hAnsi="宋体" w:eastAsia="宋体" w:cs="宋体"/>
        </w:rPr>
        <w:t>电子邮件：</w:t>
      </w:r>
      <w:r>
        <w:rPr>
          <w:rFonts w:hint="eastAsia" w:ascii="宋体" w:hAnsi="宋体" w:eastAsia="宋体" w:cs="宋体"/>
          <w:u w:val="single"/>
        </w:rPr>
        <w:t xml:space="preserve">             </w:t>
      </w:r>
    </w:p>
    <w:p>
      <w:pPr>
        <w:spacing w:line="360" w:lineRule="auto"/>
        <w:rPr>
          <w:rFonts w:ascii="宋体" w:hAnsi="宋体" w:eastAsia="宋体" w:cs="宋体"/>
          <w:szCs w:val="20"/>
        </w:rPr>
      </w:pPr>
      <w:r>
        <w:rPr>
          <w:rFonts w:hint="eastAsia" w:ascii="宋体" w:hAnsi="宋体" w:eastAsia="宋体" w:cs="宋体"/>
          <w:szCs w:val="20"/>
        </w:rPr>
        <w:t>为了便于处理投标保证金相关事宜，请务必注明以下信息：</w:t>
      </w:r>
    </w:p>
    <w:p>
      <w:pPr>
        <w:spacing w:line="360" w:lineRule="auto"/>
        <w:rPr>
          <w:rFonts w:ascii="宋体" w:hAnsi="宋体" w:eastAsia="宋体" w:cs="宋体"/>
          <w:szCs w:val="20"/>
        </w:rPr>
      </w:pPr>
      <w:r>
        <w:rPr>
          <w:rFonts w:hint="eastAsia" w:ascii="宋体" w:hAnsi="宋体" w:eastAsia="宋体" w:cs="宋体"/>
          <w:szCs w:val="20"/>
        </w:rPr>
        <w:t>户名：</w:t>
      </w:r>
    </w:p>
    <w:p>
      <w:pPr>
        <w:spacing w:line="360" w:lineRule="auto"/>
        <w:rPr>
          <w:rFonts w:ascii="宋体" w:hAnsi="宋体" w:eastAsia="宋体" w:cs="宋体"/>
          <w:szCs w:val="20"/>
        </w:rPr>
      </w:pPr>
      <w:r>
        <w:rPr>
          <w:rFonts w:hint="eastAsia" w:ascii="宋体" w:hAnsi="宋体" w:eastAsia="宋体" w:cs="宋体"/>
          <w:szCs w:val="20"/>
        </w:rPr>
        <w:t>开户银行：</w:t>
      </w:r>
    </w:p>
    <w:p>
      <w:pPr>
        <w:spacing w:line="360" w:lineRule="auto"/>
        <w:rPr>
          <w:rFonts w:ascii="宋体" w:hAnsi="宋体" w:eastAsia="宋体" w:cs="宋体"/>
          <w:szCs w:val="20"/>
        </w:rPr>
      </w:pPr>
      <w:r>
        <w:rPr>
          <w:rFonts w:hint="eastAsia" w:ascii="宋体" w:hAnsi="宋体" w:eastAsia="宋体" w:cs="宋体"/>
          <w:szCs w:val="20"/>
        </w:rPr>
        <w:t>账号：</w:t>
      </w:r>
    </w:p>
    <w:p>
      <w:pPr>
        <w:spacing w:line="360" w:lineRule="auto"/>
        <w:ind w:left="525" w:firstLine="420" w:firstLineChars="200"/>
        <w:rPr>
          <w:rFonts w:ascii="宋体" w:hAnsi="宋体" w:eastAsia="宋体" w:cs="宋体"/>
        </w:rPr>
      </w:pPr>
    </w:p>
    <w:p>
      <w:pPr>
        <w:spacing w:line="360" w:lineRule="auto"/>
        <w:rPr>
          <w:rFonts w:ascii="宋体" w:hAnsi="宋体" w:eastAsia="宋体" w:cs="宋体"/>
        </w:rPr>
      </w:pPr>
      <w:r>
        <w:rPr>
          <w:rFonts w:hint="eastAsia" w:ascii="宋体" w:hAnsi="宋体" w:eastAsia="宋体" w:cs="宋体"/>
        </w:rPr>
        <w:t>投标方（盖章）：</w:t>
      </w:r>
    </w:p>
    <w:p>
      <w:pPr>
        <w:spacing w:line="360" w:lineRule="auto"/>
        <w:rPr>
          <w:rFonts w:ascii="宋体" w:hAnsi="宋体" w:eastAsia="宋体" w:cs="宋体"/>
        </w:rPr>
      </w:pPr>
      <w:r>
        <w:rPr>
          <w:rFonts w:hint="eastAsia" w:ascii="宋体" w:hAnsi="宋体" w:eastAsia="宋体" w:cs="宋体"/>
        </w:rPr>
        <w:t>全权代表（签字）：</w:t>
      </w:r>
    </w:p>
    <w:p>
      <w:pPr>
        <w:spacing w:line="360" w:lineRule="auto"/>
        <w:rPr>
          <w:rFonts w:ascii="宋体" w:hAnsi="宋体" w:eastAsia="宋体" w:cs="宋体"/>
          <w:i/>
          <w:iCs/>
          <w:sz w:val="36"/>
          <w:szCs w:val="32"/>
        </w:rPr>
      </w:pPr>
      <w:r>
        <w:rPr>
          <w:rFonts w:hint="eastAsia" w:ascii="宋体" w:hAnsi="宋体" w:eastAsia="宋体" w:cs="宋体"/>
        </w:rPr>
        <w:t>日     期：</w:t>
      </w:r>
    </w:p>
    <w:p>
      <w:pPr>
        <w:spacing w:line="400" w:lineRule="exact"/>
        <w:jc w:val="center"/>
        <w:outlineLvl w:val="2"/>
        <w:rPr>
          <w:rFonts w:ascii="宋体" w:hAnsi="宋体" w:eastAsia="宋体" w:cs="宋体"/>
          <w:b/>
          <w:bCs/>
          <w:sz w:val="32"/>
          <w:szCs w:val="32"/>
        </w:rPr>
        <w:sectPr>
          <w:pgSz w:w="11906" w:h="16838"/>
          <w:pgMar w:top="1418" w:right="1418" w:bottom="1418" w:left="1418" w:header="851" w:footer="992" w:gutter="0"/>
          <w:pgNumType w:fmt="decimal"/>
          <w:cols w:space="720" w:num="1"/>
          <w:docGrid w:linePitch="312" w:charSpace="0"/>
        </w:sectPr>
      </w:pPr>
      <w:bookmarkStart w:id="822" w:name="_Toc10111"/>
    </w:p>
    <w:p>
      <w:pPr>
        <w:spacing w:line="400" w:lineRule="exact"/>
        <w:jc w:val="center"/>
        <w:outlineLvl w:val="2"/>
        <w:rPr>
          <w:rFonts w:ascii="宋体" w:hAnsi="宋体" w:eastAsia="宋体" w:cs="宋体"/>
          <w:b/>
          <w:bCs/>
          <w:sz w:val="32"/>
          <w:szCs w:val="32"/>
        </w:rPr>
      </w:pPr>
      <w:r>
        <w:rPr>
          <w:rFonts w:hint="eastAsia" w:ascii="宋体" w:hAnsi="宋体" w:eastAsia="宋体" w:cs="宋体"/>
          <w:b/>
          <w:bCs/>
          <w:sz w:val="32"/>
          <w:szCs w:val="32"/>
        </w:rPr>
        <w:t>二、开标一览表</w:t>
      </w:r>
      <w:bookmarkEnd w:id="822"/>
    </w:p>
    <w:p>
      <w:pPr>
        <w:spacing w:line="360" w:lineRule="auto"/>
        <w:ind w:firstLine="454"/>
        <w:rPr>
          <w:rFonts w:ascii="宋体" w:hAnsi="宋体" w:eastAsia="宋体" w:cs="宋体"/>
          <w:bCs/>
          <w:spacing w:val="-6"/>
        </w:rPr>
      </w:pPr>
      <w:r>
        <w:rPr>
          <w:rFonts w:hint="eastAsia" w:ascii="宋体" w:hAnsi="宋体" w:eastAsia="宋体" w:cs="宋体"/>
          <w:spacing w:val="-6"/>
        </w:rPr>
        <w:t>项目编号：</w:t>
      </w:r>
    </w:p>
    <w:p>
      <w:pPr>
        <w:spacing w:line="360" w:lineRule="auto"/>
        <w:ind w:firstLine="454"/>
        <w:rPr>
          <w:rFonts w:ascii="宋体" w:hAnsi="宋体" w:eastAsia="宋体" w:cs="宋体"/>
          <w:spacing w:val="-6"/>
        </w:rPr>
      </w:pPr>
      <w:r>
        <w:rPr>
          <w:rFonts w:hint="eastAsia" w:ascii="宋体" w:hAnsi="宋体" w:eastAsia="宋体" w:cs="宋体"/>
          <w:spacing w:val="-6"/>
        </w:rPr>
        <w:t>投标供应商名称：</w:t>
      </w:r>
      <w:r>
        <w:rPr>
          <w:rFonts w:hint="eastAsia" w:ascii="宋体" w:hAnsi="宋体" w:eastAsia="宋体" w:cs="宋体"/>
          <w:spacing w:val="-6"/>
          <w:u w:val="single"/>
        </w:rPr>
        <w:t xml:space="preserve">                     </w:t>
      </w:r>
    </w:p>
    <w:tbl>
      <w:tblPr>
        <w:tblStyle w:val="18"/>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ind w:firstLine="458"/>
              <w:jc w:val="center"/>
              <w:rPr>
                <w:rFonts w:ascii="宋体" w:hAnsi="宋体" w:eastAsia="宋体" w:cs="宋体"/>
                <w:spacing w:val="-6"/>
                <w:u w:val="single"/>
              </w:rPr>
            </w:pPr>
            <w:r>
              <w:rPr>
                <w:rFonts w:hint="eastAsia" w:ascii="宋体" w:hAnsi="宋体" w:eastAsia="宋体" w:cs="宋体"/>
                <w:b/>
                <w:spacing w:val="-6"/>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ind w:firstLine="458"/>
              <w:rPr>
                <w:rFonts w:ascii="宋体" w:hAnsi="宋体" w:eastAsia="宋体" w:cs="宋体"/>
                <w:b/>
                <w:spacing w:val="-6"/>
              </w:rPr>
            </w:pPr>
          </w:p>
          <w:p>
            <w:pPr>
              <w:ind w:firstLine="456"/>
              <w:rPr>
                <w:rFonts w:ascii="宋体" w:hAnsi="宋体" w:eastAsia="宋体" w:cs="宋体"/>
                <w:spacing w:val="-6"/>
                <w:u w:val="single"/>
              </w:rPr>
            </w:pPr>
            <w:r>
              <w:rPr>
                <w:rFonts w:hint="eastAsia" w:ascii="宋体" w:hAnsi="宋体" w:eastAsia="宋体" w:cs="宋体"/>
                <w:spacing w:val="-6"/>
              </w:rPr>
              <w:t>金额大写：</w:t>
            </w:r>
            <w:r>
              <w:rPr>
                <w:rFonts w:hint="eastAsia" w:ascii="宋体" w:hAnsi="宋体" w:eastAsia="宋体" w:cs="宋体"/>
                <w:spacing w:val="-6"/>
                <w:u w:val="single"/>
              </w:rPr>
              <w:t xml:space="preserve">                                          </w:t>
            </w:r>
            <w:r>
              <w:rPr>
                <w:rFonts w:hint="eastAsia" w:ascii="宋体" w:hAnsi="宋体" w:eastAsia="宋体" w:cs="宋体"/>
                <w:spacing w:val="-6"/>
              </w:rPr>
              <w:t>，小写：</w:t>
            </w:r>
            <w:r>
              <w:rPr>
                <w:rFonts w:hint="eastAsia" w:ascii="宋体" w:hAnsi="宋体" w:eastAsia="宋体" w:cs="宋体"/>
                <w:spacing w:val="-6"/>
                <w:u w:val="single"/>
              </w:rPr>
              <w:t xml:space="preserve">            </w:t>
            </w:r>
          </w:p>
          <w:p>
            <w:pPr>
              <w:ind w:firstLine="456"/>
              <w:rPr>
                <w:rFonts w:ascii="宋体" w:hAnsi="宋体" w:eastAsia="宋体" w:cs="宋体"/>
                <w:spacing w:val="-6"/>
                <w:u w:val="single"/>
              </w:rPr>
            </w:pPr>
          </w:p>
          <w:p>
            <w:pPr>
              <w:ind w:firstLine="456"/>
              <w:rPr>
                <w:rFonts w:ascii="宋体" w:hAnsi="宋体" w:eastAsia="宋体" w:cs="宋体"/>
                <w:b/>
                <w:spacing w:val="-6"/>
              </w:rPr>
            </w:pPr>
            <w:r>
              <w:rPr>
                <w:rFonts w:hint="eastAsia" w:ascii="宋体" w:hAnsi="宋体" w:eastAsia="宋体" w:cs="宋体"/>
                <w:spacing w:val="-6"/>
              </w:rPr>
              <w:t>单位：人民币元</w:t>
            </w:r>
          </w:p>
        </w:tc>
      </w:tr>
    </w:tbl>
    <w:p>
      <w:pPr>
        <w:ind w:firstLine="456"/>
        <w:jc w:val="left"/>
        <w:rPr>
          <w:rFonts w:ascii="宋体" w:hAnsi="宋体" w:eastAsia="宋体" w:cs="宋体"/>
          <w:spacing w:val="-6"/>
        </w:rPr>
      </w:pPr>
    </w:p>
    <w:p>
      <w:pPr>
        <w:ind w:firstLine="458"/>
        <w:jc w:val="left"/>
        <w:rPr>
          <w:rFonts w:ascii="宋体" w:hAnsi="宋体" w:eastAsia="宋体" w:cs="宋体"/>
          <w:b/>
          <w:spacing w:val="-6"/>
        </w:rPr>
      </w:pPr>
      <w:r>
        <w:rPr>
          <w:rFonts w:hint="eastAsia" w:ascii="宋体" w:hAnsi="宋体" w:eastAsia="宋体" w:cs="宋体"/>
          <w:b/>
          <w:spacing w:val="-6"/>
        </w:rPr>
        <w:t>说明:</w:t>
      </w:r>
    </w:p>
    <w:p>
      <w:pPr>
        <w:ind w:firstLine="458"/>
        <w:jc w:val="left"/>
        <w:rPr>
          <w:rFonts w:ascii="宋体" w:hAnsi="宋体" w:eastAsia="宋体" w:cs="宋体"/>
          <w:b/>
          <w:spacing w:val="-6"/>
        </w:rPr>
      </w:pPr>
      <w:r>
        <w:rPr>
          <w:rFonts w:hint="eastAsia" w:ascii="宋体" w:hAnsi="宋体" w:eastAsia="宋体" w:cs="宋体"/>
          <w:b/>
          <w:spacing w:val="-6"/>
        </w:rPr>
        <w:t>1、投标报价包括完成所有产品供货及履行所有规定服务所产生的全部费用。</w:t>
      </w:r>
    </w:p>
    <w:p>
      <w:pPr>
        <w:ind w:firstLine="458"/>
        <w:jc w:val="left"/>
        <w:rPr>
          <w:rFonts w:ascii="宋体" w:hAnsi="宋体" w:eastAsia="宋体" w:cs="宋体"/>
          <w:b/>
          <w:spacing w:val="-6"/>
        </w:rPr>
      </w:pPr>
      <w:r>
        <w:rPr>
          <w:rFonts w:hint="eastAsia" w:ascii="宋体" w:hAnsi="宋体" w:eastAsia="宋体" w:cs="宋体"/>
          <w:b/>
          <w:spacing w:val="-6"/>
        </w:rPr>
        <w:t>2、以上报价应与“已标价工程量清单报价表”中的总价相一致。</w:t>
      </w:r>
    </w:p>
    <w:p>
      <w:pPr>
        <w:ind w:firstLine="458"/>
        <w:rPr>
          <w:rFonts w:ascii="宋体" w:hAnsi="宋体" w:eastAsia="宋体" w:cs="宋体"/>
          <w:b/>
          <w:spacing w:val="-6"/>
        </w:rPr>
      </w:pPr>
      <w:r>
        <w:rPr>
          <w:rFonts w:hint="eastAsia" w:ascii="宋体" w:hAnsi="宋体" w:eastAsia="宋体" w:cs="宋体"/>
          <w:b/>
          <w:spacing w:val="-6"/>
        </w:rPr>
        <w:t>3、此表在不改变格式要求的情况下，可自行制作。</w:t>
      </w:r>
    </w:p>
    <w:p>
      <w:pPr>
        <w:ind w:firstLine="456"/>
        <w:rPr>
          <w:rFonts w:ascii="宋体" w:hAnsi="宋体" w:eastAsia="宋体" w:cs="宋体"/>
          <w:spacing w:val="-6"/>
        </w:rPr>
      </w:pPr>
    </w:p>
    <w:p>
      <w:pPr>
        <w:ind w:right="-817" w:rightChars="-389" w:firstLine="456"/>
        <w:rPr>
          <w:rFonts w:ascii="宋体" w:hAnsi="宋体" w:eastAsia="宋体" w:cs="宋体"/>
          <w:spacing w:val="-6"/>
        </w:rPr>
      </w:pPr>
      <w:r>
        <w:rPr>
          <w:rFonts w:hint="eastAsia" w:ascii="宋体" w:hAnsi="宋体" w:eastAsia="宋体" w:cs="宋体"/>
          <w:spacing w:val="-6"/>
        </w:rPr>
        <w:t>投标供应商名称（盖章）：</w:t>
      </w:r>
    </w:p>
    <w:p>
      <w:pPr>
        <w:ind w:right="-817" w:rightChars="-389" w:firstLine="456"/>
        <w:rPr>
          <w:rFonts w:ascii="宋体" w:hAnsi="宋体" w:eastAsia="宋体" w:cs="宋体"/>
          <w:spacing w:val="-6"/>
        </w:rPr>
      </w:pPr>
      <w:r>
        <w:rPr>
          <w:rFonts w:hint="eastAsia" w:ascii="宋体" w:hAnsi="宋体" w:eastAsia="宋体" w:cs="宋体"/>
          <w:spacing w:val="-6"/>
        </w:rPr>
        <w:t>授权代表签字：</w:t>
      </w:r>
    </w:p>
    <w:p>
      <w:pPr>
        <w:ind w:right="-817" w:rightChars="-389" w:firstLine="456"/>
        <w:rPr>
          <w:rFonts w:ascii="宋体" w:hAnsi="宋体" w:eastAsia="宋体" w:cs="宋体"/>
          <w:spacing w:val="-6"/>
        </w:rPr>
      </w:pPr>
      <w:r>
        <w:rPr>
          <w:rFonts w:hint="eastAsia" w:ascii="宋体" w:hAnsi="宋体" w:eastAsia="宋体" w:cs="宋体"/>
          <w:bCs/>
          <w:spacing w:val="-6"/>
        </w:rPr>
        <w:t>日期：    年  月  日</w:t>
      </w:r>
    </w:p>
    <w:p>
      <w:pPr>
        <w:pStyle w:val="25"/>
        <w:rPr>
          <w:rFonts w:ascii="宋体" w:hAnsi="宋体" w:eastAsia="宋体" w:cs="宋体"/>
          <w:color w:val="auto"/>
          <w:kern w:val="2"/>
          <w:sz w:val="21"/>
        </w:rPr>
      </w:pPr>
    </w:p>
    <w:p>
      <w:pPr>
        <w:rPr>
          <w:rFonts w:ascii="宋体" w:hAnsi="宋体" w:eastAsia="宋体" w:cs="宋体"/>
        </w:rPr>
      </w:pPr>
    </w:p>
    <w:p>
      <w:pPr>
        <w:spacing w:line="400" w:lineRule="exact"/>
        <w:jc w:val="center"/>
        <w:outlineLvl w:val="2"/>
        <w:rPr>
          <w:rFonts w:ascii="宋体" w:hAnsi="宋体" w:eastAsia="宋体" w:cs="宋体"/>
          <w:b/>
          <w:bCs/>
          <w:sz w:val="32"/>
          <w:szCs w:val="32"/>
        </w:rPr>
        <w:sectPr>
          <w:pgSz w:w="11906" w:h="16838"/>
          <w:pgMar w:top="1418" w:right="1418" w:bottom="1418" w:left="1418" w:header="851" w:footer="992" w:gutter="0"/>
          <w:pgNumType w:fmt="decimal"/>
          <w:cols w:space="720" w:num="1"/>
          <w:docGrid w:linePitch="312" w:charSpace="0"/>
        </w:sectPr>
      </w:pPr>
      <w:bookmarkStart w:id="823" w:name="_Toc2892"/>
    </w:p>
    <w:p>
      <w:pPr>
        <w:spacing w:line="400" w:lineRule="exact"/>
        <w:jc w:val="center"/>
        <w:outlineLvl w:val="2"/>
        <w:rPr>
          <w:rFonts w:ascii="宋体" w:hAnsi="宋体" w:eastAsia="宋体" w:cs="宋体"/>
          <w:b/>
          <w:bCs/>
          <w:sz w:val="32"/>
          <w:szCs w:val="32"/>
        </w:rPr>
      </w:pPr>
      <w:r>
        <w:rPr>
          <w:rFonts w:hint="eastAsia" w:ascii="宋体" w:hAnsi="宋体" w:eastAsia="宋体" w:cs="宋体"/>
          <w:b/>
          <w:bCs/>
          <w:sz w:val="32"/>
          <w:szCs w:val="32"/>
        </w:rPr>
        <w:t>三、已标价工程量清单报价表格式</w:t>
      </w:r>
      <w:bookmarkEnd w:id="823"/>
    </w:p>
    <w:p>
      <w:pPr>
        <w:rPr>
          <w:rFonts w:ascii="宋体" w:hAnsi="宋体" w:eastAsia="宋体" w:cs="宋体"/>
        </w:rPr>
      </w:pPr>
    </w:p>
    <w:p>
      <w:pPr>
        <w:jc w:val="center"/>
        <w:rPr>
          <w:rFonts w:ascii="宋体" w:hAnsi="宋体" w:eastAsia="宋体" w:cs="宋体"/>
          <w:b/>
          <w:bCs/>
          <w:sz w:val="28"/>
          <w:szCs w:val="28"/>
        </w:rPr>
      </w:pPr>
      <w:bookmarkStart w:id="824" w:name="_Toc2666"/>
      <w:r>
        <w:rPr>
          <w:rFonts w:hint="eastAsia" w:ascii="宋体" w:hAnsi="宋体" w:eastAsia="宋体" w:cs="宋体"/>
          <w:b/>
          <w:bCs/>
          <w:sz w:val="28"/>
          <w:szCs w:val="28"/>
        </w:rPr>
        <w:t>（具体请按照《浙江省建设工程计价规则》（2018版）投标报价格式编制）</w:t>
      </w:r>
      <w:bookmarkEnd w:id="824"/>
    </w:p>
    <w:p>
      <w:pPr>
        <w:pStyle w:val="25"/>
        <w:rPr>
          <w:rFonts w:ascii="宋体" w:hAnsi="宋体" w:eastAsia="宋体" w:cs="宋体"/>
          <w:color w:val="auto"/>
          <w:kern w:val="2"/>
          <w:sz w:val="21"/>
        </w:rPr>
      </w:pPr>
    </w:p>
    <w:p>
      <w:pPr>
        <w:rPr>
          <w:rFonts w:ascii="宋体" w:hAnsi="宋体" w:eastAsia="宋体" w:cs="宋体"/>
        </w:rPr>
      </w:pPr>
    </w:p>
    <w:p>
      <w:pPr>
        <w:rPr>
          <w:rFonts w:ascii="宋体" w:hAnsi="宋体" w:eastAsia="宋体" w:cs="宋体"/>
        </w:rPr>
      </w:pPr>
      <w:bookmarkStart w:id="825" w:name="_Toc11570"/>
      <w:r>
        <w:rPr>
          <w:rFonts w:hint="eastAsia" w:ascii="宋体" w:hAnsi="宋体" w:eastAsia="宋体" w:cs="宋体"/>
        </w:rPr>
        <w:br w:type="page"/>
      </w:r>
    </w:p>
    <w:p>
      <w:pPr>
        <w:spacing w:line="400" w:lineRule="exact"/>
        <w:jc w:val="center"/>
        <w:outlineLvl w:val="2"/>
        <w:rPr>
          <w:rFonts w:ascii="宋体" w:hAnsi="宋体" w:eastAsia="宋体" w:cs="宋体"/>
          <w:b/>
          <w:bCs/>
          <w:sz w:val="32"/>
          <w:szCs w:val="32"/>
        </w:rPr>
      </w:pPr>
      <w:r>
        <w:rPr>
          <w:rFonts w:hint="eastAsia" w:ascii="宋体" w:hAnsi="宋体" w:eastAsia="宋体" w:cs="宋体"/>
          <w:b/>
          <w:bCs/>
          <w:sz w:val="32"/>
          <w:szCs w:val="32"/>
        </w:rPr>
        <w:t>四、投标方认为需要的其他文件资料</w:t>
      </w:r>
      <w:bookmarkEnd w:id="825"/>
    </w:p>
    <w:p>
      <w:pPr>
        <w:jc w:val="center"/>
        <w:outlineLvl w:val="1"/>
        <w:rPr>
          <w:rFonts w:ascii="宋体" w:hAnsi="宋体" w:eastAsia="宋体" w:cs="宋体"/>
          <w:b/>
          <w:sz w:val="28"/>
          <w:szCs w:val="28"/>
        </w:rPr>
        <w:sectPr>
          <w:pgSz w:w="11906" w:h="16838"/>
          <w:pgMar w:top="1418" w:right="1418" w:bottom="1418" w:left="1418" w:header="851" w:footer="992" w:gutter="0"/>
          <w:pgNumType w:fmt="decimal"/>
          <w:cols w:space="720" w:num="1"/>
          <w:docGrid w:linePitch="312" w:charSpace="0"/>
        </w:sectPr>
      </w:pPr>
      <w:bookmarkStart w:id="826" w:name="_Toc17759"/>
    </w:p>
    <w:p>
      <w:pPr>
        <w:jc w:val="center"/>
        <w:outlineLvl w:val="1"/>
        <w:rPr>
          <w:rFonts w:ascii="宋体" w:hAnsi="宋体" w:eastAsia="宋体" w:cs="宋体"/>
          <w:b/>
          <w:sz w:val="28"/>
          <w:szCs w:val="28"/>
        </w:rPr>
      </w:pPr>
      <w:r>
        <w:rPr>
          <w:rFonts w:hint="eastAsia" w:ascii="宋体" w:hAnsi="宋体" w:eastAsia="宋体" w:cs="宋体"/>
          <w:b/>
          <w:sz w:val="28"/>
          <w:szCs w:val="28"/>
        </w:rPr>
        <w:t>弃标函</w:t>
      </w:r>
    </w:p>
    <w:p>
      <w:pPr>
        <w:ind w:firstLine="480"/>
        <w:rPr>
          <w:rFonts w:ascii="宋体" w:hAnsi="宋体" w:eastAsia="宋体" w:cs="宋体"/>
        </w:rPr>
      </w:pPr>
    </w:p>
    <w:p>
      <w:pPr>
        <w:ind w:firstLine="480"/>
        <w:rPr>
          <w:rFonts w:ascii="宋体" w:hAnsi="宋体" w:eastAsia="宋体" w:cs="宋体"/>
        </w:rPr>
      </w:pPr>
    </w:p>
    <w:p>
      <w:pPr>
        <w:ind w:firstLine="480"/>
        <w:rPr>
          <w:rFonts w:ascii="宋体" w:hAnsi="宋体" w:eastAsia="宋体" w:cs="宋体"/>
          <w:b/>
        </w:rPr>
      </w:pPr>
      <w:r>
        <w:rPr>
          <w:rFonts w:hint="eastAsia" w:ascii="宋体" w:hAnsi="宋体" w:eastAsia="宋体" w:cs="宋体"/>
        </w:rPr>
        <w:t>浙江五石工程咨询有限公司：</w:t>
      </w:r>
    </w:p>
    <w:p>
      <w:pPr>
        <w:ind w:firstLine="480"/>
        <w:rPr>
          <w:rFonts w:ascii="宋体" w:hAnsi="宋体" w:eastAsia="宋体" w:cs="宋体"/>
          <w:szCs w:val="32"/>
        </w:rPr>
      </w:pPr>
    </w:p>
    <w:p>
      <w:pPr>
        <w:pStyle w:val="15"/>
        <w:shd w:val="clear" w:color="auto" w:fill="FFFFFF"/>
        <w:spacing w:after="270" w:line="360" w:lineRule="auto"/>
        <w:ind w:firstLine="720" w:firstLineChars="300"/>
        <w:jc w:val="both"/>
        <w:rPr>
          <w:rFonts w:ascii="宋体" w:hAnsi="宋体" w:eastAsia="宋体" w:cs="宋体"/>
          <w:sz w:val="24"/>
          <w:szCs w:val="24"/>
        </w:rPr>
      </w:pPr>
      <w:r>
        <w:rPr>
          <w:rFonts w:hint="eastAsia" w:ascii="宋体" w:hAnsi="宋体" w:eastAsia="宋体" w:cs="宋体"/>
          <w:sz w:val="24"/>
          <w:szCs w:val="24"/>
          <w:shd w:val="clear" w:color="auto" w:fill="FFFFFF"/>
        </w:rPr>
        <w:t>我公司</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shd w:val="clear" w:color="auto" w:fill="FFFFFF"/>
        </w:rPr>
        <w:t>，于</w:t>
      </w:r>
      <w:r>
        <w:rPr>
          <w:rFonts w:hint="eastAsia" w:ascii="宋体" w:hAnsi="宋体" w:eastAsia="宋体" w:cs="宋体"/>
          <w:sz w:val="24"/>
          <w:szCs w:val="24"/>
          <w:u w:val="single"/>
          <w:shd w:val="clear" w:color="auto" w:fill="FFFFFF"/>
        </w:rPr>
        <w:t xml:space="preserve">  2020 </w:t>
      </w:r>
      <w:r>
        <w:rPr>
          <w:rFonts w:hint="eastAsia" w:ascii="宋体" w:hAnsi="宋体" w:eastAsia="宋体" w:cs="宋体"/>
          <w:sz w:val="24"/>
          <w:szCs w:val="24"/>
          <w:shd w:val="clear" w:color="auto" w:fill="FFFFFF"/>
        </w:rPr>
        <w:t>年</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shd w:val="clear" w:color="auto" w:fill="FFFFFF"/>
        </w:rPr>
        <w:t>月</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shd w:val="clear" w:color="auto" w:fill="FFFFFF"/>
        </w:rPr>
        <w:t>日报名参与</w:t>
      </w:r>
      <w:r>
        <w:rPr>
          <w:rFonts w:hint="eastAsia" w:ascii="宋体" w:hAnsi="宋体" w:eastAsia="宋体" w:cs="宋体"/>
          <w:sz w:val="24"/>
          <w:szCs w:val="24"/>
          <w:u w:val="single"/>
          <w:shd w:val="clear" w:color="auto" w:fill="FFFFFF"/>
        </w:rPr>
        <w:t xml:space="preserve">  （项目名称）     </w:t>
      </w:r>
      <w:r>
        <w:rPr>
          <w:rFonts w:hint="eastAsia" w:ascii="宋体" w:hAnsi="宋体" w:eastAsia="宋体" w:cs="宋体"/>
          <w:sz w:val="24"/>
          <w:szCs w:val="24"/>
          <w:shd w:val="clear" w:color="auto" w:fill="FFFFFF"/>
        </w:rPr>
        <w:t>项目，由于</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shd w:val="clear" w:color="auto" w:fill="FFFFFF"/>
        </w:rPr>
        <w:t>原因，经研究决定放弃投标。特此声明。</w:t>
      </w:r>
    </w:p>
    <w:p>
      <w:pPr>
        <w:ind w:firstLine="480"/>
        <w:rPr>
          <w:rFonts w:ascii="宋体" w:hAnsi="宋体" w:eastAsia="宋体" w:cs="宋体"/>
          <w:szCs w:val="40"/>
        </w:rPr>
      </w:pPr>
    </w:p>
    <w:p>
      <w:pPr>
        <w:ind w:firstLine="480"/>
        <w:rPr>
          <w:rFonts w:ascii="宋体" w:hAnsi="宋体" w:eastAsia="宋体" w:cs="宋体"/>
          <w:szCs w:val="40"/>
        </w:rPr>
      </w:pPr>
    </w:p>
    <w:p>
      <w:pPr>
        <w:ind w:firstLine="480"/>
        <w:rPr>
          <w:rFonts w:ascii="宋体" w:hAnsi="宋体" w:eastAsia="宋体" w:cs="宋体"/>
          <w:szCs w:val="40"/>
        </w:rPr>
      </w:pPr>
    </w:p>
    <w:p>
      <w:pPr>
        <w:ind w:firstLine="480"/>
        <w:rPr>
          <w:rFonts w:ascii="宋体" w:hAnsi="宋体" w:eastAsia="宋体" w:cs="宋体"/>
          <w:szCs w:val="40"/>
        </w:rPr>
      </w:pPr>
    </w:p>
    <w:p>
      <w:pPr>
        <w:ind w:firstLine="480"/>
        <w:rPr>
          <w:rFonts w:ascii="宋体" w:hAnsi="宋体" w:eastAsia="宋体" w:cs="宋体"/>
          <w:szCs w:val="40"/>
        </w:rPr>
      </w:pPr>
    </w:p>
    <w:p>
      <w:pPr>
        <w:ind w:firstLine="188" w:firstLineChars="95"/>
        <w:jc w:val="left"/>
        <w:rPr>
          <w:rFonts w:ascii="宋体" w:hAnsi="宋体" w:eastAsia="宋体" w:cs="宋体"/>
        </w:rPr>
      </w:pPr>
      <w:r>
        <w:rPr>
          <w:rFonts w:hint="eastAsia" w:ascii="宋体" w:hAnsi="宋体" w:eastAsia="宋体" w:cs="宋体"/>
          <w:spacing w:val="-6"/>
        </w:rPr>
        <w:t>磋商投标人名称（盖章）</w:t>
      </w:r>
      <w:r>
        <w:rPr>
          <w:rFonts w:hint="eastAsia" w:ascii="宋体" w:hAnsi="宋体" w:eastAsia="宋体" w:cs="宋体"/>
        </w:rPr>
        <w:t>：</w:t>
      </w:r>
    </w:p>
    <w:p>
      <w:pPr>
        <w:ind w:firstLine="199" w:firstLineChars="95"/>
        <w:jc w:val="left"/>
        <w:rPr>
          <w:rFonts w:ascii="宋体" w:hAnsi="宋体" w:eastAsia="宋体" w:cs="宋体"/>
        </w:rPr>
      </w:pPr>
      <w:r>
        <w:rPr>
          <w:rFonts w:hint="eastAsia" w:ascii="宋体" w:hAnsi="宋体" w:eastAsia="宋体" w:cs="宋体"/>
        </w:rPr>
        <w:t>日期：20</w:t>
      </w:r>
      <w:r>
        <w:rPr>
          <w:rFonts w:hint="eastAsia" w:cs="宋体"/>
        </w:rPr>
        <w:t>20</w:t>
      </w:r>
      <w:r>
        <w:rPr>
          <w:rFonts w:hint="eastAsia" w:ascii="宋体" w:hAnsi="宋体" w:eastAsia="宋体" w:cs="宋体"/>
        </w:rPr>
        <w:t>年  月  日</w:t>
      </w:r>
    </w:p>
    <w:p>
      <w:pPr>
        <w:ind w:firstLine="480"/>
        <w:rPr>
          <w:rFonts w:ascii="宋体" w:hAnsi="宋体" w:eastAsia="宋体" w:cs="宋体"/>
          <w:szCs w:val="40"/>
        </w:rPr>
      </w:pPr>
    </w:p>
    <w:p>
      <w:pPr>
        <w:ind w:firstLine="480"/>
        <w:rPr>
          <w:rFonts w:ascii="宋体" w:hAnsi="宋体" w:eastAsia="宋体" w:cs="宋体"/>
          <w:szCs w:val="40"/>
        </w:rPr>
      </w:pPr>
    </w:p>
    <w:p>
      <w:pPr>
        <w:ind w:firstLine="480"/>
        <w:rPr>
          <w:rStyle w:val="23"/>
          <w:rFonts w:ascii="宋体" w:hAnsi="宋体" w:eastAsia="宋体" w:cs="宋体"/>
          <w:color w:val="auto"/>
          <w:szCs w:val="40"/>
        </w:rPr>
      </w:pPr>
      <w:r>
        <w:rPr>
          <w:rFonts w:hint="eastAsia" w:ascii="宋体" w:hAnsi="宋体" w:eastAsia="宋体" w:cs="宋体"/>
        </w:rPr>
        <w:t>注：报名单位若不参与该项目的投标，请于开标截止前3个工作日将弃标函盖章发送至我公司邮箱。邮箱：</w:t>
      </w:r>
      <w:r>
        <w:rPr>
          <w:rFonts w:hint="eastAsia" w:ascii="宋体" w:hAnsi="宋体" w:eastAsia="宋体" w:cs="宋体"/>
        </w:rPr>
        <w:fldChar w:fldCharType="begin"/>
      </w:r>
      <w:r>
        <w:rPr>
          <w:rFonts w:hint="eastAsia" w:ascii="宋体" w:hAnsi="宋体" w:eastAsia="宋体" w:cs="宋体"/>
        </w:rPr>
        <w:instrText xml:space="preserve"> HYPERLINK "mailto:2810140286@qq.com。" </w:instrText>
      </w:r>
      <w:r>
        <w:rPr>
          <w:rFonts w:hint="eastAsia" w:ascii="宋体" w:hAnsi="宋体" w:eastAsia="宋体" w:cs="宋体"/>
        </w:rPr>
        <w:fldChar w:fldCharType="separate"/>
      </w:r>
      <w:r>
        <w:rPr>
          <w:rStyle w:val="23"/>
          <w:rFonts w:hint="eastAsia" w:ascii="宋体" w:hAnsi="宋体" w:eastAsia="宋体" w:cs="宋体"/>
          <w:color w:val="auto"/>
          <w:szCs w:val="40"/>
        </w:rPr>
        <w:t>2810140286@qq.com。</w:t>
      </w:r>
    </w:p>
    <w:p>
      <w:pPr>
        <w:jc w:val="center"/>
        <w:outlineLvl w:val="1"/>
        <w:rPr>
          <w:rFonts w:ascii="宋体" w:hAnsi="宋体" w:eastAsia="宋体" w:cs="宋体"/>
          <w:b/>
          <w:sz w:val="28"/>
          <w:szCs w:val="28"/>
        </w:rPr>
        <w:sectPr>
          <w:pgSz w:w="11906" w:h="16838"/>
          <w:pgMar w:top="1418" w:right="1418" w:bottom="1418" w:left="1418" w:header="851" w:footer="992" w:gutter="0"/>
          <w:pgNumType w:fmt="decimal"/>
          <w:cols w:space="720" w:num="1"/>
          <w:docGrid w:linePitch="312" w:charSpace="0"/>
        </w:sectPr>
      </w:pPr>
      <w:r>
        <w:rPr>
          <w:rFonts w:hint="eastAsia" w:ascii="宋体" w:hAnsi="宋体" w:eastAsia="宋体" w:cs="宋体"/>
        </w:rPr>
        <w:fldChar w:fldCharType="end"/>
      </w:r>
    </w:p>
    <w:p>
      <w:pPr>
        <w:jc w:val="center"/>
        <w:outlineLvl w:val="1"/>
        <w:rPr>
          <w:rFonts w:ascii="宋体" w:hAnsi="宋体" w:eastAsia="宋体" w:cs="宋体"/>
          <w:b/>
          <w:sz w:val="32"/>
        </w:rPr>
      </w:pPr>
      <w:r>
        <w:rPr>
          <w:rFonts w:hint="eastAsia" w:ascii="宋体" w:hAnsi="宋体" w:eastAsia="宋体" w:cs="宋体"/>
          <w:b/>
          <w:sz w:val="28"/>
          <w:szCs w:val="28"/>
        </w:rPr>
        <w:t>质疑函</w:t>
      </w:r>
      <w:bookmarkEnd w:id="826"/>
    </w:p>
    <w:p>
      <w:pPr>
        <w:spacing w:beforeLines="100"/>
        <w:ind w:firstLine="482"/>
        <w:rPr>
          <w:rFonts w:ascii="宋体" w:hAnsi="宋体" w:eastAsia="宋体" w:cs="宋体"/>
          <w:b/>
        </w:rPr>
      </w:pPr>
      <w:bookmarkStart w:id="827" w:name="_Toc6265"/>
      <w:r>
        <w:rPr>
          <w:rFonts w:hint="eastAsia" w:ascii="宋体" w:hAnsi="宋体" w:eastAsia="宋体" w:cs="宋体"/>
          <w:b/>
        </w:rPr>
        <w:t>一、质疑供应商基本信息</w:t>
      </w:r>
      <w:bookmarkEnd w:id="827"/>
    </w:p>
    <w:p>
      <w:pPr>
        <w:ind w:firstLine="480"/>
        <w:rPr>
          <w:rFonts w:ascii="宋体" w:hAnsi="宋体" w:eastAsia="宋体" w:cs="宋体"/>
          <w:u w:val="dotted"/>
        </w:rPr>
      </w:pPr>
      <w:r>
        <w:rPr>
          <w:rFonts w:hint="eastAsia" w:ascii="宋体" w:hAnsi="宋体" w:eastAsia="宋体" w:cs="宋体"/>
        </w:rPr>
        <w:t>质疑供应商：</w:t>
      </w:r>
      <w:r>
        <w:rPr>
          <w:rFonts w:hint="eastAsia" w:ascii="宋体" w:hAnsi="宋体" w:eastAsia="宋体" w:cs="宋体"/>
          <w:u w:val="dotted"/>
        </w:rPr>
        <w:t xml:space="preserve">                                        </w:t>
      </w:r>
    </w:p>
    <w:p>
      <w:pPr>
        <w:ind w:firstLine="480"/>
        <w:rPr>
          <w:rFonts w:ascii="宋体" w:hAnsi="宋体" w:eastAsia="宋体" w:cs="宋体"/>
        </w:rPr>
      </w:pPr>
      <w:r>
        <w:rPr>
          <w:rFonts w:hint="eastAsia" w:ascii="宋体" w:hAnsi="宋体" w:eastAsia="宋体" w:cs="宋体"/>
        </w:rPr>
        <w:t>地址：                          邮编：</w:t>
      </w:r>
      <w:r>
        <w:rPr>
          <w:rFonts w:hint="eastAsia" w:ascii="宋体" w:hAnsi="宋体" w:eastAsia="宋体" w:cs="宋体"/>
          <w:u w:val="dotted"/>
        </w:rPr>
        <w:t xml:space="preserve">                                                   </w:t>
      </w:r>
    </w:p>
    <w:p>
      <w:pPr>
        <w:ind w:firstLine="480"/>
        <w:rPr>
          <w:rFonts w:ascii="宋体" w:hAnsi="宋体" w:eastAsia="宋体" w:cs="宋体"/>
        </w:rPr>
      </w:pPr>
      <w:r>
        <w:rPr>
          <w:rFonts w:hint="eastAsia" w:ascii="宋体" w:hAnsi="宋体" w:eastAsia="宋体" w:cs="宋体"/>
        </w:rPr>
        <w:t>联系人：                        联系电话：</w:t>
      </w:r>
      <w:r>
        <w:rPr>
          <w:rFonts w:hint="eastAsia" w:ascii="宋体" w:hAnsi="宋体" w:eastAsia="宋体" w:cs="宋体"/>
          <w:u w:val="dotted"/>
        </w:rPr>
        <w:t xml:space="preserve">                              </w:t>
      </w:r>
    </w:p>
    <w:p>
      <w:pPr>
        <w:ind w:firstLine="480"/>
        <w:rPr>
          <w:rFonts w:ascii="宋体" w:hAnsi="宋体" w:eastAsia="宋体" w:cs="宋体"/>
          <w:u w:val="dotted"/>
        </w:rPr>
      </w:pPr>
      <w:r>
        <w:rPr>
          <w:rFonts w:hint="eastAsia" w:ascii="宋体" w:hAnsi="宋体" w:eastAsia="宋体" w:cs="宋体"/>
        </w:rPr>
        <w:t>授权代表：</w:t>
      </w:r>
      <w:r>
        <w:rPr>
          <w:rFonts w:hint="eastAsia" w:ascii="宋体" w:hAnsi="宋体" w:eastAsia="宋体" w:cs="宋体"/>
          <w:u w:val="dotted"/>
        </w:rPr>
        <w:t xml:space="preserve">                                          </w:t>
      </w:r>
    </w:p>
    <w:p>
      <w:pPr>
        <w:ind w:firstLine="480"/>
        <w:rPr>
          <w:rFonts w:ascii="宋体" w:hAnsi="宋体" w:eastAsia="宋体" w:cs="宋体"/>
        </w:rPr>
      </w:pPr>
      <w:r>
        <w:rPr>
          <w:rFonts w:hint="eastAsia" w:ascii="宋体" w:hAnsi="宋体" w:eastAsia="宋体" w:cs="宋体"/>
        </w:rPr>
        <w:t>联系电话：</w:t>
      </w:r>
      <w:r>
        <w:rPr>
          <w:rFonts w:hint="eastAsia" w:ascii="宋体" w:hAnsi="宋体" w:eastAsia="宋体" w:cs="宋体"/>
          <w:u w:val="dotted"/>
        </w:rPr>
        <w:t xml:space="preserve">                                           </w:t>
      </w:r>
      <w:r>
        <w:rPr>
          <w:rFonts w:hint="eastAsia" w:ascii="宋体" w:hAnsi="宋体" w:eastAsia="宋体" w:cs="宋体"/>
        </w:rPr>
        <w:t xml:space="preserve"> </w:t>
      </w:r>
    </w:p>
    <w:p>
      <w:pPr>
        <w:ind w:firstLine="480"/>
        <w:rPr>
          <w:rFonts w:ascii="宋体" w:hAnsi="宋体" w:eastAsia="宋体" w:cs="宋体"/>
        </w:rPr>
      </w:pPr>
      <w:r>
        <w:rPr>
          <w:rFonts w:hint="eastAsia" w:ascii="宋体" w:hAnsi="宋体" w:eastAsia="宋体" w:cs="宋体"/>
        </w:rPr>
        <w:t>地址：                          邮编：</w:t>
      </w:r>
      <w:r>
        <w:rPr>
          <w:rFonts w:hint="eastAsia" w:ascii="宋体" w:hAnsi="宋体" w:eastAsia="宋体" w:cs="宋体"/>
          <w:u w:val="dotted"/>
        </w:rPr>
        <w:t xml:space="preserve">                                                </w:t>
      </w:r>
    </w:p>
    <w:p>
      <w:pPr>
        <w:ind w:firstLine="482"/>
        <w:rPr>
          <w:rFonts w:ascii="宋体" w:hAnsi="宋体" w:eastAsia="宋体" w:cs="宋体"/>
          <w:b/>
        </w:rPr>
      </w:pPr>
      <w:bookmarkStart w:id="828" w:name="_Toc13500"/>
      <w:r>
        <w:rPr>
          <w:rFonts w:hint="eastAsia" w:ascii="宋体" w:hAnsi="宋体" w:eastAsia="宋体" w:cs="宋体"/>
          <w:b/>
        </w:rPr>
        <w:t>二、质疑项目基本情况</w:t>
      </w:r>
      <w:bookmarkEnd w:id="828"/>
    </w:p>
    <w:p>
      <w:pPr>
        <w:ind w:firstLine="480"/>
        <w:rPr>
          <w:rFonts w:ascii="宋体" w:hAnsi="宋体" w:eastAsia="宋体" w:cs="宋体"/>
        </w:rPr>
      </w:pPr>
      <w:r>
        <w:rPr>
          <w:rFonts w:hint="eastAsia" w:ascii="宋体" w:hAnsi="宋体" w:eastAsia="宋体" w:cs="宋体"/>
        </w:rPr>
        <w:t>质疑项目的名称：</w:t>
      </w:r>
      <w:r>
        <w:rPr>
          <w:rFonts w:hint="eastAsia" w:ascii="宋体" w:hAnsi="宋体" w:eastAsia="宋体" w:cs="宋体"/>
          <w:u w:val="dotted"/>
        </w:rPr>
        <w:t xml:space="preserve">                                      </w:t>
      </w:r>
    </w:p>
    <w:p>
      <w:pPr>
        <w:ind w:firstLine="480"/>
        <w:rPr>
          <w:rFonts w:ascii="宋体" w:hAnsi="宋体" w:eastAsia="宋体" w:cs="宋体"/>
        </w:rPr>
      </w:pPr>
      <w:r>
        <w:rPr>
          <w:rFonts w:hint="eastAsia" w:ascii="宋体" w:hAnsi="宋体" w:eastAsia="宋体" w:cs="宋体"/>
        </w:rPr>
        <w:t>质疑项目的编号：                包号：</w:t>
      </w:r>
      <w:r>
        <w:rPr>
          <w:rFonts w:hint="eastAsia" w:ascii="宋体" w:hAnsi="宋体" w:eastAsia="宋体" w:cs="宋体"/>
          <w:u w:val="dotted"/>
        </w:rPr>
        <w:t xml:space="preserve">                 </w:t>
      </w:r>
    </w:p>
    <w:p>
      <w:pPr>
        <w:ind w:firstLine="480"/>
        <w:rPr>
          <w:rFonts w:ascii="宋体" w:hAnsi="宋体" w:eastAsia="宋体" w:cs="宋体"/>
          <w:u w:val="dotted"/>
        </w:rPr>
      </w:pPr>
      <w:r>
        <w:rPr>
          <w:rFonts w:hint="eastAsia" w:ascii="宋体" w:hAnsi="宋体" w:eastAsia="宋体" w:cs="宋体"/>
        </w:rPr>
        <w:t>采购人名称：</w:t>
      </w:r>
      <w:r>
        <w:rPr>
          <w:rFonts w:hint="eastAsia" w:ascii="宋体" w:hAnsi="宋体" w:eastAsia="宋体" w:cs="宋体"/>
          <w:u w:val="dotted"/>
        </w:rPr>
        <w:t xml:space="preserve">                                         </w:t>
      </w:r>
    </w:p>
    <w:p>
      <w:pPr>
        <w:ind w:firstLine="480"/>
        <w:rPr>
          <w:rFonts w:ascii="宋体" w:hAnsi="宋体" w:eastAsia="宋体" w:cs="宋体"/>
        </w:rPr>
      </w:pPr>
      <w:r>
        <w:rPr>
          <w:rFonts w:hint="eastAsia" w:ascii="宋体" w:hAnsi="宋体" w:eastAsia="宋体" w:cs="宋体"/>
        </w:rPr>
        <w:t>采购文件获取日期：</w:t>
      </w:r>
      <w:r>
        <w:rPr>
          <w:rFonts w:hint="eastAsia" w:ascii="宋体" w:hAnsi="宋体" w:eastAsia="宋体" w:cs="宋体"/>
          <w:u w:val="dotted"/>
        </w:rPr>
        <w:t xml:space="preserve">                                           </w:t>
      </w:r>
    </w:p>
    <w:p>
      <w:pPr>
        <w:ind w:firstLine="482"/>
        <w:rPr>
          <w:rFonts w:ascii="宋体" w:hAnsi="宋体" w:eastAsia="宋体" w:cs="宋体"/>
          <w:b/>
        </w:rPr>
      </w:pPr>
      <w:bookmarkStart w:id="829" w:name="_Toc9711"/>
      <w:r>
        <w:rPr>
          <w:rFonts w:hint="eastAsia" w:ascii="宋体" w:hAnsi="宋体" w:eastAsia="宋体" w:cs="宋体"/>
          <w:b/>
        </w:rPr>
        <w:t>三、质疑事项具体内容</w:t>
      </w:r>
      <w:bookmarkEnd w:id="829"/>
    </w:p>
    <w:p>
      <w:pPr>
        <w:ind w:firstLine="480"/>
        <w:rPr>
          <w:rFonts w:ascii="宋体" w:hAnsi="宋体" w:eastAsia="宋体" w:cs="宋体"/>
          <w:u w:val="single"/>
        </w:rPr>
      </w:pPr>
      <w:r>
        <w:rPr>
          <w:rFonts w:hint="eastAsia" w:ascii="宋体" w:hAnsi="宋体" w:eastAsia="宋体" w:cs="宋体"/>
        </w:rPr>
        <w:t>质疑事项1：</w:t>
      </w:r>
      <w:r>
        <w:rPr>
          <w:rFonts w:hint="eastAsia" w:ascii="宋体" w:hAnsi="宋体" w:eastAsia="宋体" w:cs="宋体"/>
          <w:u w:val="single"/>
        </w:rPr>
        <w:t xml:space="preserve">                     </w:t>
      </w:r>
    </w:p>
    <w:p>
      <w:pPr>
        <w:ind w:firstLine="480"/>
        <w:rPr>
          <w:rFonts w:ascii="宋体" w:hAnsi="宋体" w:eastAsia="宋体" w:cs="宋体"/>
          <w:u w:val="dotted"/>
        </w:rPr>
      </w:pPr>
      <w:r>
        <w:rPr>
          <w:rFonts w:hint="eastAsia" w:ascii="宋体" w:hAnsi="宋体" w:eastAsia="宋体" w:cs="宋体"/>
        </w:rPr>
        <w:t>事实依据：</w:t>
      </w:r>
      <w:r>
        <w:rPr>
          <w:rFonts w:hint="eastAsia" w:ascii="宋体" w:hAnsi="宋体" w:eastAsia="宋体" w:cs="宋体"/>
          <w:u w:val="dotted"/>
        </w:rPr>
        <w:t xml:space="preserve">                                          </w:t>
      </w:r>
    </w:p>
    <w:p>
      <w:pPr>
        <w:ind w:firstLine="480"/>
        <w:rPr>
          <w:rFonts w:ascii="宋体" w:hAnsi="宋体" w:eastAsia="宋体" w:cs="宋体"/>
          <w:u w:val="dotted"/>
        </w:rPr>
      </w:pPr>
      <w:r>
        <w:rPr>
          <w:rFonts w:hint="eastAsia" w:ascii="宋体" w:hAnsi="宋体" w:eastAsia="宋体" w:cs="宋体"/>
        </w:rPr>
        <w:t>法律依据：</w:t>
      </w:r>
      <w:r>
        <w:rPr>
          <w:rFonts w:hint="eastAsia" w:ascii="宋体" w:hAnsi="宋体" w:eastAsia="宋体" w:cs="宋体"/>
          <w:u w:val="dotted"/>
        </w:rPr>
        <w:t xml:space="preserve">                                                                  </w:t>
      </w:r>
    </w:p>
    <w:p>
      <w:pPr>
        <w:ind w:firstLine="480"/>
        <w:rPr>
          <w:rFonts w:ascii="宋体" w:hAnsi="宋体" w:eastAsia="宋体" w:cs="宋体"/>
          <w:u w:val="dotted"/>
        </w:rPr>
      </w:pPr>
      <w:r>
        <w:rPr>
          <w:rFonts w:hint="eastAsia" w:ascii="宋体" w:hAnsi="宋体" w:eastAsia="宋体" w:cs="宋体"/>
        </w:rPr>
        <w:t>质疑事项2</w:t>
      </w:r>
    </w:p>
    <w:p>
      <w:pPr>
        <w:ind w:firstLine="480"/>
        <w:rPr>
          <w:rFonts w:ascii="宋体" w:hAnsi="宋体" w:eastAsia="宋体" w:cs="宋体"/>
        </w:rPr>
      </w:pPr>
      <w:r>
        <w:rPr>
          <w:rFonts w:hint="eastAsia" w:ascii="宋体" w:hAnsi="宋体" w:eastAsia="宋体" w:cs="宋体"/>
        </w:rPr>
        <w:t>……</w:t>
      </w:r>
    </w:p>
    <w:p>
      <w:pPr>
        <w:ind w:firstLine="482"/>
        <w:rPr>
          <w:rFonts w:ascii="宋体" w:hAnsi="宋体" w:eastAsia="宋体" w:cs="宋体"/>
          <w:b/>
        </w:rPr>
      </w:pPr>
      <w:bookmarkStart w:id="830" w:name="_Toc11351"/>
      <w:r>
        <w:rPr>
          <w:rFonts w:hint="eastAsia" w:ascii="宋体" w:hAnsi="宋体" w:eastAsia="宋体" w:cs="宋体"/>
          <w:b/>
        </w:rPr>
        <w:t>四、与质疑事项相关的质疑请求</w:t>
      </w:r>
      <w:bookmarkEnd w:id="830"/>
    </w:p>
    <w:p>
      <w:pPr>
        <w:ind w:firstLine="480"/>
        <w:rPr>
          <w:rFonts w:ascii="宋体" w:hAnsi="宋体" w:eastAsia="宋体" w:cs="宋体"/>
          <w:u w:val="dotted"/>
        </w:rPr>
      </w:pPr>
      <w:r>
        <w:rPr>
          <w:rFonts w:hint="eastAsia" w:ascii="宋体" w:hAnsi="宋体" w:eastAsia="宋体" w:cs="宋体"/>
        </w:rPr>
        <w:t>请求：</w:t>
      </w:r>
      <w:r>
        <w:rPr>
          <w:rFonts w:hint="eastAsia" w:ascii="宋体" w:hAnsi="宋体" w:eastAsia="宋体" w:cs="宋体"/>
          <w:u w:val="dotted"/>
        </w:rPr>
        <w:t xml:space="preserve">                                               </w:t>
      </w:r>
    </w:p>
    <w:p>
      <w:pPr>
        <w:ind w:firstLine="480"/>
        <w:rPr>
          <w:rFonts w:ascii="宋体" w:hAnsi="宋体" w:eastAsia="宋体" w:cs="宋体"/>
        </w:rPr>
      </w:pPr>
      <w:r>
        <w:rPr>
          <w:rFonts w:hint="eastAsia" w:ascii="宋体" w:hAnsi="宋体" w:eastAsia="宋体" w:cs="宋体"/>
        </w:rPr>
        <w:t xml:space="preserve">签字(签章)：                    公章：                      </w:t>
      </w:r>
    </w:p>
    <w:p>
      <w:pPr>
        <w:ind w:firstLine="480"/>
        <w:rPr>
          <w:rFonts w:ascii="宋体" w:hAnsi="宋体" w:eastAsia="宋体" w:cs="宋体"/>
        </w:rPr>
      </w:pPr>
      <w:r>
        <w:rPr>
          <w:rFonts w:hint="eastAsia" w:ascii="宋体" w:hAnsi="宋体" w:eastAsia="宋体" w:cs="宋体"/>
        </w:rPr>
        <w:t xml:space="preserve">日期：     </w:t>
      </w:r>
    </w:p>
    <w:p>
      <w:pPr>
        <w:ind w:firstLine="643"/>
        <w:jc w:val="left"/>
        <w:rPr>
          <w:rFonts w:ascii="宋体" w:hAnsi="宋体" w:eastAsia="宋体" w:cs="宋体"/>
          <w:b/>
          <w:sz w:val="32"/>
        </w:rPr>
      </w:pPr>
    </w:p>
    <w:p>
      <w:pPr>
        <w:spacing w:line="500" w:lineRule="exact"/>
        <w:ind w:firstLine="442"/>
        <w:rPr>
          <w:rFonts w:ascii="宋体" w:hAnsi="宋体" w:eastAsia="宋体" w:cs="宋体"/>
          <w:b/>
          <w:bCs/>
          <w:i/>
          <w:sz w:val="22"/>
          <w:szCs w:val="22"/>
        </w:rPr>
      </w:pPr>
      <w:bookmarkStart w:id="831" w:name="_Toc18251"/>
      <w:r>
        <w:rPr>
          <w:rFonts w:hint="eastAsia" w:ascii="宋体" w:hAnsi="宋体" w:eastAsia="宋体" w:cs="宋体"/>
          <w:b/>
          <w:bCs/>
          <w:i/>
          <w:sz w:val="22"/>
          <w:szCs w:val="22"/>
        </w:rPr>
        <w:t>质疑函制作说明：</w:t>
      </w:r>
      <w:bookmarkEnd w:id="831"/>
    </w:p>
    <w:p>
      <w:pPr>
        <w:spacing w:line="500" w:lineRule="exact"/>
        <w:ind w:firstLine="440"/>
        <w:rPr>
          <w:rFonts w:ascii="宋体" w:hAnsi="宋体" w:eastAsia="宋体" w:cs="宋体"/>
          <w:i/>
          <w:sz w:val="22"/>
          <w:szCs w:val="22"/>
        </w:rPr>
      </w:pPr>
      <w:r>
        <w:rPr>
          <w:rFonts w:hint="eastAsia" w:ascii="宋体" w:hAnsi="宋体" w:eastAsia="宋体" w:cs="宋体"/>
          <w:i/>
          <w:sz w:val="22"/>
          <w:szCs w:val="22"/>
        </w:rPr>
        <w:t>1.供应商提出质疑时，应提交质疑函和必要的证明材料。</w:t>
      </w:r>
    </w:p>
    <w:p>
      <w:pPr>
        <w:spacing w:line="500" w:lineRule="exact"/>
        <w:ind w:firstLine="440"/>
        <w:rPr>
          <w:rFonts w:ascii="宋体" w:hAnsi="宋体" w:eastAsia="宋体" w:cs="宋体"/>
          <w:i/>
          <w:sz w:val="22"/>
          <w:szCs w:val="22"/>
        </w:rPr>
      </w:pPr>
      <w:r>
        <w:rPr>
          <w:rFonts w:hint="eastAsia" w:ascii="宋体" w:hAnsi="宋体" w:eastAsia="宋体" w:cs="宋体"/>
          <w:i/>
          <w:sz w:val="22"/>
          <w:szCs w:val="2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spacing w:line="500" w:lineRule="exact"/>
        <w:ind w:firstLine="440"/>
        <w:rPr>
          <w:rFonts w:ascii="宋体" w:hAnsi="宋体" w:eastAsia="宋体" w:cs="宋体"/>
          <w:i/>
          <w:sz w:val="22"/>
          <w:szCs w:val="22"/>
        </w:rPr>
      </w:pPr>
      <w:r>
        <w:rPr>
          <w:rFonts w:hint="eastAsia" w:ascii="宋体" w:hAnsi="宋体" w:eastAsia="宋体" w:cs="宋体"/>
          <w:i/>
          <w:sz w:val="22"/>
          <w:szCs w:val="22"/>
        </w:rPr>
        <w:t>3.质疑供应商若对项目的某一分包进行质疑，质疑函中应列明具体分包号。</w:t>
      </w:r>
    </w:p>
    <w:p>
      <w:pPr>
        <w:spacing w:line="500" w:lineRule="exact"/>
        <w:ind w:firstLine="440"/>
        <w:rPr>
          <w:rFonts w:ascii="宋体" w:hAnsi="宋体" w:eastAsia="宋体" w:cs="宋体"/>
          <w:i/>
          <w:sz w:val="22"/>
          <w:szCs w:val="22"/>
        </w:rPr>
      </w:pPr>
      <w:r>
        <w:rPr>
          <w:rFonts w:hint="eastAsia" w:ascii="宋体" w:hAnsi="宋体" w:eastAsia="宋体" w:cs="宋体"/>
          <w:i/>
          <w:sz w:val="22"/>
          <w:szCs w:val="22"/>
        </w:rPr>
        <w:t>4.质疑函的质疑事项应具体、明确，并有必要的事实依据和法律依据。</w:t>
      </w:r>
    </w:p>
    <w:p>
      <w:pPr>
        <w:spacing w:line="500" w:lineRule="exact"/>
        <w:ind w:firstLine="440"/>
        <w:rPr>
          <w:rFonts w:ascii="宋体" w:hAnsi="宋体" w:eastAsia="宋体" w:cs="宋体"/>
          <w:i/>
          <w:sz w:val="22"/>
          <w:szCs w:val="22"/>
        </w:rPr>
      </w:pPr>
      <w:r>
        <w:rPr>
          <w:rFonts w:hint="eastAsia" w:ascii="宋体" w:hAnsi="宋体" w:eastAsia="宋体" w:cs="宋体"/>
          <w:i/>
          <w:sz w:val="22"/>
          <w:szCs w:val="22"/>
        </w:rPr>
        <w:t>5.质疑函的质疑请求应与质疑事项相关。</w:t>
      </w:r>
    </w:p>
    <w:p>
      <w:pPr>
        <w:spacing w:line="500" w:lineRule="exact"/>
        <w:ind w:firstLine="440"/>
        <w:rPr>
          <w:rFonts w:ascii="宋体" w:hAnsi="宋体" w:eastAsia="宋体" w:cs="宋体"/>
          <w:i/>
          <w:sz w:val="22"/>
          <w:szCs w:val="22"/>
        </w:rPr>
      </w:pPr>
      <w:r>
        <w:rPr>
          <w:rFonts w:hint="eastAsia" w:ascii="宋体" w:hAnsi="宋体" w:eastAsia="宋体" w:cs="宋体"/>
          <w:i/>
          <w:sz w:val="22"/>
          <w:szCs w:val="22"/>
        </w:rPr>
        <w:t>6.质疑供应商为自然人的，质疑函应由本人签字；质疑供应商为法人或者其他组织的，质疑函应由法定代表人、主要负责人，或者其授权代表签字或者盖章，并加盖公章。</w:t>
      </w:r>
    </w:p>
    <w:p>
      <w:pPr>
        <w:pStyle w:val="25"/>
        <w:rPr>
          <w:rFonts w:ascii="宋体" w:hAnsi="宋体" w:eastAsia="宋体" w:cs="宋体"/>
          <w:b/>
          <w:bCs/>
          <w:color w:val="auto"/>
        </w:rPr>
      </w:pPr>
    </w:p>
    <w:p>
      <w:pPr>
        <w:rPr>
          <w:rFonts w:ascii="宋体" w:hAnsi="宋体" w:eastAsia="宋体" w:cs="宋体"/>
        </w:rPr>
      </w:pPr>
    </w:p>
    <w:sectPr>
      <w:pgSz w:w="11906" w:h="16838"/>
      <w:pgMar w:top="1418" w:right="1418" w:bottom="1418" w:left="1418"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r>
      <w:fldChar w:fldCharType="begin"/>
    </w:r>
    <w:r>
      <w:instrText xml:space="preserve"> PAGE   \* MERGEFORMAT </w:instrText>
    </w:r>
    <w:r>
      <w:fldChar w:fldCharType="separate"/>
    </w:r>
    <w:r>
      <w:rPr>
        <w:lang w:val="zh-CN"/>
      </w:rPr>
      <w:t>2</w:t>
    </w:r>
    <w:r>
      <w:rPr>
        <w:lang w:val="zh-CN"/>
      </w:rPr>
      <w:fldChar w:fldCharType="end"/>
    </w:r>
    <w:r>
      <w:tab/>
    </w:r>
    <w:r>
      <w:rPr>
        <w:rFonts w:hint="eastAsia"/>
      </w:rPr>
      <w:t>浙江五石工程咨询有限公司</w: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rPr>
        <w:rFonts w:ascii="Times New Roman" w:hAnsi="Times New Roman" w:eastAsia="仿宋_GB2312"/>
        <w:sz w:val="24"/>
      </w:rPr>
    </w:pPr>
    <w:r>
      <w:rPr>
        <w:sz w:val="24"/>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DOqXm5zwAAAAUBAAAP&#10;AAAAAAAAAAEAIAAAACIAAABkcnMvZG93bnJldi54bWxQSwECFAAUAAAACACHTuJAeB+fa68BAABM&#10;AwAADgAAAAAAAAABACAAAAAeAQAAZHJzL2Uyb0RvYy54bWxQSwUGAAAAAAYABgBZAQAAPwUAAAAA&#10;">
              <v:fill on="f" focussize="0,0"/>
              <v:stroke on="f"/>
              <v:imagedata o:title=""/>
              <o:lock v:ext="edit" aspectratio="f"/>
              <v:textbox inset="0mm,0mm,0mm,0mm" style="mso-fit-shape-to-text:t;">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42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7"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zql5uc8AAAAFAQAA&#10;DwAAAAAAAAABACAAAAAiAAAAZHJzL2Rvd25yZXYueG1sUEsBAhQAFAAAAAgAh07iQNB8WrqwAQAA&#10;TAMAAA4AAAAAAAAAAQAgAAAAHgEAAGRycy9lMm9Eb2MueG1sUEsFBgAAAAAGAAYAWQEAAEAFAAAA&#10;AA==&#10;">
              <v:fill on="f" focussize="0,0"/>
              <v:stroke on="f"/>
              <v:imagedata o:title=""/>
              <o:lock v:ext="edit" aspectratio="f"/>
              <v:textbox inset="0mm,0mm,0mm,0mm" style="mso-fit-shape-to-text:t;">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v:textbox>
            </v:shape>
          </w:pict>
        </mc:Fallback>
      </mc:AlternateContent>
    </w:r>
  </w:p>
  <w:p>
    <w:pPr>
      <w:ind w:firstLine="42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78</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8"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DOqXm5zwAAAAUBAAAP&#10;AAAAAAAAAAEAIAAAACIAAABkcnMvZG93bnJldi54bWxQSwECFAAUAAAACACHTuJA6lKf8q8BAABM&#10;AwAADgAAAAAAAAABACAAAAAeAQAAZHJzL2Uyb0RvYy54bWxQSwUGAAAAAAYABgBZAQAAPwUAAAAA&#10;">
              <v:fill on="f" focussize="0,0"/>
              <v:stroke on="f"/>
              <v:imagedata o:title=""/>
              <o:lock v:ext="edit" aspectratio="f"/>
              <v:textbox inset="0mm,0mm,0mm,0mm" style="mso-fit-shape-to-text:t;">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78</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9"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DOqXm5zwAAAAUBAAAP&#10;AAAAAAAAAAEAIAAAACIAAABkcnMvZG93bnJldi54bWxQSwECFAAUAAAACACHTuJAUXoHba8BAABM&#10;AwAADgAAAAAAAAABACAAAAAeAQAAZHJzL2Uyb0RvYy54bWxQSwUGAAAAAAYABgBZAQAAPwUAAAAA&#10;">
              <v:fill on="f" focussize="0,0"/>
              <v:stroke on="f"/>
              <v:imagedata o:title=""/>
              <o:lock v:ext="edit" aspectratio="f"/>
              <v:textbox inset="0mm,0mm,0mm,0mm" style="mso-fit-shape-to-text:t;">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20"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CElXz/rgEAAEwD&#10;AAAOAAAAAAAAAAEAIAAAAB4BAABkcnMvZTJvRG9jLnhtbFBLBQYAAAAABgAGAFkBAAA+BQAAAAA=&#10;">
              <v:fill on="f" focussize="0,0"/>
              <v:stroke on="f"/>
              <v:imagedata o:title=""/>
              <o:lock v:ext="edit" aspectratio="f"/>
              <v:textbox inset="0mm,0mm,0mm,0mm" style="mso-fit-shape-to-text:t;">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1"/>
      </w:rPr>
    </w:pPr>
    <w:r>
      <w:fldChar w:fldCharType="begin"/>
    </w:r>
    <w:r>
      <w:rPr>
        <w:rStyle w:val="21"/>
      </w:rPr>
      <w:instrText xml:space="preserve">PAGE  </w:instrText>
    </w:r>
    <w:r>
      <w:fldChar w:fldCharType="separate"/>
    </w:r>
    <w:r>
      <w:rPr>
        <w:rStyle w:val="21"/>
      </w:rPr>
      <w:t>1</w:t>
    </w:r>
    <w:r>
      <w:fldChar w:fldCharType="end"/>
    </w:r>
  </w:p>
  <w:p>
    <w:pPr>
      <w:pStyle w:val="12"/>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left" w:pos="900"/>
        <w:tab w:val="clear" w:pos="4153"/>
        <w:tab w:val="clear" w:pos="8306"/>
      </w:tabs>
      <w:jc w:val="center"/>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21"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UAVoergEAAEwD&#10;AAAOAAAAAAAAAAEAIAAAAB4BAABkcnMvZTJvRG9jLnhtbFBLBQYAAAAABgAGAFkBAAA+BQAAAAA=&#10;">
              <v:fill on="f" focussize="0,0"/>
              <v:stroke on="f"/>
              <v:imagedata o:title=""/>
              <o:lock v:ext="edit" aspectratio="f"/>
              <v:textbox inset="0mm,0mm,0mm,0mm" style="mso-fit-shape-to-text:t;">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1"/>
      </w:rPr>
    </w:pPr>
    <w:r>
      <w:fldChar w:fldCharType="begin"/>
    </w:r>
    <w:r>
      <w:rPr>
        <w:rStyle w:val="21"/>
      </w:rPr>
      <w:instrText xml:space="preserve">PAGE  </w:instrText>
    </w:r>
    <w:r>
      <w:fldChar w:fldCharType="end"/>
    </w:r>
  </w:p>
  <w:p>
    <w:pPr>
      <w:pStyle w:val="12"/>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left" w:pos="900"/>
        <w:tab w:val="clear" w:pos="4153"/>
        <w:tab w:val="clear" w:pos="8306"/>
      </w:tabs>
      <w:jc w:val="center"/>
    </w:pPr>
    <w:r>
      <w:rPr>
        <w:sz w:val="18"/>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22"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5ryEwrgEAAE0D&#10;AAAOAAAAAAAAAAEAIAAAAB4BAABkcnMvZTJvRG9jLnhtbFBLBQYAAAAABgAGAFkBAAA+BQAAAAA=&#10;">
              <v:fill on="f" focussize="0,0"/>
              <v:stroke on="f"/>
              <v:imagedata o:title=""/>
              <o:lock v:ext="edit" aspectratio="f"/>
              <v:textbox inset="0mm,0mm,0mm,0mm" style="mso-fit-shape-to-text:t;">
                <w:txbxContent>
                  <w:p>
                    <w:pPr>
                      <w:pStyle w:val="1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119</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tabs>
        <w:tab w:val="left" w:pos="3358"/>
      </w:tabs>
      <w:jc w:val="left"/>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both"/>
    </w:pPr>
    <w:r>
      <w:rPr>
        <w:rFonts w:hint="eastAsia"/>
      </w:rPr>
      <w:t>浙江大学</w:t>
    </w:r>
    <w:r>
      <w:rPr>
        <w:rFonts w:hint="eastAsia"/>
      </w:rPr>
      <w:tab/>
    </w:r>
    <w:r>
      <w:rPr>
        <w:rFonts w:hint="eastAsia"/>
      </w:rPr>
      <w:t>文创中心脑电采集分析系统项目</w:t>
    </w:r>
    <w:r>
      <w:rPr>
        <w:rFonts w:hint="eastAsia"/>
      </w:rPr>
      <w:tab/>
    </w: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7AC049"/>
    <w:multiLevelType w:val="singleLevel"/>
    <w:tmpl w:val="B97AC049"/>
    <w:lvl w:ilvl="0" w:tentative="0">
      <w:start w:val="1"/>
      <w:numFmt w:val="decimal"/>
      <w:suff w:val="nothing"/>
      <w:lvlText w:val="%1、"/>
      <w:lvlJc w:val="left"/>
    </w:lvl>
  </w:abstractNum>
  <w:abstractNum w:abstractNumId="1">
    <w:nsid w:val="DE29DB6D"/>
    <w:multiLevelType w:val="singleLevel"/>
    <w:tmpl w:val="DE29DB6D"/>
    <w:lvl w:ilvl="0" w:tentative="0">
      <w:start w:val="1"/>
      <w:numFmt w:val="decimal"/>
      <w:suff w:val="nothing"/>
      <w:lvlText w:val="（%1）"/>
      <w:lvlJc w:val="left"/>
    </w:lvl>
  </w:abstractNum>
  <w:abstractNum w:abstractNumId="2">
    <w:nsid w:val="E35A7A1A"/>
    <w:multiLevelType w:val="singleLevel"/>
    <w:tmpl w:val="E35A7A1A"/>
    <w:lvl w:ilvl="0" w:tentative="0">
      <w:start w:val="13"/>
      <w:numFmt w:val="decimal"/>
      <w:suff w:val="nothing"/>
      <w:lvlText w:val="%1．"/>
      <w:lvlJc w:val="left"/>
    </w:lvl>
  </w:abstractNum>
  <w:abstractNum w:abstractNumId="3">
    <w:nsid w:val="FB87AD15"/>
    <w:multiLevelType w:val="singleLevel"/>
    <w:tmpl w:val="FB87AD15"/>
    <w:lvl w:ilvl="0" w:tentative="0">
      <w:start w:val="1"/>
      <w:numFmt w:val="decimal"/>
      <w:suff w:val="nothing"/>
      <w:lvlText w:val="（%1）"/>
      <w:lvlJc w:val="left"/>
    </w:lvl>
  </w:abstractNum>
  <w:abstractNum w:abstractNumId="4">
    <w:nsid w:val="39093E7D"/>
    <w:multiLevelType w:val="multilevel"/>
    <w:tmpl w:val="39093E7D"/>
    <w:lvl w:ilvl="0" w:tentative="0">
      <w:start w:val="1"/>
      <w:numFmt w:val="chineseCountingThousand"/>
      <w:pStyle w:val="37"/>
      <w:lvlText w:val="%1、"/>
      <w:lvlJc w:val="left"/>
      <w:pPr>
        <w:tabs>
          <w:tab w:val="left" w:pos="420"/>
        </w:tabs>
        <w:ind w:left="420" w:hanging="420"/>
      </w:pPr>
      <w:rPr>
        <w:rFonts w:hint="eastAsia" w:eastAsia="宋体"/>
        <w:b/>
        <w:i w:val="0"/>
        <w:sz w:val="36"/>
        <w:lang w:val="en-US"/>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D8480A"/>
    <w:rsid w:val="00033BA8"/>
    <w:rsid w:val="000D0985"/>
    <w:rsid w:val="000E52C7"/>
    <w:rsid w:val="00143DBB"/>
    <w:rsid w:val="00226A7E"/>
    <w:rsid w:val="0025354B"/>
    <w:rsid w:val="00267F60"/>
    <w:rsid w:val="00347DD9"/>
    <w:rsid w:val="003F0750"/>
    <w:rsid w:val="00431A68"/>
    <w:rsid w:val="00444627"/>
    <w:rsid w:val="0048632A"/>
    <w:rsid w:val="004C6E9E"/>
    <w:rsid w:val="00512935"/>
    <w:rsid w:val="005A7D1E"/>
    <w:rsid w:val="005B0579"/>
    <w:rsid w:val="005F1776"/>
    <w:rsid w:val="00612DA8"/>
    <w:rsid w:val="0063779C"/>
    <w:rsid w:val="006612B9"/>
    <w:rsid w:val="006B316E"/>
    <w:rsid w:val="006D3453"/>
    <w:rsid w:val="006D60F3"/>
    <w:rsid w:val="006E4276"/>
    <w:rsid w:val="007023CD"/>
    <w:rsid w:val="00761A09"/>
    <w:rsid w:val="00765CD9"/>
    <w:rsid w:val="007803AC"/>
    <w:rsid w:val="007D57F0"/>
    <w:rsid w:val="008A6CF1"/>
    <w:rsid w:val="008C3679"/>
    <w:rsid w:val="00977712"/>
    <w:rsid w:val="009B19FD"/>
    <w:rsid w:val="00A82A13"/>
    <w:rsid w:val="00BE13F2"/>
    <w:rsid w:val="00C27F25"/>
    <w:rsid w:val="00C40FDE"/>
    <w:rsid w:val="00CB37BC"/>
    <w:rsid w:val="00D27D31"/>
    <w:rsid w:val="00DC04D0"/>
    <w:rsid w:val="00DE5902"/>
    <w:rsid w:val="00E45D59"/>
    <w:rsid w:val="00E732A0"/>
    <w:rsid w:val="00EB7324"/>
    <w:rsid w:val="00F10EC5"/>
    <w:rsid w:val="00FA6322"/>
    <w:rsid w:val="00FE7AF3"/>
    <w:rsid w:val="01612B89"/>
    <w:rsid w:val="01FD06D0"/>
    <w:rsid w:val="029D409A"/>
    <w:rsid w:val="02A70C01"/>
    <w:rsid w:val="03501C68"/>
    <w:rsid w:val="03C01DE0"/>
    <w:rsid w:val="03F40139"/>
    <w:rsid w:val="041334A0"/>
    <w:rsid w:val="04BA2790"/>
    <w:rsid w:val="04E027E2"/>
    <w:rsid w:val="04E772CE"/>
    <w:rsid w:val="0515402D"/>
    <w:rsid w:val="05681D24"/>
    <w:rsid w:val="05B32A1C"/>
    <w:rsid w:val="05C07FAA"/>
    <w:rsid w:val="062C0D87"/>
    <w:rsid w:val="06773FDD"/>
    <w:rsid w:val="06CD564B"/>
    <w:rsid w:val="081D4EDF"/>
    <w:rsid w:val="082B43BB"/>
    <w:rsid w:val="086330C9"/>
    <w:rsid w:val="09014ABF"/>
    <w:rsid w:val="091238BE"/>
    <w:rsid w:val="0A1A5CBB"/>
    <w:rsid w:val="0A4D5CCB"/>
    <w:rsid w:val="0A5D3693"/>
    <w:rsid w:val="0A887E90"/>
    <w:rsid w:val="0A97487E"/>
    <w:rsid w:val="0B46430C"/>
    <w:rsid w:val="0B5D5CD1"/>
    <w:rsid w:val="0C1549C0"/>
    <w:rsid w:val="0CCF49FA"/>
    <w:rsid w:val="0D9431CE"/>
    <w:rsid w:val="0DB40F56"/>
    <w:rsid w:val="0DF27829"/>
    <w:rsid w:val="0E263466"/>
    <w:rsid w:val="0E863F2D"/>
    <w:rsid w:val="0EAB5521"/>
    <w:rsid w:val="0ED535D0"/>
    <w:rsid w:val="0EFF3035"/>
    <w:rsid w:val="1072379F"/>
    <w:rsid w:val="10E11885"/>
    <w:rsid w:val="113B1DA5"/>
    <w:rsid w:val="115D7716"/>
    <w:rsid w:val="11907F4F"/>
    <w:rsid w:val="11BF6B1F"/>
    <w:rsid w:val="120036E4"/>
    <w:rsid w:val="12B035D1"/>
    <w:rsid w:val="12F53CC6"/>
    <w:rsid w:val="13577179"/>
    <w:rsid w:val="13764E1F"/>
    <w:rsid w:val="141C167D"/>
    <w:rsid w:val="14E93AFD"/>
    <w:rsid w:val="15245DDC"/>
    <w:rsid w:val="15321196"/>
    <w:rsid w:val="15C65899"/>
    <w:rsid w:val="162850A1"/>
    <w:rsid w:val="164F154E"/>
    <w:rsid w:val="16897D4C"/>
    <w:rsid w:val="17293D3B"/>
    <w:rsid w:val="1742124B"/>
    <w:rsid w:val="17494C42"/>
    <w:rsid w:val="17F62A37"/>
    <w:rsid w:val="18990178"/>
    <w:rsid w:val="19076C40"/>
    <w:rsid w:val="196B65CE"/>
    <w:rsid w:val="19B86D90"/>
    <w:rsid w:val="1A207A8C"/>
    <w:rsid w:val="1A5107D4"/>
    <w:rsid w:val="1A8954BA"/>
    <w:rsid w:val="1A9315D6"/>
    <w:rsid w:val="1C6F3787"/>
    <w:rsid w:val="1C767BF9"/>
    <w:rsid w:val="1CBD7D84"/>
    <w:rsid w:val="1D6E29AA"/>
    <w:rsid w:val="1E6F46D9"/>
    <w:rsid w:val="1F597791"/>
    <w:rsid w:val="1F7B7BD7"/>
    <w:rsid w:val="207A1884"/>
    <w:rsid w:val="20840F65"/>
    <w:rsid w:val="21E918BD"/>
    <w:rsid w:val="22112047"/>
    <w:rsid w:val="22FF724D"/>
    <w:rsid w:val="234F7739"/>
    <w:rsid w:val="23C75D4A"/>
    <w:rsid w:val="240F60E9"/>
    <w:rsid w:val="249F3E33"/>
    <w:rsid w:val="24AA5083"/>
    <w:rsid w:val="259E180D"/>
    <w:rsid w:val="25FA0C6E"/>
    <w:rsid w:val="26215A9F"/>
    <w:rsid w:val="265F7813"/>
    <w:rsid w:val="26964A6E"/>
    <w:rsid w:val="26A0627C"/>
    <w:rsid w:val="26D8480A"/>
    <w:rsid w:val="278A0659"/>
    <w:rsid w:val="27EC1410"/>
    <w:rsid w:val="280C578E"/>
    <w:rsid w:val="283372C9"/>
    <w:rsid w:val="28576ED2"/>
    <w:rsid w:val="2A254C3D"/>
    <w:rsid w:val="2A8F29D9"/>
    <w:rsid w:val="2AB8212C"/>
    <w:rsid w:val="2B582C35"/>
    <w:rsid w:val="2BA50C8D"/>
    <w:rsid w:val="2C6552A1"/>
    <w:rsid w:val="2C851E3A"/>
    <w:rsid w:val="2CD82A91"/>
    <w:rsid w:val="2CF15CBA"/>
    <w:rsid w:val="2D1F0120"/>
    <w:rsid w:val="2D433A59"/>
    <w:rsid w:val="2D7E6913"/>
    <w:rsid w:val="2DB40CB8"/>
    <w:rsid w:val="2DCA2B32"/>
    <w:rsid w:val="2E736CB3"/>
    <w:rsid w:val="2EA87729"/>
    <w:rsid w:val="2F2B537F"/>
    <w:rsid w:val="2FD27C3A"/>
    <w:rsid w:val="2FD82597"/>
    <w:rsid w:val="3019155A"/>
    <w:rsid w:val="30922C3C"/>
    <w:rsid w:val="319329A1"/>
    <w:rsid w:val="32100098"/>
    <w:rsid w:val="321D2976"/>
    <w:rsid w:val="325E6B28"/>
    <w:rsid w:val="32C809B9"/>
    <w:rsid w:val="32DF72D9"/>
    <w:rsid w:val="33155064"/>
    <w:rsid w:val="3403748D"/>
    <w:rsid w:val="340F5226"/>
    <w:rsid w:val="341C1E9D"/>
    <w:rsid w:val="34244F61"/>
    <w:rsid w:val="34443468"/>
    <w:rsid w:val="34566A09"/>
    <w:rsid w:val="34DF1CCA"/>
    <w:rsid w:val="34EB3CCA"/>
    <w:rsid w:val="34EC2C9A"/>
    <w:rsid w:val="35233665"/>
    <w:rsid w:val="357B6E43"/>
    <w:rsid w:val="36B83699"/>
    <w:rsid w:val="36C963D0"/>
    <w:rsid w:val="36CA6C92"/>
    <w:rsid w:val="36DF7E91"/>
    <w:rsid w:val="36E17D28"/>
    <w:rsid w:val="37086BFD"/>
    <w:rsid w:val="37A24603"/>
    <w:rsid w:val="37C40597"/>
    <w:rsid w:val="37C849C8"/>
    <w:rsid w:val="38B620F1"/>
    <w:rsid w:val="38B663D1"/>
    <w:rsid w:val="38D10159"/>
    <w:rsid w:val="38F4654F"/>
    <w:rsid w:val="39003DD7"/>
    <w:rsid w:val="3938642D"/>
    <w:rsid w:val="39424A3D"/>
    <w:rsid w:val="396C3B59"/>
    <w:rsid w:val="39AF3E49"/>
    <w:rsid w:val="39D92182"/>
    <w:rsid w:val="39F537DF"/>
    <w:rsid w:val="3A076621"/>
    <w:rsid w:val="3A084000"/>
    <w:rsid w:val="3AAB2917"/>
    <w:rsid w:val="3ABB665C"/>
    <w:rsid w:val="3ABD69D6"/>
    <w:rsid w:val="3AE737BB"/>
    <w:rsid w:val="3B4D37F7"/>
    <w:rsid w:val="3C071807"/>
    <w:rsid w:val="3C7457B2"/>
    <w:rsid w:val="3CEA5E25"/>
    <w:rsid w:val="3D963DE3"/>
    <w:rsid w:val="3D9B66D9"/>
    <w:rsid w:val="3E2E345F"/>
    <w:rsid w:val="3EA77B74"/>
    <w:rsid w:val="3EE40704"/>
    <w:rsid w:val="3F4B4B1C"/>
    <w:rsid w:val="3F903A18"/>
    <w:rsid w:val="403042B1"/>
    <w:rsid w:val="41624687"/>
    <w:rsid w:val="41CA508D"/>
    <w:rsid w:val="42033DDA"/>
    <w:rsid w:val="430507D5"/>
    <w:rsid w:val="43C069AB"/>
    <w:rsid w:val="43DF72C7"/>
    <w:rsid w:val="43E94F48"/>
    <w:rsid w:val="44623125"/>
    <w:rsid w:val="44CC20A2"/>
    <w:rsid w:val="44E16992"/>
    <w:rsid w:val="454E02BE"/>
    <w:rsid w:val="45734B5D"/>
    <w:rsid w:val="45AF7123"/>
    <w:rsid w:val="45C42868"/>
    <w:rsid w:val="467B0C59"/>
    <w:rsid w:val="470A2CA8"/>
    <w:rsid w:val="47E66929"/>
    <w:rsid w:val="48744889"/>
    <w:rsid w:val="48ED4A09"/>
    <w:rsid w:val="49631A52"/>
    <w:rsid w:val="499A1867"/>
    <w:rsid w:val="49F76618"/>
    <w:rsid w:val="4A137C10"/>
    <w:rsid w:val="4A9D73C1"/>
    <w:rsid w:val="4ADC10A5"/>
    <w:rsid w:val="4B02432F"/>
    <w:rsid w:val="4BDE5D7C"/>
    <w:rsid w:val="4C1B266D"/>
    <w:rsid w:val="4C733B63"/>
    <w:rsid w:val="4DD23364"/>
    <w:rsid w:val="4E2C45B7"/>
    <w:rsid w:val="4EDA4EEF"/>
    <w:rsid w:val="4EE27E1D"/>
    <w:rsid w:val="4F044C00"/>
    <w:rsid w:val="4F5840A5"/>
    <w:rsid w:val="4F923D69"/>
    <w:rsid w:val="501F3F39"/>
    <w:rsid w:val="50770758"/>
    <w:rsid w:val="50855305"/>
    <w:rsid w:val="50D0111F"/>
    <w:rsid w:val="51A15ECE"/>
    <w:rsid w:val="51AE2BF0"/>
    <w:rsid w:val="51E01FB9"/>
    <w:rsid w:val="51EE0D67"/>
    <w:rsid w:val="520077D6"/>
    <w:rsid w:val="52024350"/>
    <w:rsid w:val="52E36586"/>
    <w:rsid w:val="539C54B6"/>
    <w:rsid w:val="54726BCB"/>
    <w:rsid w:val="54FD6517"/>
    <w:rsid w:val="553400ED"/>
    <w:rsid w:val="55671972"/>
    <w:rsid w:val="567961A1"/>
    <w:rsid w:val="56B06EEE"/>
    <w:rsid w:val="56BB6B74"/>
    <w:rsid w:val="56CB25D7"/>
    <w:rsid w:val="57B72CD5"/>
    <w:rsid w:val="57CC4D49"/>
    <w:rsid w:val="57F56047"/>
    <w:rsid w:val="583245F7"/>
    <w:rsid w:val="586B5EFD"/>
    <w:rsid w:val="594150B2"/>
    <w:rsid w:val="5970545C"/>
    <w:rsid w:val="59C3077B"/>
    <w:rsid w:val="5A235F34"/>
    <w:rsid w:val="5A6A28FD"/>
    <w:rsid w:val="5AE035C1"/>
    <w:rsid w:val="5B6363DD"/>
    <w:rsid w:val="5BA353DA"/>
    <w:rsid w:val="5BE70685"/>
    <w:rsid w:val="5C1B0810"/>
    <w:rsid w:val="5C266451"/>
    <w:rsid w:val="5C606DE1"/>
    <w:rsid w:val="5CC51350"/>
    <w:rsid w:val="5CCA0048"/>
    <w:rsid w:val="5CDC2565"/>
    <w:rsid w:val="5D7322F4"/>
    <w:rsid w:val="5D88270F"/>
    <w:rsid w:val="5E0D0A1F"/>
    <w:rsid w:val="5EA915DA"/>
    <w:rsid w:val="5EF15B9D"/>
    <w:rsid w:val="5F8D718F"/>
    <w:rsid w:val="5FB37844"/>
    <w:rsid w:val="603619FA"/>
    <w:rsid w:val="6086429E"/>
    <w:rsid w:val="60FA295A"/>
    <w:rsid w:val="61A10C21"/>
    <w:rsid w:val="61C902B2"/>
    <w:rsid w:val="620157A0"/>
    <w:rsid w:val="6288209A"/>
    <w:rsid w:val="6319365A"/>
    <w:rsid w:val="637E2550"/>
    <w:rsid w:val="63961553"/>
    <w:rsid w:val="64622B53"/>
    <w:rsid w:val="64F21AEE"/>
    <w:rsid w:val="65200422"/>
    <w:rsid w:val="652B1A79"/>
    <w:rsid w:val="652B6606"/>
    <w:rsid w:val="65BF05A2"/>
    <w:rsid w:val="65DB3ED9"/>
    <w:rsid w:val="665A623A"/>
    <w:rsid w:val="66837897"/>
    <w:rsid w:val="67120FE9"/>
    <w:rsid w:val="67B81D9C"/>
    <w:rsid w:val="684C0333"/>
    <w:rsid w:val="699F07A6"/>
    <w:rsid w:val="69A6712B"/>
    <w:rsid w:val="69B84C6F"/>
    <w:rsid w:val="6A245FFE"/>
    <w:rsid w:val="6BA92FAB"/>
    <w:rsid w:val="6D7B1FB3"/>
    <w:rsid w:val="6E780AB5"/>
    <w:rsid w:val="6E8E35DD"/>
    <w:rsid w:val="6EBE25D6"/>
    <w:rsid w:val="702D3BD5"/>
    <w:rsid w:val="70D93E84"/>
    <w:rsid w:val="71012135"/>
    <w:rsid w:val="71C35A07"/>
    <w:rsid w:val="720C6EAC"/>
    <w:rsid w:val="72325AB6"/>
    <w:rsid w:val="72581FCF"/>
    <w:rsid w:val="72814977"/>
    <w:rsid w:val="72994529"/>
    <w:rsid w:val="73317F3A"/>
    <w:rsid w:val="737673FE"/>
    <w:rsid w:val="73D66ECE"/>
    <w:rsid w:val="74CF30FF"/>
    <w:rsid w:val="74E36392"/>
    <w:rsid w:val="74E7633B"/>
    <w:rsid w:val="74FC6238"/>
    <w:rsid w:val="752A0EDC"/>
    <w:rsid w:val="753B5C61"/>
    <w:rsid w:val="756940A7"/>
    <w:rsid w:val="757D1C8C"/>
    <w:rsid w:val="76206C49"/>
    <w:rsid w:val="76742755"/>
    <w:rsid w:val="768700B5"/>
    <w:rsid w:val="76A43C8C"/>
    <w:rsid w:val="76D24B54"/>
    <w:rsid w:val="776F00A6"/>
    <w:rsid w:val="78210BDC"/>
    <w:rsid w:val="782659B8"/>
    <w:rsid w:val="78391C1A"/>
    <w:rsid w:val="784E565D"/>
    <w:rsid w:val="78E41AAF"/>
    <w:rsid w:val="79256F1B"/>
    <w:rsid w:val="79430FEC"/>
    <w:rsid w:val="797B4570"/>
    <w:rsid w:val="7B4F7A13"/>
    <w:rsid w:val="7B60131E"/>
    <w:rsid w:val="7B7D24E8"/>
    <w:rsid w:val="7B85288A"/>
    <w:rsid w:val="7B8F771E"/>
    <w:rsid w:val="7BCD3FE6"/>
    <w:rsid w:val="7BFF78A2"/>
    <w:rsid w:val="7C5E2535"/>
    <w:rsid w:val="7CA51826"/>
    <w:rsid w:val="7D1A1161"/>
    <w:rsid w:val="7D6F6722"/>
    <w:rsid w:val="7D84036A"/>
    <w:rsid w:val="7DD01F43"/>
    <w:rsid w:val="7DE14DCB"/>
    <w:rsid w:val="7E0820FF"/>
    <w:rsid w:val="7E0C7C15"/>
    <w:rsid w:val="7E246915"/>
    <w:rsid w:val="7E700A66"/>
    <w:rsid w:val="7F354B10"/>
    <w:rsid w:val="7F9C17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jc w:val="both"/>
    </w:pPr>
    <w:rPr>
      <w:rFonts w:ascii="Arial" w:hAnsi="Arial" w:cs="Arial" w:eastAsiaTheme="minorEastAsia"/>
      <w:kern w:val="2"/>
      <w:sz w:val="21"/>
      <w:szCs w:val="24"/>
      <w:lang w:val="en-US" w:eastAsia="zh-CN" w:bidi="ar-SA"/>
    </w:rPr>
  </w:style>
  <w:style w:type="paragraph" w:styleId="3">
    <w:name w:val="heading 1"/>
    <w:basedOn w:val="1"/>
    <w:next w:val="1"/>
    <w:link w:val="41"/>
    <w:qFormat/>
    <w:uiPriority w:val="0"/>
    <w:pPr>
      <w:keepNext/>
      <w:keepLines/>
      <w:spacing w:before="100" w:after="200" w:line="360" w:lineRule="auto"/>
      <w:jc w:val="center"/>
      <w:outlineLvl w:val="0"/>
    </w:pPr>
    <w:rPr>
      <w:rFonts w:ascii="宋体" w:hAnsi="宋体" w:eastAsia="宋体"/>
      <w:b/>
      <w:bCs/>
      <w:kern w:val="44"/>
      <w:sz w:val="32"/>
      <w:szCs w:val="44"/>
    </w:rPr>
  </w:style>
  <w:style w:type="paragraph" w:styleId="4">
    <w:name w:val="heading 2"/>
    <w:basedOn w:val="1"/>
    <w:next w:val="1"/>
    <w:link w:val="38"/>
    <w:unhideWhenUsed/>
    <w:qFormat/>
    <w:uiPriority w:val="0"/>
    <w:pPr>
      <w:keepNext/>
      <w:keepLines/>
      <w:spacing w:after="60" w:line="360" w:lineRule="auto"/>
      <w:jc w:val="left"/>
      <w:outlineLvl w:val="1"/>
    </w:pPr>
    <w:rPr>
      <w:rFonts w:ascii="宋体" w:hAnsi="宋体" w:eastAsia="宋体"/>
      <w:b/>
      <w:bCs/>
      <w:sz w:val="24"/>
      <w:szCs w:val="32"/>
    </w:rPr>
  </w:style>
  <w:style w:type="paragraph" w:styleId="5">
    <w:name w:val="heading 3"/>
    <w:basedOn w:val="1"/>
    <w:next w:val="1"/>
    <w:link w:val="42"/>
    <w:unhideWhenUsed/>
    <w:qFormat/>
    <w:uiPriority w:val="0"/>
    <w:pPr>
      <w:keepNext/>
      <w:keepLines/>
      <w:spacing w:line="360" w:lineRule="auto"/>
      <w:ind w:firstLine="1044" w:firstLineChars="200"/>
      <w:outlineLvl w:val="2"/>
    </w:pPr>
    <w:rPr>
      <w:rFonts w:ascii="宋体" w:hAnsi="宋体" w:eastAsia="宋体"/>
      <w:b/>
      <w:bCs/>
      <w:szCs w:val="32"/>
    </w:rPr>
  </w:style>
  <w:style w:type="paragraph" w:styleId="6">
    <w:name w:val="heading 4"/>
    <w:basedOn w:val="1"/>
    <w:next w:val="1"/>
    <w:qFormat/>
    <w:uiPriority w:val="0"/>
    <w:pPr>
      <w:keepNext/>
      <w:keepLines/>
      <w:spacing w:before="280" w:after="290" w:line="372" w:lineRule="auto"/>
      <w:outlineLvl w:val="3"/>
    </w:pPr>
    <w:rPr>
      <w:rFonts w:ascii="Cambria" w:hAnsi="Cambria"/>
      <w:b/>
      <w:bCs/>
      <w:sz w:val="28"/>
      <w:szCs w:val="28"/>
    </w:rPr>
  </w:style>
  <w:style w:type="character" w:default="1" w:styleId="19">
    <w:name w:val="Default Paragraph Font"/>
    <w:semiHidden/>
    <w:unhideWhenUsed/>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rPr>
      <w:rFonts w:cs="Times New Roman"/>
    </w:rPr>
  </w:style>
  <w:style w:type="paragraph" w:styleId="7">
    <w:name w:val="annotation text"/>
    <w:basedOn w:val="1"/>
    <w:qFormat/>
    <w:uiPriority w:val="0"/>
    <w:pPr>
      <w:jc w:val="left"/>
    </w:pPr>
  </w:style>
  <w:style w:type="paragraph" w:styleId="8">
    <w:name w:val="Body Text Indent"/>
    <w:basedOn w:val="1"/>
    <w:qFormat/>
    <w:uiPriority w:val="0"/>
    <w:pPr>
      <w:spacing w:line="360" w:lineRule="auto"/>
      <w:ind w:firstLine="490"/>
      <w:jc w:val="left"/>
    </w:pPr>
    <w:rPr>
      <w:rFonts w:ascii="Century Gothic" w:hAnsi="Century Gothic"/>
      <w:sz w:val="24"/>
      <w:szCs w:val="20"/>
    </w:rPr>
  </w:style>
  <w:style w:type="paragraph" w:styleId="9">
    <w:name w:val="Block Text"/>
    <w:basedOn w:val="1"/>
    <w:qFormat/>
    <w:uiPriority w:val="0"/>
    <w:pPr>
      <w:spacing w:line="300" w:lineRule="auto"/>
      <w:ind w:left="958" w:right="-120" w:rightChars="-120"/>
      <w:jc w:val="left"/>
    </w:pPr>
    <w:rPr>
      <w:rFonts w:hint="eastAsia" w:ascii="Century Gothic" w:hAnsi="Century Gothic"/>
      <w:sz w:val="28"/>
      <w:szCs w:val="20"/>
    </w:rPr>
  </w:style>
  <w:style w:type="paragraph" w:styleId="10">
    <w:name w:val="Plain Text"/>
    <w:basedOn w:val="1"/>
    <w:qFormat/>
    <w:uiPriority w:val="0"/>
    <w:rPr>
      <w:rFonts w:ascii="Century Gothic" w:hAnsi="楷体_GB2312" w:cs="楷体_GB2312"/>
      <w:szCs w:val="21"/>
    </w:rPr>
  </w:style>
  <w:style w:type="paragraph" w:styleId="11">
    <w:name w:val="Balloon Text"/>
    <w:basedOn w:val="1"/>
    <w:link w:val="35"/>
    <w:qFormat/>
    <w:uiPriority w:val="0"/>
    <w:rPr>
      <w:sz w:val="18"/>
      <w:szCs w:val="18"/>
    </w:rPr>
  </w:style>
  <w:style w:type="paragraph" w:styleId="12">
    <w:name w:val="footer"/>
    <w:basedOn w:val="1"/>
    <w:qFormat/>
    <w:uiPriority w:val="0"/>
    <w:pPr>
      <w:tabs>
        <w:tab w:val="center" w:pos="4153"/>
        <w:tab w:val="right" w:pos="8306"/>
      </w:tabs>
      <w:jc w:val="left"/>
    </w:pPr>
    <w:rPr>
      <w:sz w:val="18"/>
      <w:szCs w:val="20"/>
    </w:rPr>
  </w:style>
  <w:style w:type="paragraph" w:styleId="13">
    <w:name w:val="header"/>
    <w:basedOn w:val="1"/>
    <w:qFormat/>
    <w:uiPriority w:val="0"/>
    <w:pPr>
      <w:pBdr>
        <w:bottom w:val="single" w:color="auto" w:sz="6" w:space="1"/>
      </w:pBdr>
      <w:tabs>
        <w:tab w:val="center" w:pos="4153"/>
        <w:tab w:val="right" w:pos="8306"/>
      </w:tabs>
      <w:jc w:val="center"/>
    </w:pPr>
    <w:rPr>
      <w:rFonts w:cs="Times New Roman"/>
      <w:sz w:val="18"/>
      <w:szCs w:val="20"/>
    </w:rPr>
  </w:style>
  <w:style w:type="paragraph" w:styleId="14">
    <w:name w:val="toc 1"/>
    <w:basedOn w:val="1"/>
    <w:next w:val="1"/>
    <w:qFormat/>
    <w:uiPriority w:val="0"/>
    <w:pPr>
      <w:tabs>
        <w:tab w:val="right" w:leader="dot" w:pos="8720"/>
      </w:tabs>
      <w:spacing w:before="120" w:after="120"/>
      <w:jc w:val="left"/>
    </w:pPr>
    <w:rPr>
      <w:rFonts w:ascii="Century Gothic" w:hAnsi="Century Gothic"/>
      <w:bCs/>
      <w:caps/>
      <w:sz w:val="20"/>
      <w:szCs w:val="20"/>
    </w:rPr>
  </w:style>
  <w:style w:type="paragraph" w:styleId="15">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kern w:val="0"/>
      <w:sz w:val="20"/>
      <w:szCs w:val="20"/>
    </w:rPr>
  </w:style>
  <w:style w:type="paragraph" w:styleId="16">
    <w:name w:val="Normal (Web)"/>
    <w:basedOn w:val="1"/>
    <w:qFormat/>
    <w:uiPriority w:val="0"/>
    <w:pPr>
      <w:widowControl/>
      <w:shd w:val="clear" w:color="auto" w:fill="FFFFFF"/>
      <w:spacing w:before="100" w:beforeAutospacing="1" w:after="100" w:afterAutospacing="1"/>
      <w:jc w:val="left"/>
    </w:pPr>
    <w:rPr>
      <w:rFonts w:ascii="Century Gothic" w:hAnsi="Century Gothic" w:cs="Times New Roman"/>
      <w:kern w:val="0"/>
      <w:sz w:val="18"/>
      <w:szCs w:val="18"/>
    </w:rPr>
  </w:style>
  <w:style w:type="paragraph" w:styleId="17">
    <w:name w:val="Body Text First Indent 2"/>
    <w:basedOn w:val="8"/>
    <w:qFormat/>
    <w:uiPriority w:val="0"/>
    <w:pPr>
      <w:ind w:firstLine="420" w:firstLineChars="200"/>
    </w:pPr>
  </w:style>
  <w:style w:type="character" w:styleId="20">
    <w:name w:val="Strong"/>
    <w:qFormat/>
    <w:uiPriority w:val="0"/>
    <w:rPr>
      <w:b/>
    </w:rPr>
  </w:style>
  <w:style w:type="character" w:styleId="21">
    <w:name w:val="page number"/>
    <w:basedOn w:val="19"/>
    <w:qFormat/>
    <w:uiPriority w:val="0"/>
  </w:style>
  <w:style w:type="character" w:styleId="22">
    <w:name w:val="Emphasis"/>
    <w:basedOn w:val="19"/>
    <w:qFormat/>
    <w:uiPriority w:val="0"/>
    <w:rPr>
      <w:i/>
    </w:rPr>
  </w:style>
  <w:style w:type="character" w:styleId="23">
    <w:name w:val="Hyperlink"/>
    <w:basedOn w:val="19"/>
    <w:qFormat/>
    <w:uiPriority w:val="0"/>
    <w:rPr>
      <w:color w:val="0563C1" w:themeColor="hyperlink"/>
      <w:u w:val="single"/>
    </w:rPr>
  </w:style>
  <w:style w:type="character" w:styleId="24">
    <w:name w:val="annotation reference"/>
    <w:basedOn w:val="19"/>
    <w:qFormat/>
    <w:uiPriority w:val="0"/>
    <w:rPr>
      <w:sz w:val="21"/>
      <w:szCs w:val="21"/>
    </w:rPr>
  </w:style>
  <w:style w:type="paragraph" w:customStyle="1" w:styleId="25">
    <w:name w:val="Default"/>
    <w:next w:val="26"/>
    <w:qFormat/>
    <w:uiPriority w:val="0"/>
    <w:pPr>
      <w:widowControl w:val="0"/>
      <w:autoSpaceDE w:val="0"/>
      <w:autoSpaceDN w:val="0"/>
      <w:adjustRightInd w:val="0"/>
    </w:pPr>
    <w:rPr>
      <w:rFonts w:ascii="楷体" w:hAnsi="Arial" w:eastAsia="楷体" w:cs="Arial"/>
      <w:color w:val="000000"/>
      <w:sz w:val="24"/>
      <w:szCs w:val="24"/>
      <w:lang w:val="en-US" w:eastAsia="zh-CN" w:bidi="ar-SA"/>
    </w:rPr>
  </w:style>
  <w:style w:type="paragraph" w:customStyle="1" w:styleId="26">
    <w:name w:val="目录 71"/>
    <w:next w:val="1"/>
    <w:qFormat/>
    <w:uiPriority w:val="0"/>
    <w:pPr>
      <w:wordWrap w:val="0"/>
      <w:ind w:left="2550"/>
      <w:jc w:val="both"/>
    </w:pPr>
    <w:rPr>
      <w:rFonts w:asciiTheme="minorHAnsi" w:hAnsiTheme="minorHAnsi" w:eastAsiaTheme="minorEastAsia" w:cstheme="minorBidi"/>
      <w:sz w:val="21"/>
      <w:szCs w:val="22"/>
      <w:lang w:val="en-US" w:eastAsia="zh-CN" w:bidi="ar-SA"/>
    </w:rPr>
  </w:style>
  <w:style w:type="paragraph" w:customStyle="1" w:styleId="27">
    <w:name w:val="TOC 71"/>
    <w:next w:val="1"/>
    <w:qFormat/>
    <w:uiPriority w:val="0"/>
    <w:pPr>
      <w:wordWrap w:val="0"/>
      <w:ind w:left="2550"/>
      <w:jc w:val="both"/>
    </w:pPr>
    <w:rPr>
      <w:rFonts w:asciiTheme="minorHAnsi" w:hAnsiTheme="minorHAnsi" w:eastAsiaTheme="minorEastAsia" w:cstheme="minorBidi"/>
      <w:sz w:val="21"/>
      <w:szCs w:val="22"/>
      <w:lang w:val="en-US" w:eastAsia="zh-CN" w:bidi="ar-SA"/>
    </w:rPr>
  </w:style>
  <w:style w:type="paragraph" w:customStyle="1" w:styleId="28">
    <w:name w:val="样式1"/>
    <w:basedOn w:val="1"/>
    <w:qFormat/>
    <w:uiPriority w:val="0"/>
    <w:pPr>
      <w:spacing w:line="360" w:lineRule="exact"/>
      <w:ind w:firstLine="200" w:firstLineChars="200"/>
    </w:pPr>
    <w:rPr>
      <w:rFonts w:cs="Times New Roman"/>
      <w:kern w:val="0"/>
      <w:sz w:val="20"/>
    </w:rPr>
  </w:style>
  <w:style w:type="paragraph" w:customStyle="1" w:styleId="29">
    <w:name w:val="正文2"/>
    <w:basedOn w:val="1"/>
    <w:qFormat/>
    <w:uiPriority w:val="0"/>
    <w:pPr>
      <w:spacing w:before="156" w:line="360" w:lineRule="auto"/>
      <w:ind w:firstLine="510" w:firstLineChars="200"/>
    </w:pPr>
    <w:rPr>
      <w:rFonts w:ascii="Times New Roman" w:hAnsi="Times New Roman" w:cs="Times New Roman"/>
      <w:sz w:val="24"/>
      <w:szCs w:val="20"/>
    </w:rPr>
  </w:style>
  <w:style w:type="paragraph" w:customStyle="1" w:styleId="30">
    <w:name w:val="_Style 5"/>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3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rPr>
  </w:style>
  <w:style w:type="paragraph" w:customStyle="1" w:styleId="32">
    <w:name w:val="默认段落字体 Para Char Char Char Char Char Char Char Char Char1 Char Char Char Char"/>
    <w:basedOn w:val="1"/>
    <w:qFormat/>
    <w:uiPriority w:val="0"/>
    <w:rPr>
      <w:rFonts w:ascii="Tahoma" w:hAnsi="Tahoma" w:cs="Times New Roman"/>
      <w:sz w:val="24"/>
      <w:szCs w:val="20"/>
    </w:rPr>
  </w:style>
  <w:style w:type="paragraph" w:customStyle="1" w:styleId="33">
    <w:name w:val="WPSOffice手动目录 1"/>
    <w:qFormat/>
    <w:uiPriority w:val="0"/>
    <w:rPr>
      <w:rFonts w:ascii="Times New Roman" w:hAnsi="Times New Roman" w:eastAsia="宋体" w:cs="Times New Roman"/>
      <w:lang w:val="en-US" w:eastAsia="zh-CN" w:bidi="ar-SA"/>
    </w:rPr>
  </w:style>
  <w:style w:type="paragraph" w:customStyle="1" w:styleId="34">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5">
    <w:name w:val="批注框文本 Char"/>
    <w:basedOn w:val="19"/>
    <w:link w:val="11"/>
    <w:qFormat/>
    <w:uiPriority w:val="0"/>
    <w:rPr>
      <w:rFonts w:ascii="Arial" w:hAnsi="Arial" w:cs="Arial" w:eastAsiaTheme="minorEastAsia"/>
      <w:kern w:val="2"/>
      <w:sz w:val="18"/>
      <w:szCs w:val="18"/>
    </w:rPr>
  </w:style>
  <w:style w:type="paragraph" w:styleId="36">
    <w:name w:val="List Paragraph"/>
    <w:basedOn w:val="1"/>
    <w:qFormat/>
    <w:uiPriority w:val="34"/>
    <w:pPr>
      <w:ind w:firstLine="420" w:firstLineChars="200"/>
    </w:pPr>
    <w:rPr>
      <w:rFonts w:asciiTheme="minorHAnsi" w:hAnsiTheme="minorHAnsi" w:cstheme="minorBidi"/>
      <w:szCs w:val="22"/>
    </w:rPr>
  </w:style>
  <w:style w:type="paragraph" w:customStyle="1" w:styleId="37">
    <w:name w:val="样式 标题 2 + 小四"/>
    <w:basedOn w:val="4"/>
    <w:qFormat/>
    <w:uiPriority w:val="0"/>
    <w:pPr>
      <w:numPr>
        <w:ilvl w:val="0"/>
        <w:numId w:val="1"/>
      </w:numPr>
      <w:jc w:val="center"/>
    </w:pPr>
    <w:rPr>
      <w:sz w:val="36"/>
    </w:rPr>
  </w:style>
  <w:style w:type="character" w:customStyle="1" w:styleId="38">
    <w:name w:val="标题 2 Char"/>
    <w:link w:val="4"/>
    <w:qFormat/>
    <w:uiPriority w:val="0"/>
    <w:rPr>
      <w:rFonts w:ascii="宋体" w:hAnsi="宋体" w:eastAsia="宋体"/>
      <w:b/>
      <w:bCs/>
      <w:sz w:val="24"/>
      <w:szCs w:val="32"/>
    </w:rPr>
  </w:style>
  <w:style w:type="paragraph" w:customStyle="1" w:styleId="39">
    <w:name w:val="_Style 4"/>
    <w:basedOn w:val="3"/>
    <w:next w:val="1"/>
    <w:qFormat/>
    <w:uiPriority w:val="0"/>
    <w:pPr>
      <w:outlineLvl w:val="9"/>
    </w:pPr>
  </w:style>
  <w:style w:type="paragraph" w:customStyle="1" w:styleId="4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1">
    <w:name w:val="标题 1 Char"/>
    <w:link w:val="3"/>
    <w:qFormat/>
    <w:uiPriority w:val="0"/>
    <w:rPr>
      <w:rFonts w:ascii="宋体" w:hAnsi="宋体" w:eastAsia="宋体"/>
      <w:b/>
      <w:bCs/>
      <w:kern w:val="44"/>
      <w:sz w:val="32"/>
      <w:szCs w:val="44"/>
    </w:rPr>
  </w:style>
  <w:style w:type="character" w:customStyle="1" w:styleId="42">
    <w:name w:val="标题 3 Char"/>
    <w:link w:val="5"/>
    <w:qFormat/>
    <w:uiPriority w:val="0"/>
    <w:rPr>
      <w:rFonts w:ascii="宋体" w:hAnsi="宋体" w:eastAsia="宋体"/>
      <w:b/>
      <w:bCs/>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浙江省教育厅</Company>
  <Pages>120</Pages>
  <Words>12572</Words>
  <Characters>71666</Characters>
  <Lines>597</Lines>
  <Paragraphs>168</Paragraphs>
  <TotalTime>2</TotalTime>
  <ScaleCrop>false</ScaleCrop>
  <LinksUpToDate>false</LinksUpToDate>
  <CharactersWithSpaces>84070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2020-09-13T09:04:00Z</dcterms:created>
  <dc:creator>lenovo</dc:creator>
  <cp:lastModifiedBy>梁</cp:lastModifiedBy>
  <dcterms:modified xsi:type="dcterms:W3CDTF">2020-10-10T03:28:01Z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