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jc w:val="center"/>
        <w:rPr>
          <w:rFonts w:cs="Times New Roman" w:asciiTheme="minorEastAsia" w:hAnsiTheme="minorEastAsia"/>
          <w:b/>
          <w:sz w:val="32"/>
          <w:szCs w:val="32"/>
        </w:rPr>
      </w:pPr>
      <w:r>
        <w:rPr>
          <w:rFonts w:hint="eastAsia" w:cs="Times New Roman" w:asciiTheme="minorEastAsia" w:hAnsiTheme="minorEastAsia"/>
          <w:b/>
          <w:sz w:val="32"/>
          <w:szCs w:val="32"/>
        </w:rPr>
        <w:t>集美大学-海洋信息工程学院虚拟仿真项目技术规格及要求</w:t>
      </w:r>
    </w:p>
    <w:p>
      <w:pPr>
        <w:pStyle w:val="2"/>
        <w:rPr>
          <w:rFonts w:asciiTheme="minorEastAsia" w:hAnsiTheme="minorEastAsia" w:eastAsiaTheme="minorEastAsia"/>
          <w:color w:val="auto"/>
          <w:sz w:val="21"/>
          <w:szCs w:val="21"/>
        </w:rPr>
      </w:pPr>
    </w:p>
    <w:p>
      <w:pPr>
        <w:numPr>
          <w:ilvl w:val="0"/>
          <w:numId w:val="1"/>
        </w:numPr>
        <w:tabs>
          <w:tab w:val="left" w:pos="720"/>
        </w:tabs>
        <w:spacing w:line="276" w:lineRule="auto"/>
        <w:ind w:left="720" w:hanging="720"/>
        <w:outlineLvl w:val="0"/>
        <w:rPr>
          <w:rFonts w:cs="Arial" w:asciiTheme="minorEastAsia" w:hAnsiTheme="minorEastAsia"/>
          <w:b/>
          <w:sz w:val="28"/>
          <w:szCs w:val="28"/>
        </w:rPr>
      </w:pPr>
      <w:r>
        <w:rPr>
          <w:rFonts w:hint="eastAsia" w:cs="Arial" w:asciiTheme="minorEastAsia" w:hAnsiTheme="minorEastAsia"/>
          <w:b/>
          <w:sz w:val="28"/>
          <w:szCs w:val="28"/>
        </w:rPr>
        <w:t>货物内容和数量</w:t>
      </w:r>
    </w:p>
    <w:p>
      <w:pPr>
        <w:pStyle w:val="2"/>
        <w:rPr>
          <w:rFonts w:hint="default" w:eastAsia="宋体"/>
          <w:lang w:val="en-US" w:eastAsia="zh-CN"/>
        </w:rPr>
      </w:pPr>
      <w:r>
        <w:rPr>
          <w:rFonts w:hint="eastAsia" w:cs="Arial" w:asciiTheme="minorEastAsia" w:hAnsiTheme="minorEastAsia"/>
          <w:b/>
          <w:sz w:val="28"/>
          <w:szCs w:val="28"/>
          <w:lang w:val="en-US" w:eastAsia="zh-CN"/>
        </w:rPr>
        <w:t>联系方式 黄老师 6183297</w:t>
      </w:r>
      <w:bookmarkStart w:id="0" w:name="_GoBack"/>
      <w:bookmarkEnd w:id="0"/>
    </w:p>
    <w:tbl>
      <w:tblPr>
        <w:tblStyle w:val="9"/>
        <w:tblW w:w="954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55"/>
        <w:gridCol w:w="6327"/>
        <w:gridCol w:w="14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78" w:hRule="atLeast"/>
          <w:jc w:val="center"/>
        </w:trPr>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cs="Arial" w:asciiTheme="minorEastAsia" w:hAnsiTheme="minorEastAsia"/>
                <w:b/>
                <w:bCs/>
                <w:sz w:val="24"/>
                <w:szCs w:val="24"/>
              </w:rPr>
            </w:pPr>
            <w:r>
              <w:rPr>
                <w:rFonts w:cs="Arial" w:asciiTheme="minorEastAsia" w:hAnsiTheme="minorEastAsia"/>
                <w:b/>
                <w:bCs/>
                <w:sz w:val="24"/>
                <w:szCs w:val="24"/>
              </w:rPr>
              <w:t>序号</w:t>
            </w:r>
          </w:p>
        </w:tc>
        <w:tc>
          <w:tcPr>
            <w:tcW w:w="6327"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cs="Arial" w:asciiTheme="minorEastAsia" w:hAnsiTheme="minorEastAsia"/>
                <w:b/>
                <w:bCs/>
                <w:sz w:val="24"/>
                <w:szCs w:val="24"/>
              </w:rPr>
            </w:pPr>
            <w:r>
              <w:rPr>
                <w:rFonts w:hint="eastAsia" w:cs="Arial" w:asciiTheme="minorEastAsia" w:hAnsiTheme="minorEastAsia"/>
                <w:b/>
                <w:bCs/>
                <w:sz w:val="24"/>
                <w:szCs w:val="24"/>
              </w:rPr>
              <w:t>货物</w:t>
            </w:r>
            <w:r>
              <w:rPr>
                <w:rFonts w:cs="Arial" w:asciiTheme="minorEastAsia" w:hAnsiTheme="minorEastAsia"/>
                <w:b/>
                <w:bCs/>
                <w:sz w:val="24"/>
                <w:szCs w:val="24"/>
              </w:rPr>
              <w:t>名称</w:t>
            </w:r>
          </w:p>
        </w:tc>
        <w:tc>
          <w:tcPr>
            <w:tcW w:w="146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cs="Arial" w:asciiTheme="minorEastAsia" w:hAnsiTheme="minorEastAsia"/>
                <w:b/>
                <w:bCs/>
                <w:sz w:val="24"/>
                <w:szCs w:val="24"/>
              </w:rPr>
            </w:pPr>
            <w:r>
              <w:rPr>
                <w:rFonts w:hint="eastAsia" w:cs="Arial" w:asciiTheme="minorEastAsia" w:hAnsiTheme="minorEastAsia"/>
                <w:b/>
                <w:bCs/>
                <w:sz w:val="24"/>
                <w:szCs w:val="24"/>
              </w:rPr>
              <w:t>数量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asciiTheme="minorEastAsia" w:hAnsiTheme="minorEastAsia"/>
                <w:b/>
                <w:sz w:val="24"/>
                <w:szCs w:val="24"/>
              </w:rPr>
            </w:pPr>
            <w:r>
              <w:rPr>
                <w:rFonts w:hint="eastAsia" w:asciiTheme="minorEastAsia" w:hAnsiTheme="minorEastAsia"/>
                <w:b/>
                <w:sz w:val="24"/>
                <w:szCs w:val="24"/>
              </w:rPr>
              <w:t>1</w:t>
            </w:r>
          </w:p>
        </w:tc>
        <w:tc>
          <w:tcPr>
            <w:tcW w:w="6327" w:type="dxa"/>
            <w:tcBorders>
              <w:top w:val="single" w:color="auto" w:sz="4" w:space="0"/>
              <w:left w:val="single" w:color="auto" w:sz="4" w:space="0"/>
              <w:bottom w:val="single" w:color="auto" w:sz="4" w:space="0"/>
              <w:right w:val="single" w:color="auto" w:sz="4" w:space="0"/>
            </w:tcBorders>
            <w:vAlign w:val="center"/>
          </w:tcPr>
          <w:p>
            <w:pPr>
              <w:snapToGrid w:val="0"/>
              <w:spacing w:line="440" w:lineRule="exact"/>
              <w:jc w:val="center"/>
              <w:rPr>
                <w:rFonts w:ascii="宋体" w:hAnsi="宋体" w:cs="Arial"/>
                <w:sz w:val="24"/>
                <w:szCs w:val="24"/>
              </w:rPr>
            </w:pPr>
            <w:r>
              <w:rPr>
                <w:rFonts w:hint="eastAsia" w:ascii="Arial" w:hAnsi="Arial" w:cs="Arial"/>
                <w:b/>
                <w:bCs/>
                <w:sz w:val="24"/>
                <w:szCs w:val="24"/>
                <w:shd w:val="clear" w:color="auto" w:fill="FFFFFF"/>
              </w:rPr>
              <w:t>天线辐射特性虚拟仿真实验项目建设</w:t>
            </w:r>
          </w:p>
        </w:tc>
        <w:tc>
          <w:tcPr>
            <w:tcW w:w="146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cs="宋体" w:asciiTheme="minorEastAsia" w:hAnsiTheme="minorEastAsia"/>
                <w:b/>
                <w:sz w:val="24"/>
                <w:szCs w:val="24"/>
              </w:rPr>
            </w:pPr>
            <w:r>
              <w:rPr>
                <w:rFonts w:hint="eastAsia" w:cs="宋体" w:asciiTheme="minorEastAsia" w:hAnsiTheme="minorEastAsia"/>
                <w:b/>
                <w:sz w:val="24"/>
                <w:szCs w:val="24"/>
              </w:rPr>
              <w:t>1套</w:t>
            </w:r>
          </w:p>
        </w:tc>
      </w:tr>
    </w:tbl>
    <w:p>
      <w:pPr>
        <w:tabs>
          <w:tab w:val="left" w:pos="720"/>
        </w:tabs>
        <w:spacing w:line="276" w:lineRule="auto"/>
        <w:ind w:left="720"/>
        <w:outlineLvl w:val="0"/>
        <w:rPr>
          <w:rFonts w:cs="Arial" w:asciiTheme="minorEastAsia" w:hAnsiTheme="minorEastAsia"/>
          <w:b/>
          <w:szCs w:val="21"/>
        </w:rPr>
      </w:pPr>
    </w:p>
    <w:p>
      <w:pPr>
        <w:numPr>
          <w:ilvl w:val="0"/>
          <w:numId w:val="1"/>
        </w:numPr>
        <w:tabs>
          <w:tab w:val="left" w:pos="720"/>
        </w:tabs>
        <w:spacing w:line="276" w:lineRule="auto"/>
        <w:ind w:left="720" w:hanging="720"/>
        <w:outlineLvl w:val="0"/>
        <w:rPr>
          <w:rFonts w:cs="Arial" w:asciiTheme="minorEastAsia" w:hAnsiTheme="minorEastAsia"/>
          <w:b/>
          <w:sz w:val="28"/>
          <w:szCs w:val="28"/>
        </w:rPr>
      </w:pPr>
      <w:r>
        <w:rPr>
          <w:rFonts w:hint="eastAsia" w:cs="Arial" w:asciiTheme="minorEastAsia" w:hAnsiTheme="minorEastAsia"/>
          <w:b/>
          <w:sz w:val="28"/>
          <w:szCs w:val="28"/>
        </w:rPr>
        <w:t>技术指标要求</w:t>
      </w:r>
    </w:p>
    <w:tbl>
      <w:tblPr>
        <w:tblStyle w:val="9"/>
        <w:tblW w:w="9578" w:type="dxa"/>
        <w:tblInd w:w="-511" w:type="dxa"/>
        <w:tblLayout w:type="fixed"/>
        <w:tblCellMar>
          <w:top w:w="0" w:type="dxa"/>
          <w:left w:w="108" w:type="dxa"/>
          <w:bottom w:w="0" w:type="dxa"/>
          <w:right w:w="108" w:type="dxa"/>
        </w:tblCellMar>
      </w:tblPr>
      <w:tblGrid>
        <w:gridCol w:w="734"/>
        <w:gridCol w:w="1413"/>
        <w:gridCol w:w="7431"/>
      </w:tblGrid>
      <w:tr>
        <w:trPr>
          <w:trHeight w:val="401" w:hRule="atLeast"/>
        </w:trPr>
        <w:tc>
          <w:tcPr>
            <w:tcW w:w="73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Lines="50" w:line="360" w:lineRule="auto"/>
              <w:jc w:val="center"/>
              <w:rPr>
                <w:rFonts w:cs="宋体" w:asciiTheme="minorEastAsia" w:hAnsiTheme="minorEastAsia"/>
                <w:b/>
                <w:bCs/>
                <w:sz w:val="24"/>
                <w:szCs w:val="24"/>
              </w:rPr>
            </w:pPr>
            <w:r>
              <w:rPr>
                <w:rFonts w:hint="eastAsia" w:cs="宋体" w:asciiTheme="minorEastAsia" w:hAnsiTheme="minorEastAsia"/>
                <w:b/>
                <w:bCs/>
                <w:sz w:val="24"/>
                <w:szCs w:val="24"/>
              </w:rPr>
              <w:t>序号</w:t>
            </w:r>
          </w:p>
        </w:tc>
        <w:tc>
          <w:tcPr>
            <w:tcW w:w="1413" w:type="dxa"/>
            <w:tcBorders>
              <w:top w:val="single" w:color="auto" w:sz="4" w:space="0"/>
              <w:left w:val="nil"/>
              <w:bottom w:val="single" w:color="auto" w:sz="4" w:space="0"/>
              <w:right w:val="single" w:color="auto" w:sz="4" w:space="0"/>
            </w:tcBorders>
            <w:vAlign w:val="center"/>
          </w:tcPr>
          <w:p>
            <w:pPr>
              <w:adjustRightInd w:val="0"/>
              <w:snapToGrid w:val="0"/>
              <w:spacing w:beforeLines="50" w:line="360" w:lineRule="auto"/>
              <w:jc w:val="center"/>
              <w:rPr>
                <w:rFonts w:cs="宋体" w:asciiTheme="minorEastAsia" w:hAnsiTheme="minorEastAsia"/>
                <w:b/>
                <w:bCs/>
                <w:sz w:val="24"/>
                <w:szCs w:val="24"/>
              </w:rPr>
            </w:pPr>
            <w:r>
              <w:rPr>
                <w:rFonts w:hint="eastAsia" w:cs="宋体" w:asciiTheme="minorEastAsia" w:hAnsiTheme="minorEastAsia"/>
                <w:b/>
                <w:bCs/>
                <w:sz w:val="24"/>
                <w:szCs w:val="24"/>
              </w:rPr>
              <w:t>设备名称</w:t>
            </w:r>
          </w:p>
        </w:tc>
        <w:tc>
          <w:tcPr>
            <w:tcW w:w="7431" w:type="dxa"/>
            <w:tcBorders>
              <w:top w:val="single" w:color="auto" w:sz="4" w:space="0"/>
              <w:left w:val="nil"/>
              <w:bottom w:val="single" w:color="auto" w:sz="4" w:space="0"/>
              <w:right w:val="single" w:color="auto" w:sz="4" w:space="0"/>
            </w:tcBorders>
            <w:vAlign w:val="center"/>
          </w:tcPr>
          <w:p>
            <w:pPr>
              <w:adjustRightInd w:val="0"/>
              <w:snapToGrid w:val="0"/>
              <w:spacing w:beforeLines="50" w:line="360" w:lineRule="auto"/>
              <w:jc w:val="center"/>
              <w:rPr>
                <w:rFonts w:cs="宋体" w:asciiTheme="minorEastAsia" w:hAnsiTheme="minorEastAsia"/>
                <w:b/>
                <w:bCs/>
                <w:sz w:val="24"/>
                <w:szCs w:val="24"/>
              </w:rPr>
            </w:pPr>
            <w:r>
              <w:rPr>
                <w:rFonts w:hint="eastAsia" w:cs="宋体" w:asciiTheme="minorEastAsia" w:hAnsiTheme="minorEastAsia"/>
                <w:b/>
                <w:bCs/>
                <w:sz w:val="24"/>
                <w:szCs w:val="24"/>
              </w:rPr>
              <w:t>技术性能指标参数</w:t>
            </w:r>
          </w:p>
        </w:tc>
      </w:tr>
      <w:tr>
        <w:tblPrEx>
          <w:tblCellMar>
            <w:top w:w="0" w:type="dxa"/>
            <w:left w:w="108" w:type="dxa"/>
            <w:bottom w:w="0" w:type="dxa"/>
            <w:right w:w="108" w:type="dxa"/>
          </w:tblCellMar>
        </w:tblPrEx>
        <w:trPr>
          <w:trHeight w:val="4505" w:hRule="atLeast"/>
        </w:trPr>
        <w:tc>
          <w:tcPr>
            <w:tcW w:w="73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cs="宋体" w:asciiTheme="minorEastAsia" w:hAnsiTheme="minorEastAsia"/>
                <w:b/>
                <w:bCs/>
                <w:sz w:val="24"/>
                <w:szCs w:val="24"/>
              </w:rPr>
            </w:pPr>
            <w:r>
              <w:rPr>
                <w:rFonts w:hint="eastAsia" w:cs="宋体" w:asciiTheme="minorEastAsia" w:hAnsiTheme="minorEastAsia"/>
                <w:b/>
                <w:bCs/>
                <w:sz w:val="24"/>
                <w:szCs w:val="24"/>
              </w:rPr>
              <w:t>1</w:t>
            </w:r>
          </w:p>
        </w:tc>
        <w:tc>
          <w:tcPr>
            <w:tcW w:w="1413" w:type="dxa"/>
            <w:tcBorders>
              <w:top w:val="single" w:color="auto" w:sz="4" w:space="0"/>
              <w:left w:val="nil"/>
              <w:bottom w:val="single" w:color="auto" w:sz="4" w:space="0"/>
              <w:right w:val="single" w:color="auto" w:sz="4" w:space="0"/>
            </w:tcBorders>
            <w:vAlign w:val="center"/>
          </w:tcPr>
          <w:p>
            <w:pPr>
              <w:adjustRightInd w:val="0"/>
              <w:snapToGrid w:val="0"/>
              <w:spacing w:line="360" w:lineRule="auto"/>
              <w:jc w:val="center"/>
              <w:rPr>
                <w:rFonts w:cs="宋体" w:asciiTheme="minorEastAsia" w:hAnsiTheme="minorEastAsia"/>
                <w:b/>
                <w:bCs/>
                <w:sz w:val="24"/>
                <w:szCs w:val="24"/>
              </w:rPr>
            </w:pPr>
            <w:r>
              <w:rPr>
                <w:rFonts w:hint="eastAsia" w:ascii="Arial" w:hAnsi="Arial" w:cs="Arial"/>
                <w:b/>
                <w:bCs/>
                <w:sz w:val="24"/>
                <w:szCs w:val="24"/>
                <w:shd w:val="clear" w:color="auto" w:fill="FFFFFF"/>
              </w:rPr>
              <w:t>天线辐射特性虚拟仿真实验项目建设</w:t>
            </w:r>
          </w:p>
        </w:tc>
        <w:tc>
          <w:tcPr>
            <w:tcW w:w="7431" w:type="dxa"/>
            <w:tcBorders>
              <w:top w:val="single" w:color="auto" w:sz="4" w:space="0"/>
              <w:left w:val="nil"/>
              <w:bottom w:val="single" w:color="auto" w:sz="4" w:space="0"/>
              <w:right w:val="single" w:color="auto" w:sz="4" w:space="0"/>
            </w:tcBorders>
            <w:vAlign w:val="center"/>
          </w:tcPr>
          <w:p>
            <w:pPr>
              <w:numPr>
                <w:ilvl w:val="0"/>
                <w:numId w:val="2"/>
              </w:numPr>
              <w:adjustRightInd w:val="0"/>
              <w:snapToGrid w:val="0"/>
              <w:spacing w:beforeLines="50" w:line="360" w:lineRule="auto"/>
              <w:ind w:left="420" w:hanging="420"/>
              <w:jc w:val="left"/>
              <w:rPr>
                <w:rFonts w:ascii="宋体" w:hAnsi="宋体" w:cs="宋体"/>
                <w:kern w:val="0"/>
                <w:sz w:val="24"/>
                <w:szCs w:val="24"/>
              </w:rPr>
            </w:pPr>
            <w:r>
              <w:rPr>
                <w:rFonts w:hint="eastAsia" w:ascii="宋体" w:hAnsi="宋体" w:cs="宋体"/>
                <w:kern w:val="0"/>
                <w:sz w:val="24"/>
                <w:szCs w:val="24"/>
              </w:rPr>
              <w:t>本产品是针对集美大学信息工程学院天线辐射特性相关课题教学内容开发的虚拟仿真实验项目，项目要支持与学校现有的虚拟仿真实验教学管理平台无缝集成，对接参数如下：</w:t>
            </w:r>
            <w:r>
              <w:rPr>
                <w:rFonts w:ascii="宋体" w:hAnsi="宋体" w:cs="宋体"/>
                <w:kern w:val="0"/>
                <w:sz w:val="24"/>
                <w:szCs w:val="24"/>
              </w:rPr>
              <w:t>1</w:t>
            </w:r>
            <w:r>
              <w:rPr>
                <w:rFonts w:hint="eastAsia" w:ascii="宋体" w:hAnsi="宋体" w:cs="宋体"/>
                <w:kern w:val="0"/>
                <w:sz w:val="24"/>
                <w:szCs w:val="24"/>
              </w:rPr>
              <w:t>）</w:t>
            </w:r>
            <w:r>
              <w:rPr>
                <w:rFonts w:ascii="宋体" w:hAnsi="宋体" w:cs="宋体"/>
                <w:kern w:val="0"/>
                <w:sz w:val="24"/>
                <w:szCs w:val="24"/>
              </w:rPr>
              <w:t>.资源需要集成到平台中，统一管理统一维护</w:t>
            </w:r>
            <w:r>
              <w:rPr>
                <w:rFonts w:hint="eastAsia" w:ascii="宋体" w:hAnsi="宋体" w:cs="宋体"/>
                <w:kern w:val="0"/>
                <w:sz w:val="24"/>
                <w:szCs w:val="24"/>
              </w:rPr>
              <w:t>；</w:t>
            </w:r>
            <w:r>
              <w:rPr>
                <w:rFonts w:ascii="宋体" w:hAnsi="宋体" w:cs="宋体"/>
                <w:kern w:val="0"/>
                <w:sz w:val="24"/>
                <w:szCs w:val="24"/>
              </w:rPr>
              <w:t>2</w:t>
            </w:r>
            <w:r>
              <w:rPr>
                <w:rFonts w:hint="eastAsia" w:ascii="宋体" w:hAnsi="宋体" w:cs="宋体"/>
                <w:kern w:val="0"/>
                <w:sz w:val="24"/>
                <w:szCs w:val="24"/>
              </w:rPr>
              <w:t>）</w:t>
            </w:r>
            <w:r>
              <w:rPr>
                <w:rFonts w:ascii="宋体" w:hAnsi="宋体" w:cs="宋体"/>
                <w:kern w:val="0"/>
                <w:sz w:val="24"/>
                <w:szCs w:val="24"/>
              </w:rPr>
              <w:t>.资源需与平台完成身份认证对接，免登陆使用【资源根据平台提供的token信息，获取对接基础信息，完成用户的身份识别，实现统一认证】</w:t>
            </w: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w:t>
            </w:r>
            <w:r>
              <w:rPr>
                <w:rFonts w:ascii="宋体" w:hAnsi="宋体" w:cs="宋体"/>
                <w:kern w:val="0"/>
                <w:sz w:val="24"/>
                <w:szCs w:val="24"/>
              </w:rPr>
              <w:t>.资源需记录用户操作、得分细节或成绩等数据</w:t>
            </w:r>
            <w:r>
              <w:rPr>
                <w:rFonts w:hint="eastAsia" w:ascii="宋体" w:hAnsi="宋体" w:cs="宋体"/>
                <w:kern w:val="0"/>
                <w:sz w:val="24"/>
                <w:szCs w:val="24"/>
              </w:rPr>
              <w:t>；</w:t>
            </w:r>
            <w:r>
              <w:rPr>
                <w:rFonts w:ascii="宋体" w:hAnsi="宋体" w:cs="宋体"/>
                <w:kern w:val="0"/>
                <w:sz w:val="24"/>
                <w:szCs w:val="24"/>
              </w:rPr>
              <w:t>4</w:t>
            </w:r>
            <w:r>
              <w:rPr>
                <w:rFonts w:hint="eastAsia" w:ascii="宋体" w:hAnsi="宋体" w:cs="宋体"/>
                <w:kern w:val="0"/>
                <w:sz w:val="24"/>
                <w:szCs w:val="24"/>
              </w:rPr>
              <w:t>）</w:t>
            </w:r>
            <w:r>
              <w:rPr>
                <w:rFonts w:ascii="宋体" w:hAnsi="宋体" w:cs="宋体"/>
                <w:kern w:val="0"/>
                <w:sz w:val="24"/>
                <w:szCs w:val="24"/>
              </w:rPr>
              <w:t>.资源需将用户操作详细数据上传至平台【资源调用实验数据上传接口，并将用户的实验成绩、操作记录等数据发送，完成实验成绩上传到平台】</w:t>
            </w:r>
            <w:r>
              <w:rPr>
                <w:rFonts w:hint="eastAsia" w:ascii="宋体" w:hAnsi="宋体" w:cs="宋体"/>
                <w:kern w:val="0"/>
                <w:sz w:val="24"/>
                <w:szCs w:val="24"/>
              </w:rPr>
              <w:t>，通过虚拟仿真实验项目的开展使教学老师摆脱繁重的实验教学工作，大幅度提高教学效率和学生的学习积极性；</w:t>
            </w:r>
          </w:p>
          <w:p>
            <w:pPr>
              <w:numPr>
                <w:ilvl w:val="0"/>
                <w:numId w:val="2"/>
              </w:numPr>
              <w:adjustRightInd w:val="0"/>
              <w:snapToGrid w:val="0"/>
              <w:spacing w:line="360" w:lineRule="auto"/>
              <w:ind w:left="420" w:hanging="420"/>
              <w:jc w:val="left"/>
              <w:rPr>
                <w:rFonts w:ascii="宋体" w:hAnsi="宋体" w:cs="宋体"/>
                <w:kern w:val="0"/>
                <w:sz w:val="24"/>
                <w:szCs w:val="24"/>
              </w:rPr>
            </w:pPr>
            <w:r>
              <w:rPr>
                <w:rFonts w:hint="eastAsia" w:ascii="宋体" w:hAnsi="宋体" w:cs="宋体"/>
                <w:kern w:val="0"/>
                <w:sz w:val="24"/>
                <w:szCs w:val="24"/>
              </w:rPr>
              <w:t>为保证系统的交互性和扩展性，系统架构采用Visual Studio技术开发，场景仿真以Unity3D技术实现，用户可调整任意视角在场景内漫游观察实验现象；</w:t>
            </w:r>
          </w:p>
          <w:p>
            <w:pPr>
              <w:numPr>
                <w:ilvl w:val="0"/>
                <w:numId w:val="2"/>
              </w:numPr>
              <w:adjustRightInd w:val="0"/>
              <w:snapToGrid w:val="0"/>
              <w:spacing w:line="360" w:lineRule="auto"/>
              <w:ind w:left="420" w:hanging="420"/>
              <w:jc w:val="left"/>
              <w:rPr>
                <w:rFonts w:ascii="宋体" w:hAnsi="宋体" w:cs="宋体"/>
                <w:kern w:val="0"/>
                <w:sz w:val="24"/>
                <w:szCs w:val="24"/>
              </w:rPr>
            </w:pPr>
            <w:r>
              <w:rPr>
                <w:rFonts w:hint="eastAsia" w:ascii="宋体" w:hAnsi="宋体" w:cs="宋体"/>
                <w:kern w:val="0"/>
                <w:sz w:val="24"/>
                <w:szCs w:val="24"/>
              </w:rPr>
              <w:t>系统采用B/S架构设计，</w:t>
            </w:r>
            <w:r>
              <w:rPr>
                <w:rFonts w:hint="eastAsia"/>
                <w:sz w:val="24"/>
                <w:szCs w:val="24"/>
              </w:rPr>
              <w:t>支持网页界面操作方式，</w:t>
            </w:r>
            <w:r>
              <w:rPr>
                <w:rFonts w:hint="eastAsia" w:ascii="宋体" w:hAnsi="宋体" w:cs="宋体"/>
                <w:kern w:val="0"/>
                <w:sz w:val="24"/>
                <w:szCs w:val="24"/>
              </w:rPr>
              <w:t>无需安装客户端，要求系统支持全部内容线上开展，使学生能够不受时间和地点限制，完成专业的培训和锻炼，建成一套技术先进与实用相结合的实验教学系统；</w:t>
            </w:r>
          </w:p>
          <w:p>
            <w:pPr>
              <w:numPr>
                <w:ilvl w:val="0"/>
                <w:numId w:val="2"/>
              </w:numPr>
              <w:adjustRightInd w:val="0"/>
              <w:snapToGrid w:val="0"/>
              <w:spacing w:line="360" w:lineRule="auto"/>
              <w:ind w:left="420" w:hanging="420"/>
              <w:jc w:val="left"/>
              <w:rPr>
                <w:sz w:val="24"/>
                <w:szCs w:val="24"/>
              </w:rPr>
            </w:pPr>
            <w:r>
              <w:rPr>
                <w:rFonts w:hint="eastAsia" w:ascii="宋体" w:hAnsi="宋体" w:cs="宋体"/>
                <w:kern w:val="0"/>
                <w:sz w:val="24"/>
                <w:szCs w:val="24"/>
              </w:rPr>
              <w:t>系统主要通过三维仿真技术模拟教学实验室及OTA电波暗室，包含在电波暗室场景下天线增益测试、天线接口阻抗测试、天线驻波比/回波损耗测试、天线方向图测试等的完整过程，用户可在三维仿真模拟的实验场景中，通过鼠标点击实验设备进行操作，开展针对性的交互使用训练；</w:t>
            </w:r>
          </w:p>
          <w:p>
            <w:pPr>
              <w:numPr>
                <w:ilvl w:val="0"/>
                <w:numId w:val="2"/>
              </w:numPr>
              <w:adjustRightInd w:val="0"/>
              <w:snapToGrid w:val="0"/>
              <w:spacing w:line="360" w:lineRule="auto"/>
              <w:ind w:left="420" w:hanging="420"/>
              <w:jc w:val="left"/>
              <w:rPr>
                <w:sz w:val="24"/>
                <w:szCs w:val="24"/>
              </w:rPr>
            </w:pPr>
            <w:r>
              <w:rPr>
                <w:rFonts w:hint="eastAsia" w:ascii="宋体" w:hAnsi="宋体" w:cs="宋体"/>
                <w:kern w:val="0"/>
                <w:sz w:val="24"/>
                <w:szCs w:val="24"/>
              </w:rPr>
              <w:t>实验界面设计美观、合理，并搭配智能指导及言简意赅的文字说明，方便用户使用；</w:t>
            </w:r>
          </w:p>
          <w:p>
            <w:pPr>
              <w:numPr>
                <w:ilvl w:val="0"/>
                <w:numId w:val="2"/>
              </w:numPr>
              <w:adjustRightInd w:val="0"/>
              <w:snapToGrid w:val="0"/>
              <w:spacing w:line="360" w:lineRule="auto"/>
              <w:ind w:left="420" w:hanging="420"/>
              <w:jc w:val="left"/>
              <w:rPr>
                <w:rFonts w:ascii="宋体" w:hAnsi="宋体" w:cs="宋体"/>
                <w:kern w:val="0"/>
                <w:sz w:val="24"/>
                <w:szCs w:val="24"/>
              </w:rPr>
            </w:pPr>
            <w:r>
              <w:rPr>
                <w:rFonts w:hint="eastAsia" w:asciiTheme="minorEastAsia" w:hAnsiTheme="minorEastAsia" w:cstheme="minorEastAsia"/>
                <w:sz w:val="24"/>
                <w:szCs w:val="24"/>
              </w:rPr>
              <w:t>实验标题栏应包含首页、设置</w:t>
            </w:r>
            <w:r>
              <w:rPr>
                <w:rFonts w:hint="eastAsia" w:ascii="宋体" w:hAnsi="宋体" w:cs="宋体"/>
                <w:kern w:val="0"/>
                <w:sz w:val="24"/>
                <w:szCs w:val="24"/>
              </w:rPr>
              <w:t>、帮助及</w:t>
            </w:r>
            <w:r>
              <w:rPr>
                <w:rFonts w:hint="eastAsia" w:cs="宋体" w:asciiTheme="minorEastAsia" w:hAnsiTheme="minorEastAsia"/>
                <w:sz w:val="24"/>
                <w:szCs w:val="24"/>
              </w:rPr>
              <w:t>全屏/退出全屏</w:t>
            </w:r>
            <w:r>
              <w:rPr>
                <w:rFonts w:hint="eastAsia" w:ascii="宋体" w:hAnsi="宋体" w:cs="宋体"/>
                <w:kern w:val="0"/>
                <w:sz w:val="24"/>
                <w:szCs w:val="24"/>
              </w:rPr>
              <w:t>等常用按钮，以提高学生使用效率；</w:t>
            </w:r>
          </w:p>
          <w:p>
            <w:pPr>
              <w:numPr>
                <w:ilvl w:val="0"/>
                <w:numId w:val="2"/>
              </w:numPr>
              <w:adjustRightInd w:val="0"/>
              <w:snapToGrid w:val="0"/>
              <w:spacing w:line="360" w:lineRule="auto"/>
              <w:ind w:left="420" w:hanging="420"/>
              <w:jc w:val="left"/>
              <w:rPr>
                <w:rFonts w:ascii="宋体" w:hAnsi="宋体" w:cs="宋体"/>
                <w:kern w:val="0"/>
                <w:sz w:val="24"/>
                <w:szCs w:val="24"/>
              </w:rPr>
            </w:pPr>
            <w:r>
              <w:rPr>
                <w:rFonts w:hint="eastAsia" w:ascii="宋体" w:hAnsi="宋体" w:cs="宋体"/>
                <w:kern w:val="0"/>
                <w:sz w:val="24"/>
                <w:szCs w:val="24"/>
              </w:rPr>
              <w:t>系统提供三维建模实验场景，如教学实验室、OTA电波暗室，用户可在实验场景内自由漫游或操作相应设备模型，要求能够通过鼠标控制实验视角的转换；</w:t>
            </w:r>
            <w:r>
              <w:rPr>
                <w:rFonts w:hint="eastAsia" w:ascii="宋体" w:hAnsi="宋体" w:cs="宋体"/>
                <w:b/>
                <w:bCs/>
                <w:kern w:val="0"/>
                <w:sz w:val="24"/>
                <w:szCs w:val="24"/>
              </w:rPr>
              <w:t>（要求提供三维虚拟实验室及电波暗室场景截图，截图需包含室内常规设备，如桌椅、显示器、主机、测试测量仪器等三维模型）</w:t>
            </w:r>
          </w:p>
          <w:p>
            <w:pPr>
              <w:numPr>
                <w:ilvl w:val="0"/>
                <w:numId w:val="2"/>
              </w:numPr>
              <w:adjustRightInd w:val="0"/>
              <w:snapToGrid w:val="0"/>
              <w:spacing w:line="360" w:lineRule="auto"/>
              <w:ind w:left="420" w:hanging="420"/>
              <w:jc w:val="left"/>
              <w:rPr>
                <w:rFonts w:ascii="宋体" w:hAnsi="宋体" w:cs="宋体"/>
                <w:kern w:val="0"/>
                <w:sz w:val="24"/>
                <w:szCs w:val="24"/>
              </w:rPr>
            </w:pPr>
            <w:r>
              <w:rPr>
                <w:rFonts w:hint="eastAsia" w:ascii="宋体" w:hAnsi="宋体" w:cs="宋体"/>
                <w:kern w:val="0"/>
                <w:sz w:val="24"/>
                <w:szCs w:val="24"/>
              </w:rPr>
              <w:t>三维实验室场景包含实验桌椅、显示器、主机、机柜（含多种测试设备）、</w:t>
            </w:r>
            <w:r>
              <w:rPr>
                <w:rFonts w:hint="eastAsia" w:asciiTheme="minorEastAsia" w:hAnsiTheme="minorEastAsia" w:cstheme="minorEastAsia"/>
                <w:sz w:val="24"/>
                <w:szCs w:val="24"/>
              </w:rPr>
              <w:t>思仪3671D</w:t>
            </w:r>
            <w:r>
              <w:rPr>
                <w:rFonts w:hint="eastAsia" w:ascii="宋体" w:hAnsi="宋体" w:cs="宋体"/>
                <w:kern w:val="0"/>
                <w:sz w:val="24"/>
                <w:szCs w:val="24"/>
              </w:rPr>
              <w:t>矢量网络分析仪、多种校准件、测试天线和实验室常规设施等三维模型，室内支持通过鼠标控制实验设备的取放操作；</w:t>
            </w:r>
            <w:r>
              <w:rPr>
                <w:rFonts w:hint="eastAsia" w:ascii="宋体" w:hAnsi="宋体" w:cs="宋体"/>
                <w:b/>
                <w:bCs/>
                <w:kern w:val="0"/>
                <w:sz w:val="24"/>
                <w:szCs w:val="24"/>
              </w:rPr>
              <w:t>（要求提供中电科思仪3671D网络分析仪三维模型截图，截图中设备按钮、接口、线路要求清晰可见）</w:t>
            </w:r>
          </w:p>
          <w:p>
            <w:pPr>
              <w:numPr>
                <w:ilvl w:val="0"/>
                <w:numId w:val="2"/>
              </w:numPr>
              <w:adjustRightInd w:val="0"/>
              <w:snapToGrid w:val="0"/>
              <w:spacing w:line="360" w:lineRule="auto"/>
              <w:ind w:left="420" w:hanging="420"/>
              <w:jc w:val="left"/>
              <w:rPr>
                <w:rFonts w:asciiTheme="minorEastAsia" w:hAnsiTheme="minorEastAsia" w:cstheme="minorEastAsia"/>
                <w:sz w:val="24"/>
                <w:szCs w:val="24"/>
              </w:rPr>
            </w:pPr>
            <w:r>
              <w:rPr>
                <w:rFonts w:hint="eastAsia" w:asciiTheme="minorEastAsia" w:hAnsiTheme="minorEastAsia" w:cstheme="minorEastAsia"/>
                <w:sz w:val="24"/>
                <w:szCs w:val="24"/>
              </w:rPr>
              <w:t>实验包含三大主要环节：测量天线前的校准流程、测量天线S参数的流程以及测量天线方向图的流程，三个主要流程均需以实际教学流程为依托，结合实际实验数据及设备操作进行建设，同时虚拟实验各设备均能展示真实实验结果；</w:t>
            </w:r>
          </w:p>
          <w:p>
            <w:pPr>
              <w:numPr>
                <w:ilvl w:val="0"/>
                <w:numId w:val="2"/>
              </w:numPr>
              <w:adjustRightInd w:val="0"/>
              <w:snapToGrid w:val="0"/>
              <w:spacing w:line="360" w:lineRule="auto"/>
              <w:ind w:left="420" w:hanging="420"/>
              <w:jc w:val="left"/>
              <w:rPr>
                <w:rFonts w:asciiTheme="minorEastAsia" w:hAnsiTheme="minorEastAsia" w:cstheme="minorEastAsia"/>
                <w:sz w:val="24"/>
                <w:szCs w:val="24"/>
              </w:rPr>
            </w:pPr>
            <w:r>
              <w:rPr>
                <w:rFonts w:hint="eastAsia" w:asciiTheme="minorEastAsia" w:hAnsiTheme="minorEastAsia" w:cstheme="minorEastAsia"/>
                <w:sz w:val="24"/>
                <w:szCs w:val="24"/>
              </w:rPr>
              <w:t>实验包含校准流程，其中校准过程需要包含至少三种校准件的安装与校准，同时在虚拟设备上能够显示相应波形，实验流程需包含校准件的取放及校准过程；（</w:t>
            </w:r>
            <w:r>
              <w:rPr>
                <w:rFonts w:hint="eastAsia" w:ascii="宋体" w:hAnsi="宋体" w:cs="宋体"/>
                <w:b/>
                <w:bCs/>
                <w:kern w:val="0"/>
                <w:sz w:val="24"/>
                <w:szCs w:val="24"/>
              </w:rPr>
              <w:t>要求提供至少三种校准件（load、open、short）设备三维模型截图，设备结构样式、纹理材质均需与实际设备一致</w:t>
            </w:r>
            <w:r>
              <w:rPr>
                <w:rFonts w:hint="eastAsia" w:asciiTheme="minorEastAsia" w:hAnsiTheme="minorEastAsia" w:cstheme="minorEastAsia"/>
                <w:sz w:val="24"/>
                <w:szCs w:val="24"/>
              </w:rPr>
              <w:t>）</w:t>
            </w:r>
          </w:p>
          <w:p>
            <w:pPr>
              <w:numPr>
                <w:ilvl w:val="0"/>
                <w:numId w:val="2"/>
              </w:numPr>
              <w:adjustRightInd w:val="0"/>
              <w:snapToGrid w:val="0"/>
              <w:spacing w:line="360" w:lineRule="auto"/>
              <w:ind w:left="420" w:hanging="420"/>
              <w:jc w:val="left"/>
              <w:rPr>
                <w:rFonts w:asciiTheme="minorEastAsia" w:hAnsiTheme="minorEastAsia" w:cstheme="minorEastAsia"/>
                <w:sz w:val="24"/>
                <w:szCs w:val="24"/>
              </w:rPr>
            </w:pPr>
            <w:r>
              <w:rPr>
                <w:rFonts w:hint="eastAsia" w:asciiTheme="minorEastAsia" w:hAnsiTheme="minorEastAsia" w:cstheme="minorEastAsia"/>
                <w:sz w:val="24"/>
                <w:szCs w:val="24"/>
              </w:rPr>
              <w:t>实验包含软件操作流程，要求以行业软件（OTA GO）为基础进行参数的设置与按钮的点击操作，同时软件流程应与设备操作流程有较高关联度，软件的响应过程与真实软件一致；（</w:t>
            </w:r>
            <w:r>
              <w:rPr>
                <w:rFonts w:hint="eastAsia" w:ascii="宋体" w:hAnsi="宋体" w:cs="宋体"/>
                <w:b/>
                <w:bCs/>
                <w:kern w:val="0"/>
                <w:sz w:val="24"/>
                <w:szCs w:val="24"/>
              </w:rPr>
              <w:t>要求提供OTA GO天线测试软件截图，截图中按钮、参数、响应方式需要与生产厂商保持一致</w:t>
            </w:r>
            <w:r>
              <w:rPr>
                <w:rFonts w:hint="eastAsia" w:asciiTheme="minorEastAsia" w:hAnsiTheme="minorEastAsia" w:cstheme="minorEastAsia"/>
                <w:sz w:val="24"/>
                <w:szCs w:val="24"/>
              </w:rPr>
              <w:t>）</w:t>
            </w:r>
          </w:p>
          <w:p>
            <w:pPr>
              <w:numPr>
                <w:ilvl w:val="0"/>
                <w:numId w:val="2"/>
              </w:numPr>
              <w:adjustRightInd w:val="0"/>
              <w:snapToGrid w:val="0"/>
              <w:spacing w:line="360" w:lineRule="auto"/>
              <w:ind w:left="420" w:hanging="420"/>
              <w:jc w:val="left"/>
              <w:rPr>
                <w:rFonts w:asciiTheme="minorEastAsia" w:hAnsiTheme="minorEastAsia" w:cstheme="minorEastAsia"/>
                <w:sz w:val="24"/>
                <w:szCs w:val="24"/>
              </w:rPr>
            </w:pPr>
            <w:r>
              <w:rPr>
                <w:rFonts w:hint="eastAsia" w:asciiTheme="minorEastAsia" w:hAnsiTheme="minorEastAsia" w:cstheme="minorEastAsia"/>
                <w:sz w:val="24"/>
                <w:szCs w:val="24"/>
              </w:rPr>
              <w:t>实验系统包含中电科思仪3671D网络分析仪的校准、三种校准件的选择安装、设备的连接与操作、测试天线的安装与操作、天线辐射特性的测量、测试数据的记录与分析等完整操作过程。（</w:t>
            </w:r>
            <w:r>
              <w:rPr>
                <w:rFonts w:hint="eastAsia" w:ascii="宋体" w:hAnsi="宋体" w:cs="宋体"/>
                <w:b/>
                <w:bCs/>
                <w:kern w:val="0"/>
                <w:sz w:val="24"/>
                <w:szCs w:val="24"/>
              </w:rPr>
              <w:t>要求提供测试天线三维模型截图，天线接口与设备测量线路连接合理、正确</w:t>
            </w:r>
            <w:r>
              <w:rPr>
                <w:rFonts w:hint="eastAsia" w:asciiTheme="minorEastAsia" w:hAnsiTheme="minorEastAsia" w:cstheme="minorEastAsia"/>
                <w:sz w:val="24"/>
                <w:szCs w:val="24"/>
              </w:rPr>
              <w:t>）</w:t>
            </w:r>
          </w:p>
          <w:p>
            <w:pPr>
              <w:numPr>
                <w:ilvl w:val="0"/>
                <w:numId w:val="2"/>
              </w:numPr>
              <w:adjustRightInd w:val="0"/>
              <w:snapToGrid w:val="0"/>
              <w:spacing w:line="360" w:lineRule="auto"/>
              <w:ind w:left="420" w:hanging="420"/>
              <w:jc w:val="left"/>
              <w:rPr>
                <w:rFonts w:asciiTheme="minorEastAsia" w:hAnsiTheme="minorEastAsia" w:cstheme="minorEastAsia"/>
                <w:sz w:val="24"/>
                <w:szCs w:val="24"/>
              </w:rPr>
            </w:pPr>
            <w:r>
              <w:rPr>
                <w:rFonts w:hint="eastAsia" w:asciiTheme="minorEastAsia" w:hAnsiTheme="minorEastAsia" w:cstheme="minorEastAsia"/>
                <w:sz w:val="24"/>
                <w:szCs w:val="24"/>
              </w:rPr>
              <w:t>实验系统包含完整的在线学习流程，包括实验任务的获取和实验报告的填写，完成实验后用户可在线填写并提交实验报告，教师可在线获取学生的实验报告并用批改工具在报告上进行批注和批改，可增加/去除批改痕迹，打“√”打“×”撤回。（</w:t>
            </w:r>
            <w:r>
              <w:rPr>
                <w:rFonts w:hint="eastAsia" w:ascii="宋体" w:hAnsi="宋体" w:cs="宋体"/>
                <w:b/>
                <w:bCs/>
                <w:kern w:val="0"/>
                <w:sz w:val="24"/>
                <w:szCs w:val="24"/>
              </w:rPr>
              <w:t>要求提供实验报告编辑批改功能截图，能自主修改实验成绩并留下批改记录，打“√”打“×”</w:t>
            </w:r>
            <w:r>
              <w:rPr>
                <w:rFonts w:hint="eastAsia" w:asciiTheme="minorEastAsia" w:hAnsiTheme="minorEastAsia" w:cstheme="minorEastAsia"/>
                <w:sz w:val="24"/>
                <w:szCs w:val="24"/>
              </w:rPr>
              <w:t>）</w:t>
            </w:r>
          </w:p>
          <w:p>
            <w:pPr>
              <w:numPr>
                <w:ilvl w:val="0"/>
                <w:numId w:val="2"/>
              </w:numPr>
              <w:adjustRightInd w:val="0"/>
              <w:snapToGrid w:val="0"/>
              <w:spacing w:line="360" w:lineRule="auto"/>
              <w:ind w:left="420" w:hanging="420"/>
              <w:jc w:val="left"/>
              <w:rPr>
                <w:rFonts w:asciiTheme="minorEastAsia" w:hAnsiTheme="minorEastAsia" w:cstheme="minorEastAsia"/>
                <w:sz w:val="24"/>
                <w:szCs w:val="24"/>
              </w:rPr>
            </w:pPr>
            <w:r>
              <w:rPr>
                <w:rFonts w:hint="eastAsia" w:asciiTheme="minorEastAsia" w:hAnsiTheme="minorEastAsia" w:cstheme="minorEastAsia"/>
                <w:sz w:val="24"/>
                <w:szCs w:val="24"/>
              </w:rPr>
              <w:t>基于本系统教师可自主设置实验报告模板并进行维护，模板可分为：在线填写、本地word上传、在线编辑三种模式；实验报告模板可根据用户的需求参数化设置，用户做完实验后能将实验数据信息同实验报告一起提交给教师，包括但不限于文本、图片、音频、视频几种类型。（</w:t>
            </w:r>
            <w:r>
              <w:rPr>
                <w:rFonts w:hint="eastAsia" w:ascii="宋体" w:hAnsi="宋体" w:cs="宋体"/>
                <w:b/>
                <w:bCs/>
                <w:kern w:val="0"/>
                <w:sz w:val="24"/>
                <w:szCs w:val="24"/>
              </w:rPr>
              <w:t>要求提供在线编辑实验报告模板功能截图，展示用户能写入文本、图片、音频以及视频等数据类型</w:t>
            </w:r>
            <w:r>
              <w:rPr>
                <w:rFonts w:hint="eastAsia" w:asciiTheme="minorEastAsia" w:hAnsiTheme="minorEastAsia" w:cstheme="minorEastAsia"/>
                <w:sz w:val="24"/>
                <w:szCs w:val="24"/>
              </w:rPr>
              <w:t>）</w:t>
            </w:r>
          </w:p>
          <w:p>
            <w:pPr>
              <w:numPr>
                <w:ilvl w:val="0"/>
                <w:numId w:val="2"/>
              </w:numPr>
              <w:adjustRightInd w:val="0"/>
              <w:snapToGrid w:val="0"/>
              <w:spacing w:line="360" w:lineRule="auto"/>
              <w:ind w:left="420" w:hanging="420"/>
              <w:jc w:val="left"/>
              <w:rPr>
                <w:rFonts w:asciiTheme="minorEastAsia" w:hAnsiTheme="minorEastAsia" w:cstheme="minorEastAsia"/>
                <w:b/>
                <w:bCs/>
                <w:sz w:val="24"/>
                <w:szCs w:val="24"/>
              </w:rPr>
            </w:pPr>
            <w:r>
              <w:rPr>
                <w:rFonts w:hint="eastAsia" w:asciiTheme="minorEastAsia" w:hAnsiTheme="minorEastAsia" w:cstheme="minorEastAsia"/>
                <w:b/>
                <w:bCs/>
                <w:sz w:val="24"/>
                <w:szCs w:val="24"/>
              </w:rPr>
              <w:t>服务要求：</w:t>
            </w:r>
          </w:p>
          <w:p>
            <w:pPr>
              <w:numPr>
                <w:ilvl w:val="0"/>
                <w:numId w:val="3"/>
              </w:numPr>
              <w:adjustRightInd w:val="0"/>
              <w:snapToGrid w:val="0"/>
              <w:spacing w:line="360" w:lineRule="auto"/>
              <w:ind w:left="0" w:firstLine="420"/>
              <w:jc w:val="left"/>
              <w:rPr>
                <w:rFonts w:asciiTheme="minorEastAsia" w:hAnsiTheme="minorEastAsia" w:cstheme="minorEastAsia"/>
                <w:b/>
                <w:bCs/>
                <w:sz w:val="24"/>
                <w:szCs w:val="24"/>
              </w:rPr>
            </w:pPr>
            <w:r>
              <w:rPr>
                <w:rFonts w:hint="eastAsia" w:asciiTheme="minorEastAsia" w:hAnsiTheme="minorEastAsia" w:cstheme="minorEastAsia"/>
                <w:b/>
                <w:bCs/>
                <w:sz w:val="24"/>
                <w:szCs w:val="24"/>
              </w:rPr>
              <w:t>提供包括实验指导手册在内的教学资源；</w:t>
            </w:r>
          </w:p>
          <w:p>
            <w:pPr>
              <w:numPr>
                <w:ilvl w:val="0"/>
                <w:numId w:val="3"/>
              </w:numPr>
              <w:adjustRightInd w:val="0"/>
              <w:snapToGrid w:val="0"/>
              <w:spacing w:line="360" w:lineRule="auto"/>
              <w:ind w:left="0" w:firstLine="420"/>
              <w:jc w:val="left"/>
              <w:rPr>
                <w:rFonts w:asciiTheme="minorEastAsia" w:hAnsiTheme="minorEastAsia" w:cstheme="minorEastAsia"/>
                <w:b/>
                <w:bCs/>
                <w:sz w:val="24"/>
                <w:szCs w:val="24"/>
              </w:rPr>
            </w:pPr>
            <w:r>
              <w:rPr>
                <w:rFonts w:hint="eastAsia" w:asciiTheme="minorEastAsia" w:hAnsiTheme="minorEastAsia" w:cstheme="minorEastAsia"/>
                <w:b/>
                <w:bCs/>
                <w:sz w:val="24"/>
                <w:szCs w:val="24"/>
              </w:rPr>
              <w:t>成交后3天内提交功能完整的实验软件功能演示，成交后15天内达到采购人要求完成交货。需要演示的完整功能包括：基础知识学习内容、测试原理呈现、实验室及暗室场景漫游、测试设备线路的连接、测试天线的线路连接、测试软件的操作流程、测试参数的调控过程、暗室设备的响应过程、测试结果的读取过程以及测试数据的分析过程等虚拟实验操作内容，要求各部分流程或操作内容有机统一，形成一个完整、运行流畅的教学软件系统，以便显著提高教学效率，同时有效促进学生的学习积极性。</w:t>
            </w:r>
          </w:p>
          <w:p>
            <w:pPr>
              <w:pStyle w:val="2"/>
            </w:pPr>
          </w:p>
        </w:tc>
      </w:tr>
    </w:tbl>
    <w:p>
      <w:pPr>
        <w:tabs>
          <w:tab w:val="left" w:pos="720"/>
        </w:tabs>
        <w:spacing w:line="276" w:lineRule="auto"/>
        <w:outlineLvl w:val="0"/>
        <w:rPr>
          <w:rFonts w:asciiTheme="minorEastAsia" w:hAnsiTheme="minorEastAsia"/>
          <w:szCs w:val="21"/>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1A5E0"/>
    <w:multiLevelType w:val="singleLevel"/>
    <w:tmpl w:val="9961A5E0"/>
    <w:lvl w:ilvl="0" w:tentative="0">
      <w:start w:val="1"/>
      <w:numFmt w:val="decimal"/>
      <w:lvlText w:val="%1."/>
      <w:lvlJc w:val="left"/>
    </w:lvl>
  </w:abstractNum>
  <w:abstractNum w:abstractNumId="1">
    <w:nsid w:val="D89D20D1"/>
    <w:multiLevelType w:val="singleLevel"/>
    <w:tmpl w:val="D89D20D1"/>
    <w:lvl w:ilvl="0" w:tentative="0">
      <w:start w:val="1"/>
      <w:numFmt w:val="decimal"/>
      <w:lvlText w:val="(%1)"/>
      <w:lvlJc w:val="left"/>
      <w:pPr>
        <w:ind w:left="425" w:hanging="425"/>
      </w:pPr>
      <w:rPr>
        <w:rFonts w:hint="default"/>
      </w:rPr>
    </w:lvl>
  </w:abstractNum>
  <w:abstractNum w:abstractNumId="2">
    <w:nsid w:val="4193680E"/>
    <w:multiLevelType w:val="multilevel"/>
    <w:tmpl w:val="4193680E"/>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lkODAwZjBlYTI0ZTBhNWM4N2E5YzcwMDgyM2UxZTMifQ=="/>
  </w:docVars>
  <w:rsids>
    <w:rsidRoot w:val="28B04105"/>
    <w:rsid w:val="00007435"/>
    <w:rsid w:val="000161F5"/>
    <w:rsid w:val="00027282"/>
    <w:rsid w:val="000449BE"/>
    <w:rsid w:val="00051066"/>
    <w:rsid w:val="00061B4A"/>
    <w:rsid w:val="00064025"/>
    <w:rsid w:val="00072577"/>
    <w:rsid w:val="00072835"/>
    <w:rsid w:val="00082F11"/>
    <w:rsid w:val="00090C5E"/>
    <w:rsid w:val="000A09CF"/>
    <w:rsid w:val="000C5924"/>
    <w:rsid w:val="000C6AAE"/>
    <w:rsid w:val="000D5F6C"/>
    <w:rsid w:val="000F09DE"/>
    <w:rsid w:val="00102E90"/>
    <w:rsid w:val="00106565"/>
    <w:rsid w:val="00106573"/>
    <w:rsid w:val="00115C6C"/>
    <w:rsid w:val="00126219"/>
    <w:rsid w:val="00130815"/>
    <w:rsid w:val="0013281C"/>
    <w:rsid w:val="0013506B"/>
    <w:rsid w:val="00160FE5"/>
    <w:rsid w:val="00167A3D"/>
    <w:rsid w:val="00187207"/>
    <w:rsid w:val="0019612C"/>
    <w:rsid w:val="00196FB3"/>
    <w:rsid w:val="001D700D"/>
    <w:rsid w:val="001F22BC"/>
    <w:rsid w:val="002039EB"/>
    <w:rsid w:val="0021044D"/>
    <w:rsid w:val="0022390C"/>
    <w:rsid w:val="00234424"/>
    <w:rsid w:val="002424EE"/>
    <w:rsid w:val="002529AB"/>
    <w:rsid w:val="002557DE"/>
    <w:rsid w:val="00257047"/>
    <w:rsid w:val="00260883"/>
    <w:rsid w:val="00262B59"/>
    <w:rsid w:val="0026331D"/>
    <w:rsid w:val="00263F5D"/>
    <w:rsid w:val="00273166"/>
    <w:rsid w:val="00277F6B"/>
    <w:rsid w:val="00280D25"/>
    <w:rsid w:val="00282971"/>
    <w:rsid w:val="00283850"/>
    <w:rsid w:val="00292E69"/>
    <w:rsid w:val="00295BFF"/>
    <w:rsid w:val="002A4025"/>
    <w:rsid w:val="002A50B0"/>
    <w:rsid w:val="002A5DDC"/>
    <w:rsid w:val="002B3908"/>
    <w:rsid w:val="002B5CBB"/>
    <w:rsid w:val="002B6DE2"/>
    <w:rsid w:val="002C229D"/>
    <w:rsid w:val="002D6DA3"/>
    <w:rsid w:val="002D73BB"/>
    <w:rsid w:val="00302585"/>
    <w:rsid w:val="0032285D"/>
    <w:rsid w:val="003274C8"/>
    <w:rsid w:val="00327E9D"/>
    <w:rsid w:val="00334C60"/>
    <w:rsid w:val="0033522C"/>
    <w:rsid w:val="00336D43"/>
    <w:rsid w:val="00345B34"/>
    <w:rsid w:val="00352BC9"/>
    <w:rsid w:val="0035460D"/>
    <w:rsid w:val="00364F83"/>
    <w:rsid w:val="00370C42"/>
    <w:rsid w:val="0037571B"/>
    <w:rsid w:val="003813B3"/>
    <w:rsid w:val="003A459F"/>
    <w:rsid w:val="003A778F"/>
    <w:rsid w:val="003C651B"/>
    <w:rsid w:val="003E4502"/>
    <w:rsid w:val="00415F1D"/>
    <w:rsid w:val="0042545F"/>
    <w:rsid w:val="004314F4"/>
    <w:rsid w:val="00440117"/>
    <w:rsid w:val="004A0928"/>
    <w:rsid w:val="004C599A"/>
    <w:rsid w:val="004C67FB"/>
    <w:rsid w:val="004E7CC4"/>
    <w:rsid w:val="005042BB"/>
    <w:rsid w:val="00516F6A"/>
    <w:rsid w:val="00520A34"/>
    <w:rsid w:val="00521D69"/>
    <w:rsid w:val="00531418"/>
    <w:rsid w:val="00545F07"/>
    <w:rsid w:val="0054682C"/>
    <w:rsid w:val="00547962"/>
    <w:rsid w:val="0055105A"/>
    <w:rsid w:val="005519D5"/>
    <w:rsid w:val="00567BD3"/>
    <w:rsid w:val="00571B8C"/>
    <w:rsid w:val="00580AD2"/>
    <w:rsid w:val="00586E37"/>
    <w:rsid w:val="00596422"/>
    <w:rsid w:val="005A05CE"/>
    <w:rsid w:val="005B21A5"/>
    <w:rsid w:val="005B5605"/>
    <w:rsid w:val="005B7063"/>
    <w:rsid w:val="005D7B13"/>
    <w:rsid w:val="005F2564"/>
    <w:rsid w:val="0061109A"/>
    <w:rsid w:val="00612D24"/>
    <w:rsid w:val="006156EA"/>
    <w:rsid w:val="00623B79"/>
    <w:rsid w:val="00624297"/>
    <w:rsid w:val="00625EBC"/>
    <w:rsid w:val="00637B96"/>
    <w:rsid w:val="00640044"/>
    <w:rsid w:val="0065312C"/>
    <w:rsid w:val="006531D1"/>
    <w:rsid w:val="00663788"/>
    <w:rsid w:val="00667804"/>
    <w:rsid w:val="00675345"/>
    <w:rsid w:val="006813E4"/>
    <w:rsid w:val="00681C00"/>
    <w:rsid w:val="00692ACC"/>
    <w:rsid w:val="006946CF"/>
    <w:rsid w:val="006A36CE"/>
    <w:rsid w:val="006A6A2E"/>
    <w:rsid w:val="006C2CCA"/>
    <w:rsid w:val="006C40FE"/>
    <w:rsid w:val="006C4D1C"/>
    <w:rsid w:val="006C753D"/>
    <w:rsid w:val="006C7C62"/>
    <w:rsid w:val="006D0D02"/>
    <w:rsid w:val="006D43A0"/>
    <w:rsid w:val="006E07D6"/>
    <w:rsid w:val="006F5074"/>
    <w:rsid w:val="00706CD4"/>
    <w:rsid w:val="00710C97"/>
    <w:rsid w:val="00710EFA"/>
    <w:rsid w:val="00712AE0"/>
    <w:rsid w:val="00737F1D"/>
    <w:rsid w:val="00743170"/>
    <w:rsid w:val="00753257"/>
    <w:rsid w:val="00756734"/>
    <w:rsid w:val="00781557"/>
    <w:rsid w:val="00785691"/>
    <w:rsid w:val="0079727D"/>
    <w:rsid w:val="007B0B50"/>
    <w:rsid w:val="007B5EE6"/>
    <w:rsid w:val="007D50C6"/>
    <w:rsid w:val="00800516"/>
    <w:rsid w:val="00802924"/>
    <w:rsid w:val="00814968"/>
    <w:rsid w:val="0082536F"/>
    <w:rsid w:val="0084235A"/>
    <w:rsid w:val="00844CF2"/>
    <w:rsid w:val="00865120"/>
    <w:rsid w:val="0088167C"/>
    <w:rsid w:val="008851BE"/>
    <w:rsid w:val="00890F4E"/>
    <w:rsid w:val="008A1FE2"/>
    <w:rsid w:val="008A7976"/>
    <w:rsid w:val="008B0201"/>
    <w:rsid w:val="008B3D07"/>
    <w:rsid w:val="008B529D"/>
    <w:rsid w:val="008B646E"/>
    <w:rsid w:val="008E1E8D"/>
    <w:rsid w:val="008E5AE0"/>
    <w:rsid w:val="0091571D"/>
    <w:rsid w:val="00933A10"/>
    <w:rsid w:val="00953F13"/>
    <w:rsid w:val="00955B6D"/>
    <w:rsid w:val="009617BA"/>
    <w:rsid w:val="0098413F"/>
    <w:rsid w:val="00994720"/>
    <w:rsid w:val="0099501C"/>
    <w:rsid w:val="009954A8"/>
    <w:rsid w:val="00995B38"/>
    <w:rsid w:val="009A3428"/>
    <w:rsid w:val="009D7663"/>
    <w:rsid w:val="009E6333"/>
    <w:rsid w:val="009F22D0"/>
    <w:rsid w:val="00A13EF1"/>
    <w:rsid w:val="00A246C1"/>
    <w:rsid w:val="00A37E9C"/>
    <w:rsid w:val="00A55517"/>
    <w:rsid w:val="00A5757F"/>
    <w:rsid w:val="00A635FE"/>
    <w:rsid w:val="00A645D2"/>
    <w:rsid w:val="00A76E0A"/>
    <w:rsid w:val="00A81DAD"/>
    <w:rsid w:val="00A8582B"/>
    <w:rsid w:val="00A9063F"/>
    <w:rsid w:val="00A95CC8"/>
    <w:rsid w:val="00A96663"/>
    <w:rsid w:val="00AA1015"/>
    <w:rsid w:val="00AA193E"/>
    <w:rsid w:val="00AB4AD7"/>
    <w:rsid w:val="00AB52C4"/>
    <w:rsid w:val="00AB7BC8"/>
    <w:rsid w:val="00AB7F75"/>
    <w:rsid w:val="00AC0FE3"/>
    <w:rsid w:val="00AC143F"/>
    <w:rsid w:val="00AE0317"/>
    <w:rsid w:val="00AE7FBF"/>
    <w:rsid w:val="00AF5776"/>
    <w:rsid w:val="00AF58C3"/>
    <w:rsid w:val="00AF60FA"/>
    <w:rsid w:val="00B16A68"/>
    <w:rsid w:val="00B17C52"/>
    <w:rsid w:val="00B343CE"/>
    <w:rsid w:val="00B427A7"/>
    <w:rsid w:val="00B512AF"/>
    <w:rsid w:val="00B51C9B"/>
    <w:rsid w:val="00B56A01"/>
    <w:rsid w:val="00B62B35"/>
    <w:rsid w:val="00B76970"/>
    <w:rsid w:val="00B907E9"/>
    <w:rsid w:val="00BB5E45"/>
    <w:rsid w:val="00BC1141"/>
    <w:rsid w:val="00BE4EEE"/>
    <w:rsid w:val="00BE5156"/>
    <w:rsid w:val="00BE7A20"/>
    <w:rsid w:val="00BF0A06"/>
    <w:rsid w:val="00BF529E"/>
    <w:rsid w:val="00C00324"/>
    <w:rsid w:val="00C062AA"/>
    <w:rsid w:val="00C15D48"/>
    <w:rsid w:val="00C26152"/>
    <w:rsid w:val="00C26B29"/>
    <w:rsid w:val="00C30C38"/>
    <w:rsid w:val="00C41761"/>
    <w:rsid w:val="00C503E6"/>
    <w:rsid w:val="00C90384"/>
    <w:rsid w:val="00C958D9"/>
    <w:rsid w:val="00CA033D"/>
    <w:rsid w:val="00CA476D"/>
    <w:rsid w:val="00CA4A58"/>
    <w:rsid w:val="00CA4F42"/>
    <w:rsid w:val="00CC673D"/>
    <w:rsid w:val="00CE15ED"/>
    <w:rsid w:val="00D00913"/>
    <w:rsid w:val="00D00FBB"/>
    <w:rsid w:val="00D01F8F"/>
    <w:rsid w:val="00D03730"/>
    <w:rsid w:val="00D151C1"/>
    <w:rsid w:val="00D40F4F"/>
    <w:rsid w:val="00D46B78"/>
    <w:rsid w:val="00D7126E"/>
    <w:rsid w:val="00D9344D"/>
    <w:rsid w:val="00D95E9D"/>
    <w:rsid w:val="00DA590C"/>
    <w:rsid w:val="00DA6D75"/>
    <w:rsid w:val="00DB378F"/>
    <w:rsid w:val="00DB788C"/>
    <w:rsid w:val="00DC24B9"/>
    <w:rsid w:val="00DE1044"/>
    <w:rsid w:val="00DE7A62"/>
    <w:rsid w:val="00DE7CED"/>
    <w:rsid w:val="00DF2428"/>
    <w:rsid w:val="00DF3300"/>
    <w:rsid w:val="00DF65D6"/>
    <w:rsid w:val="00E07CE2"/>
    <w:rsid w:val="00E11457"/>
    <w:rsid w:val="00E2431E"/>
    <w:rsid w:val="00E24520"/>
    <w:rsid w:val="00E246A9"/>
    <w:rsid w:val="00E247BC"/>
    <w:rsid w:val="00E25567"/>
    <w:rsid w:val="00E27475"/>
    <w:rsid w:val="00E3054C"/>
    <w:rsid w:val="00E30E76"/>
    <w:rsid w:val="00E3423D"/>
    <w:rsid w:val="00E611A6"/>
    <w:rsid w:val="00E700A3"/>
    <w:rsid w:val="00E74899"/>
    <w:rsid w:val="00E81A59"/>
    <w:rsid w:val="00E8514B"/>
    <w:rsid w:val="00EA1B60"/>
    <w:rsid w:val="00EA6676"/>
    <w:rsid w:val="00EC5271"/>
    <w:rsid w:val="00EE55A8"/>
    <w:rsid w:val="00F0010B"/>
    <w:rsid w:val="00F00C45"/>
    <w:rsid w:val="00F0252F"/>
    <w:rsid w:val="00F1331C"/>
    <w:rsid w:val="00F13B9F"/>
    <w:rsid w:val="00F207E1"/>
    <w:rsid w:val="00F25C86"/>
    <w:rsid w:val="00F25D5A"/>
    <w:rsid w:val="00F27806"/>
    <w:rsid w:val="00F43D6C"/>
    <w:rsid w:val="00F444BB"/>
    <w:rsid w:val="00F54C90"/>
    <w:rsid w:val="00F6199C"/>
    <w:rsid w:val="00F62953"/>
    <w:rsid w:val="00F633D2"/>
    <w:rsid w:val="00F728B3"/>
    <w:rsid w:val="00F903E5"/>
    <w:rsid w:val="00F955D2"/>
    <w:rsid w:val="00FB1C3C"/>
    <w:rsid w:val="00FB3CD5"/>
    <w:rsid w:val="00FC2DBF"/>
    <w:rsid w:val="00FD64DC"/>
    <w:rsid w:val="00FF12A1"/>
    <w:rsid w:val="00FF38F9"/>
    <w:rsid w:val="00FF76AA"/>
    <w:rsid w:val="021431CA"/>
    <w:rsid w:val="04585E16"/>
    <w:rsid w:val="04DF5E54"/>
    <w:rsid w:val="054A784B"/>
    <w:rsid w:val="0553507C"/>
    <w:rsid w:val="05557F9E"/>
    <w:rsid w:val="07773341"/>
    <w:rsid w:val="07D258D6"/>
    <w:rsid w:val="08B2699D"/>
    <w:rsid w:val="08BE20E8"/>
    <w:rsid w:val="08DD2784"/>
    <w:rsid w:val="0C4B58D5"/>
    <w:rsid w:val="0F9E7EA2"/>
    <w:rsid w:val="0FE12B5A"/>
    <w:rsid w:val="10870A4C"/>
    <w:rsid w:val="10875191"/>
    <w:rsid w:val="11796257"/>
    <w:rsid w:val="11C643E9"/>
    <w:rsid w:val="12F90931"/>
    <w:rsid w:val="137D3A2B"/>
    <w:rsid w:val="13DC1FB6"/>
    <w:rsid w:val="14741447"/>
    <w:rsid w:val="14A9321F"/>
    <w:rsid w:val="14E60B8F"/>
    <w:rsid w:val="17474BB8"/>
    <w:rsid w:val="17BF3166"/>
    <w:rsid w:val="17F24D67"/>
    <w:rsid w:val="1ADD7B6F"/>
    <w:rsid w:val="1B141A82"/>
    <w:rsid w:val="1BF12E8F"/>
    <w:rsid w:val="1DDA45B2"/>
    <w:rsid w:val="1E571405"/>
    <w:rsid w:val="20362755"/>
    <w:rsid w:val="211A2B34"/>
    <w:rsid w:val="21A03AEA"/>
    <w:rsid w:val="222B46FB"/>
    <w:rsid w:val="252827F5"/>
    <w:rsid w:val="26FE5040"/>
    <w:rsid w:val="28B04105"/>
    <w:rsid w:val="2AE32163"/>
    <w:rsid w:val="2B78736C"/>
    <w:rsid w:val="2DFF51EF"/>
    <w:rsid w:val="2EBC3F58"/>
    <w:rsid w:val="2F092B25"/>
    <w:rsid w:val="2F45680A"/>
    <w:rsid w:val="2FA745AE"/>
    <w:rsid w:val="306C3EB4"/>
    <w:rsid w:val="31A213A6"/>
    <w:rsid w:val="33255888"/>
    <w:rsid w:val="348639A6"/>
    <w:rsid w:val="35AE2C2F"/>
    <w:rsid w:val="3684230E"/>
    <w:rsid w:val="36FA1143"/>
    <w:rsid w:val="37A34A15"/>
    <w:rsid w:val="37CB7AC8"/>
    <w:rsid w:val="37F671F7"/>
    <w:rsid w:val="395F3352"/>
    <w:rsid w:val="3B355F15"/>
    <w:rsid w:val="3B392F9B"/>
    <w:rsid w:val="3B471B5C"/>
    <w:rsid w:val="3C6F3118"/>
    <w:rsid w:val="3CFA7EC2"/>
    <w:rsid w:val="3EF92944"/>
    <w:rsid w:val="3F461D22"/>
    <w:rsid w:val="3F9840C9"/>
    <w:rsid w:val="411A1448"/>
    <w:rsid w:val="42CE66BF"/>
    <w:rsid w:val="42E934F8"/>
    <w:rsid w:val="43AC2434"/>
    <w:rsid w:val="440F09E7"/>
    <w:rsid w:val="44164E45"/>
    <w:rsid w:val="45DD7344"/>
    <w:rsid w:val="468C4E5D"/>
    <w:rsid w:val="46A01B18"/>
    <w:rsid w:val="476F56EA"/>
    <w:rsid w:val="47ED5839"/>
    <w:rsid w:val="48C22822"/>
    <w:rsid w:val="48D805F5"/>
    <w:rsid w:val="4971254F"/>
    <w:rsid w:val="4A4A0D21"/>
    <w:rsid w:val="4B5C51AF"/>
    <w:rsid w:val="4BF2341E"/>
    <w:rsid w:val="4C0D46FC"/>
    <w:rsid w:val="4D2834AF"/>
    <w:rsid w:val="4D4C3504"/>
    <w:rsid w:val="4D783FDE"/>
    <w:rsid w:val="4DD776FE"/>
    <w:rsid w:val="4ECF495D"/>
    <w:rsid w:val="4F1324C5"/>
    <w:rsid w:val="4F963DA3"/>
    <w:rsid w:val="4FB70272"/>
    <w:rsid w:val="500100D3"/>
    <w:rsid w:val="506E705A"/>
    <w:rsid w:val="50E0793D"/>
    <w:rsid w:val="50EF3E0F"/>
    <w:rsid w:val="53794425"/>
    <w:rsid w:val="54FE2020"/>
    <w:rsid w:val="559C1D17"/>
    <w:rsid w:val="56962345"/>
    <w:rsid w:val="56C66FEE"/>
    <w:rsid w:val="56E426A6"/>
    <w:rsid w:val="592114EA"/>
    <w:rsid w:val="59DD6B95"/>
    <w:rsid w:val="5B0A7353"/>
    <w:rsid w:val="5B2A38DC"/>
    <w:rsid w:val="5BA54009"/>
    <w:rsid w:val="5C0A47B4"/>
    <w:rsid w:val="5C492920"/>
    <w:rsid w:val="5C4E28F2"/>
    <w:rsid w:val="5C7C1618"/>
    <w:rsid w:val="5C952AE3"/>
    <w:rsid w:val="5D7967E6"/>
    <w:rsid w:val="5D7C59A9"/>
    <w:rsid w:val="5DBB5BE7"/>
    <w:rsid w:val="5DD454E3"/>
    <w:rsid w:val="5E9071F2"/>
    <w:rsid w:val="604C7149"/>
    <w:rsid w:val="610E044E"/>
    <w:rsid w:val="62402031"/>
    <w:rsid w:val="62AD2CAC"/>
    <w:rsid w:val="62B9483E"/>
    <w:rsid w:val="63F0424A"/>
    <w:rsid w:val="64616F3B"/>
    <w:rsid w:val="64E350A7"/>
    <w:rsid w:val="64EE6A20"/>
    <w:rsid w:val="66705B23"/>
    <w:rsid w:val="66747DFB"/>
    <w:rsid w:val="678763EC"/>
    <w:rsid w:val="678F1CF3"/>
    <w:rsid w:val="682C448E"/>
    <w:rsid w:val="6BED25E3"/>
    <w:rsid w:val="6C542439"/>
    <w:rsid w:val="6DC9002B"/>
    <w:rsid w:val="6E296D1B"/>
    <w:rsid w:val="6E754EE1"/>
    <w:rsid w:val="6EED4F57"/>
    <w:rsid w:val="6FA07D40"/>
    <w:rsid w:val="71B7463E"/>
    <w:rsid w:val="71E35433"/>
    <w:rsid w:val="725418CA"/>
    <w:rsid w:val="72D13B9A"/>
    <w:rsid w:val="73D6524F"/>
    <w:rsid w:val="742F6D5C"/>
    <w:rsid w:val="77CB499F"/>
    <w:rsid w:val="77CD6969"/>
    <w:rsid w:val="79183C14"/>
    <w:rsid w:val="79424826"/>
    <w:rsid w:val="7CA57EB5"/>
    <w:rsid w:val="7FE507F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3">
    <w:name w:val="Normal Indent"/>
    <w:basedOn w:val="1"/>
    <w:unhideWhenUsed/>
    <w:qFormat/>
    <w:uiPriority w:val="99"/>
    <w:pPr>
      <w:ind w:firstLine="420"/>
    </w:pPr>
    <w:rPr>
      <w:szCs w:val="20"/>
    </w:rPr>
  </w:style>
  <w:style w:type="paragraph" w:styleId="4">
    <w:name w:val="Body Text"/>
    <w:basedOn w:val="1"/>
    <w:semiHidden/>
    <w:unhideWhenUsed/>
    <w:qFormat/>
    <w:uiPriority w:val="99"/>
    <w:pPr>
      <w:spacing w:after="120"/>
    </w:pPr>
    <w:rPr>
      <w:rFonts w:ascii="Times New Roman"/>
    </w:rPr>
  </w:style>
  <w:style w:type="paragraph" w:styleId="5">
    <w:name w:val="Plain Text"/>
    <w:basedOn w:val="1"/>
    <w:link w:val="19"/>
    <w:qFormat/>
    <w:uiPriority w:val="0"/>
    <w:pPr>
      <w:spacing w:line="480" w:lineRule="exact"/>
      <w:ind w:firstLine="200" w:firstLineChars="200"/>
      <w:jc w:val="left"/>
    </w:pPr>
    <w:rPr>
      <w:rFonts w:ascii="宋体" w:hAnsi="Courier New" w:eastAsia="宋体" w:cs="Times New Roman"/>
      <w:szCs w:val="20"/>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rPr>
      <w:sz w:val="24"/>
    </w:rPr>
  </w:style>
  <w:style w:type="paragraph" w:customStyle="1" w:styleId="11">
    <w:name w:val="列出段落1"/>
    <w:basedOn w:val="1"/>
    <w:link w:val="20"/>
    <w:qFormat/>
    <w:uiPriority w:val="99"/>
    <w:pPr>
      <w:ind w:firstLine="420" w:firstLineChars="200"/>
    </w:pPr>
  </w:style>
  <w:style w:type="paragraph" w:styleId="12">
    <w:name w:val="List Paragraph"/>
    <w:basedOn w:val="1"/>
    <w:link w:val="15"/>
    <w:qFormat/>
    <w:uiPriority w:val="0"/>
    <w:pPr>
      <w:ind w:firstLine="420" w:firstLineChars="200"/>
    </w:pPr>
  </w:style>
  <w:style w:type="character" w:customStyle="1" w:styleId="13">
    <w:name w:val="页眉 Char"/>
    <w:basedOn w:val="10"/>
    <w:link w:val="7"/>
    <w:qFormat/>
    <w:uiPriority w:val="0"/>
    <w:rPr>
      <w:rFonts w:asciiTheme="minorHAnsi" w:hAnsiTheme="minorHAnsi" w:eastAsiaTheme="minorEastAsia" w:cstheme="minorBidi"/>
      <w:kern w:val="2"/>
      <w:sz w:val="18"/>
      <w:szCs w:val="18"/>
    </w:rPr>
  </w:style>
  <w:style w:type="character" w:customStyle="1" w:styleId="14">
    <w:name w:val="页脚 Char"/>
    <w:basedOn w:val="10"/>
    <w:link w:val="6"/>
    <w:qFormat/>
    <w:uiPriority w:val="0"/>
    <w:rPr>
      <w:rFonts w:asciiTheme="minorHAnsi" w:hAnsiTheme="minorHAnsi" w:eastAsiaTheme="minorEastAsia" w:cstheme="minorBidi"/>
      <w:kern w:val="2"/>
      <w:sz w:val="18"/>
      <w:szCs w:val="18"/>
    </w:rPr>
  </w:style>
  <w:style w:type="character" w:customStyle="1" w:styleId="15">
    <w:name w:val="列出段落 Char"/>
    <w:link w:val="12"/>
    <w:qFormat/>
    <w:uiPriority w:val="0"/>
    <w:rPr>
      <w:rFonts w:asciiTheme="minorHAnsi" w:hAnsiTheme="minorHAnsi" w:eastAsiaTheme="minorEastAsia" w:cstheme="minorBidi"/>
      <w:kern w:val="2"/>
      <w:sz w:val="21"/>
      <w:szCs w:val="22"/>
    </w:rPr>
  </w:style>
  <w:style w:type="paragraph" w:customStyle="1" w:styleId="16">
    <w:name w:val="列表段落1"/>
    <w:basedOn w:val="1"/>
    <w:qFormat/>
    <w:uiPriority w:val="0"/>
    <w:pPr>
      <w:ind w:firstLine="420" w:firstLineChars="200"/>
    </w:pPr>
    <w:rPr>
      <w:rFonts w:ascii="Calibri" w:hAnsi="Calibri" w:eastAsia="宋体" w:cs="Times New Roman"/>
    </w:rPr>
  </w:style>
  <w:style w:type="paragraph" w:customStyle="1" w:styleId="17">
    <w:name w:val="_Style 2"/>
    <w:basedOn w:val="1"/>
    <w:qFormat/>
    <w:uiPriority w:val="0"/>
    <w:pPr>
      <w:ind w:firstLine="420" w:firstLineChars="200"/>
    </w:pPr>
    <w:rPr>
      <w:rFonts w:ascii="Calibri" w:hAnsi="Calibri" w:eastAsia="宋体" w:cs="Times New Roman"/>
      <w:kern w:val="0"/>
      <w:sz w:val="20"/>
      <w:szCs w:val="20"/>
    </w:rPr>
  </w:style>
  <w:style w:type="character" w:customStyle="1" w:styleId="18">
    <w:name w:val="纯文本 字符1"/>
    <w:qFormat/>
    <w:uiPriority w:val="0"/>
    <w:rPr>
      <w:rFonts w:ascii="宋体" w:hAnsi="Courier New" w:cs="Courier New"/>
      <w:kern w:val="2"/>
      <w:sz w:val="21"/>
      <w:szCs w:val="21"/>
    </w:rPr>
  </w:style>
  <w:style w:type="character" w:customStyle="1" w:styleId="19">
    <w:name w:val="纯文本 Char"/>
    <w:link w:val="5"/>
    <w:qFormat/>
    <w:uiPriority w:val="0"/>
    <w:rPr>
      <w:rFonts w:ascii="宋体" w:hAnsi="Courier New"/>
      <w:kern w:val="2"/>
      <w:sz w:val="21"/>
    </w:rPr>
  </w:style>
  <w:style w:type="character" w:customStyle="1" w:styleId="20">
    <w:name w:val="列出段落 Char1"/>
    <w:link w:val="11"/>
    <w:qFormat/>
    <w:uiPriority w:val="99"/>
    <w:rPr>
      <w:rFonts w:asciiTheme="minorHAnsi" w:hAnsiTheme="minorHAnsi" w:eastAsiaTheme="minorEastAsia" w:cstheme="minorBidi"/>
      <w:kern w:val="2"/>
      <w:sz w:val="21"/>
      <w:szCs w:val="22"/>
    </w:rPr>
  </w:style>
  <w:style w:type="character" w:customStyle="1" w:styleId="21">
    <w:name w:val="纯文本 Char1"/>
    <w:basedOn w:val="10"/>
    <w:qFormat/>
    <w:uiPriority w:val="0"/>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4</Pages>
  <Words>316</Words>
  <Characters>1807</Characters>
  <Lines>15</Lines>
  <Paragraphs>4</Paragraphs>
  <TotalTime>37</TotalTime>
  <ScaleCrop>false</ScaleCrop>
  <LinksUpToDate>false</LinksUpToDate>
  <CharactersWithSpaces>2119</CharactersWithSpaces>
  <Application>WPS Office_11.8.6.11825_F1E327BC-269C-435d-A152-05C5408002CA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2019-06-21T03:45:00Z</dcterms:created>
  <dc:creator>Administrator</dc:creator>
  <cp:lastModifiedBy>用户</cp:lastModifiedBy>
  <dcterms:modified xsi:type="dcterms:W3CDTF">2024-07-22T11:41:31Z</dcterms:modified>
  <cp:revision>581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6382D5AF7CFC4A74A833843F91F5DBF7_12</vt:lpwstr>
  </property>
</Properties>
</file>