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tabs>
          <w:tab w:val="left" w:pos="1155"/>
        </w:tabs>
        <w:kinsoku/>
        <w:wordWrap/>
        <w:overflowPunct/>
        <w:topLinePunct w:val="0"/>
        <w:autoSpaceDE/>
        <w:autoSpaceDN/>
        <w:bidi w:val="0"/>
        <w:adjustRightInd/>
        <w:snapToGrid/>
        <w:spacing w:line="360" w:lineRule="auto"/>
        <w:textAlignment w:val="auto"/>
        <w:rPr>
          <w:rFonts w:hint="eastAsia" w:ascii="宋体" w:hAnsi="宋体" w:eastAsia="宋体" w:cs="宋体"/>
          <w:b/>
          <w:spacing w:val="0"/>
          <w:sz w:val="21"/>
          <w:szCs w:val="21"/>
        </w:rPr>
      </w:pPr>
      <w:r>
        <w:rPr>
          <w:rFonts w:hint="eastAsia" w:ascii="宋体" w:hAnsi="宋体" w:eastAsia="宋体" w:cs="宋体"/>
          <w:b/>
          <w:sz w:val="21"/>
          <w:szCs w:val="21"/>
          <w:lang w:val="en-US" w:eastAsia="zh-CN"/>
        </w:rPr>
        <w:t>三、</w:t>
      </w:r>
      <w:r>
        <w:rPr>
          <w:rFonts w:hint="eastAsia" w:ascii="宋体" w:hAnsi="宋体" w:eastAsia="宋体" w:cs="宋体"/>
          <w:b/>
          <w:sz w:val="21"/>
          <w:szCs w:val="21"/>
        </w:rPr>
        <w:t>采购</w:t>
      </w:r>
      <w:r>
        <w:rPr>
          <w:rFonts w:hint="eastAsia" w:ascii="宋体" w:hAnsi="宋体" w:eastAsia="宋体" w:cs="宋体"/>
          <w:b/>
          <w:spacing w:val="0"/>
          <w:sz w:val="21"/>
          <w:szCs w:val="21"/>
        </w:rPr>
        <w:t>需求：</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spacing w:val="0"/>
          <w:kern w:val="2"/>
          <w:sz w:val="21"/>
          <w:szCs w:val="21"/>
          <w:lang w:val="en-US" w:eastAsia="zh-CN" w:bidi="ar-SA"/>
        </w:rPr>
      </w:pPr>
      <w:r>
        <w:rPr>
          <w:rFonts w:hint="eastAsia" w:ascii="宋体" w:hAnsi="宋体" w:eastAsia="宋体" w:cs="宋体"/>
          <w:b/>
          <w:bCs/>
          <w:spacing w:val="0"/>
          <w:kern w:val="2"/>
          <w:sz w:val="21"/>
          <w:szCs w:val="21"/>
          <w:lang w:val="en-US" w:eastAsia="zh-CN" w:bidi="ar-SA"/>
        </w:rPr>
        <w:t>（一）项目背景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为进一步加强之江实验室舆情监测工作，及时发现重要舆情信息，为之江实验室发展营造良好舆论环境，我单位拟委托供应商提供舆情监测服务，含舆情监测系统、周报、专报和舆情协助处置等配套服务内容。</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spacing w:val="0"/>
          <w:kern w:val="2"/>
          <w:sz w:val="21"/>
          <w:szCs w:val="21"/>
          <w:lang w:val="en-US" w:eastAsia="zh-CN" w:bidi="ar-SA"/>
        </w:rPr>
      </w:pPr>
      <w:r>
        <w:rPr>
          <w:rFonts w:hint="eastAsia" w:ascii="宋体" w:hAnsi="宋体" w:eastAsia="宋体" w:cs="宋体"/>
          <w:b/>
          <w:bCs/>
          <w:spacing w:val="0"/>
          <w:kern w:val="2"/>
          <w:sz w:val="21"/>
          <w:szCs w:val="21"/>
          <w:lang w:val="en-US" w:eastAsia="zh-CN" w:bidi="ar-SA"/>
        </w:rPr>
        <w:t>（二）采购要求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1.舆情监测系统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系统需实现对国内新闻、论坛、博客、微博、微信和境外媒体、Twitter、Facebook等互联网平台和之江实验室内网论坛的全面监测、分析，对敏感舆情进行全面、及时预警，并实时将负面信息告知（电话/微信/邮件）采购方。系统主要功能包括信息监测、事件预警、专题分析、在线报告等。在监测知乎论坛、牛客网、CSDN、实验室内部论坛等专业论坛和微信公众号等难以通过技术手段覆盖的网络平台，要结合人工监测方式，为采购方实时、全面预警敏感舆情信息。采购方根据各平台舆情情况，向中标供应商提出需要重点监测的网络平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舆情系统部分参数要求如下：</w:t>
      </w:r>
    </w:p>
    <w:tbl>
      <w:tblPr>
        <w:tblStyle w:val="4"/>
        <w:tblW w:w="737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594"/>
        <w:gridCol w:w="1667"/>
        <w:gridCol w:w="2126"/>
        <w:gridCol w:w="198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8" w:hRule="atLeast"/>
          <w:jc w:val="center"/>
        </w:trPr>
        <w:tc>
          <w:tcPr>
            <w:tcW w:w="1594" w:type="dxa"/>
            <w:tcBorders>
              <w:top w:val="single" w:color="000000" w:sz="8" w:space="0"/>
              <w:left w:val="single" w:color="auto" w:sz="4"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项目名称</w:t>
            </w:r>
          </w:p>
        </w:tc>
        <w:tc>
          <w:tcPr>
            <w:tcW w:w="1667"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账号</w:t>
            </w:r>
          </w:p>
        </w:tc>
        <w:tc>
          <w:tcPr>
            <w:tcW w:w="2126"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关键词/主题词</w:t>
            </w:r>
          </w:p>
        </w:tc>
        <w:tc>
          <w:tcPr>
            <w:tcW w:w="1985"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监测事件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85" w:hRule="atLeast"/>
          <w:jc w:val="center"/>
        </w:trPr>
        <w:tc>
          <w:tcPr>
            <w:tcW w:w="1594" w:type="dxa"/>
            <w:tcBorders>
              <w:top w:val="single" w:color="000000" w:sz="8" w:space="0"/>
              <w:left w:val="single" w:color="auto" w:sz="4"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630" w:firstLineChars="3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数量</w:t>
            </w:r>
          </w:p>
        </w:tc>
        <w:tc>
          <w:tcPr>
            <w:tcW w:w="1667"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5-7个</w:t>
            </w:r>
          </w:p>
        </w:tc>
        <w:tc>
          <w:tcPr>
            <w:tcW w:w="2126"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30-50个</w:t>
            </w:r>
          </w:p>
        </w:tc>
        <w:tc>
          <w:tcPr>
            <w:tcW w:w="1985"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3个以上</w:t>
            </w:r>
          </w:p>
        </w:tc>
      </w:tr>
    </w:tbl>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ascii="仿宋_GB2312" w:eastAsia="仿宋_GB2312"/>
          <w:color w:val="000000" w:themeColor="text1"/>
          <w:sz w:val="32"/>
          <w:szCs w:val="32"/>
          <w14:textFill>
            <w14:solidFill>
              <w14:schemeClr w14:val="tx1"/>
            </w14:solidFill>
          </w14:textFill>
        </w:rPr>
      </w:pPr>
      <w:r>
        <w:rPr>
          <w:rFonts w:hint="eastAsia" w:ascii="宋体" w:hAnsi="宋体" w:eastAsia="宋体" w:cs="宋体"/>
          <w:spacing w:val="0"/>
          <w:kern w:val="2"/>
          <w:sz w:val="21"/>
          <w:szCs w:val="21"/>
          <w:lang w:val="en-US" w:eastAsia="zh-CN" w:bidi="ar-SA"/>
        </w:rPr>
        <w:t>系统需包含数据可视化项目3个以上，包括但不限于舆情词云分析、传播力分析等模块。同时，要求系统操作简单，使用流畅，用户体验佳。</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2.舆情周报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舆情分析师以周为单位，总结过去一周内相关的舆情信息，制作舆情周报，报告需含有新闻标题、摘要、图表、舆情分析及研判等信息。舆情周报无错别字和病句，语言规范、精炼，逻辑严谨，采集的内容全面、准确，研判分析精准。周报内容包括但不限于以下内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ascii="仿宋_GB2312" w:eastAsia="仿宋_GB2312"/>
          <w:color w:val="000000" w:themeColor="text1"/>
          <w:sz w:val="32"/>
          <w:szCs w:val="32"/>
          <w14:textFill>
            <w14:solidFill>
              <w14:schemeClr w14:val="tx1"/>
            </w14:solidFill>
          </w14:textFill>
        </w:rPr>
      </w:pPr>
      <w:r>
        <w:rPr>
          <w:rFonts w:hint="eastAsia" w:ascii="宋体" w:hAnsi="宋体" w:eastAsia="宋体" w:cs="宋体"/>
          <w:spacing w:val="0"/>
          <w:kern w:val="2"/>
          <w:sz w:val="21"/>
          <w:szCs w:val="21"/>
          <w:lang w:val="en-US" w:eastAsia="zh-CN" w:bidi="ar-SA"/>
        </w:rPr>
        <w:t>（1）之江实验室的新闻报道。重点监测国家级、省级主流媒体的新闻和全网转载量，并且对重点监测的事件进行传播总结。</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（2）人工智能相关机构日常动态，包括但不限于科技部、各省市人工智能动态和各人工智能研究机构动态等。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（3）人工智能、网络信息技术、智能计算、智慧园区方向的前沿研究信息。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（4）人工智能相关的重要会议和大赛信息监测。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（5）其他与之江实验室相关的舆情内容。</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b/>
          <w:bCs/>
          <w:spacing w:val="0"/>
          <w:kern w:val="2"/>
          <w:sz w:val="21"/>
          <w:szCs w:val="21"/>
          <w:lang w:val="en-US" w:eastAsia="zh-CN" w:bidi="ar-SA"/>
        </w:rPr>
        <w:t>样例</w:t>
      </w:r>
      <w:r>
        <w:rPr>
          <w:rFonts w:hint="eastAsia" w:ascii="宋体" w:hAnsi="宋体" w:eastAsia="宋体" w:cs="宋体"/>
          <w:spacing w:val="0"/>
          <w:kern w:val="2"/>
          <w:sz w:val="21"/>
          <w:szCs w:val="21"/>
          <w:lang w:val="en-US" w:eastAsia="zh-CN" w:bidi="ar-SA"/>
        </w:rPr>
        <w:t>：提供2份不同合作单位（政府部门、高校或其他研究机构）的舆情周报样例，需注明监测时间段，并附合同复印件（加盖公章）。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3.舆情专报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本次采购舆情专报的数量为四期。专报需结合大数据技术手段，针对大型活动的宣传推广效果做全面梳理，并给出宣传推广建议。针对重大舆情事件，舆情分析师及时出具研究专报，并给出处置建议。报告中需含有重点新闻摘要、统计图表、舆情分析及研判等内容，无错别字和病句，语言规范、精炼，逻辑严谨，采集内容全面、准确，无事实性差错。</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b/>
          <w:bCs/>
          <w:spacing w:val="0"/>
          <w:kern w:val="2"/>
          <w:sz w:val="21"/>
          <w:szCs w:val="21"/>
          <w:lang w:val="en-US" w:eastAsia="zh-CN" w:bidi="ar-SA"/>
        </w:rPr>
        <w:t>样例</w:t>
      </w:r>
      <w:r>
        <w:rPr>
          <w:rFonts w:hint="eastAsia" w:ascii="宋体" w:hAnsi="宋体" w:eastAsia="宋体" w:cs="宋体"/>
          <w:spacing w:val="0"/>
          <w:kern w:val="2"/>
          <w:sz w:val="21"/>
          <w:szCs w:val="21"/>
          <w:lang w:val="en-US" w:eastAsia="zh-CN" w:bidi="ar-SA"/>
        </w:rPr>
        <w:t>：提供（1）1份以“之江实验室牵头建设智能科学与技术浙江省实验室”为主题的舆情专报。（2）2份2020年不同合作单位（政府部门、高校或其他研究机构）的舆情专报，并附合同复印件（加盖公章）。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 xml:space="preserve">4.突发舆情协助处置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日常媒体关系维护、突发舆情媒体关系联络和危机公关协助处置。</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b/>
          <w:bCs/>
          <w:spacing w:val="0"/>
          <w:kern w:val="2"/>
          <w:sz w:val="21"/>
          <w:szCs w:val="21"/>
          <w:lang w:val="en-US" w:eastAsia="zh-CN" w:bidi="ar-SA"/>
        </w:rPr>
        <w:t>现场演示</w:t>
      </w:r>
      <w:r>
        <w:rPr>
          <w:rFonts w:hint="eastAsia" w:ascii="宋体" w:hAnsi="宋体" w:eastAsia="宋体" w:cs="宋体"/>
          <w:spacing w:val="0"/>
          <w:kern w:val="2"/>
          <w:sz w:val="21"/>
          <w:szCs w:val="21"/>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 xml:space="preserve">演示要求：展示时间5-10分钟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1.展示舆情监测系统的主要功能，包括但不限于信息监测、事件预警、专题分析、在线报告等。</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2.展示舆情监测系统的可视化项目和系统重要技术参数。</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3.说明系统全面、实时预警敏感信息的技术路线及解决方案。</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4.简要介绍舆情协助处置案例及做法。</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5.简要展示过往服务案例。</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四</w:t>
      </w:r>
      <w:r>
        <w:rPr>
          <w:rFonts w:hint="eastAsia" w:ascii="宋体" w:hAnsi="宋体" w:eastAsia="宋体" w:cs="宋体"/>
          <w:b/>
          <w:bCs/>
          <w:sz w:val="21"/>
          <w:szCs w:val="21"/>
        </w:rPr>
        <w:t>、服务要求：</w:t>
      </w:r>
    </w:p>
    <w:tbl>
      <w:tblPr>
        <w:tblStyle w:val="4"/>
        <w:tblW w:w="906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14"/>
        <w:gridCol w:w="774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质保期</w:t>
            </w:r>
          </w:p>
        </w:tc>
        <w:tc>
          <w:tcPr>
            <w:tcW w:w="7748" w:type="dxa"/>
            <w:tcBorders>
              <w:top w:val="single" w:color="auto" w:sz="4" w:space="0"/>
              <w:left w:val="single" w:color="auto" w:sz="4" w:space="0"/>
              <w:bottom w:val="single" w:color="auto" w:sz="4" w:space="0"/>
              <w:right w:val="single" w:color="auto" w:sz="4" w:space="0"/>
            </w:tcBorders>
            <w:vAlign w:val="center"/>
          </w:tcPr>
          <w:p>
            <w:pPr>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项目进场至验收合格。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服务</w:t>
            </w:r>
          </w:p>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标准</w:t>
            </w:r>
          </w:p>
        </w:tc>
        <w:tc>
          <w:tcPr>
            <w:tcW w:w="7748" w:type="dxa"/>
            <w:tcBorders>
              <w:top w:val="single" w:color="auto" w:sz="4" w:space="0"/>
              <w:left w:val="single" w:color="auto" w:sz="4" w:space="0"/>
              <w:bottom w:val="single" w:color="auto" w:sz="4" w:space="0"/>
              <w:right w:val="single" w:color="auto" w:sz="4" w:space="0"/>
            </w:tcBorders>
            <w:vAlign w:val="center"/>
          </w:tcPr>
          <w:p>
            <w:pPr>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成交供应商需根据采购人意见，对舆情监测系统设置、周报、专报进行修改。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验收</w:t>
            </w:r>
          </w:p>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标准</w:t>
            </w:r>
          </w:p>
        </w:tc>
        <w:tc>
          <w:tcPr>
            <w:tcW w:w="77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spacing w:val="0"/>
                <w:kern w:val="2"/>
                <w:sz w:val="21"/>
                <w:szCs w:val="21"/>
                <w:lang w:val="en-US" w:eastAsia="zh-CN" w:bidi="ar-SA"/>
              </w:rPr>
              <w:t>.采购人根据本文件的采购要求和双方签署合同的服务要求，对成交供应商提供的服务进行验收。</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2.采购方对每一期周报和专报进行验收。舆情监测系统设置的验收时间为2021年11月30日。</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pacing w:val="0"/>
                <w:kern w:val="2"/>
                <w:sz w:val="21"/>
                <w:szCs w:val="21"/>
                <w:lang w:val="en-US" w:eastAsia="zh-CN" w:bidi="ar-SA"/>
              </w:rPr>
            </w:pPr>
            <w:r>
              <w:rPr>
                <w:rFonts w:hint="eastAsia" w:ascii="宋体" w:hAnsi="宋体" w:eastAsia="宋体" w:cs="宋体"/>
                <w:spacing w:val="0"/>
                <w:kern w:val="2"/>
                <w:sz w:val="21"/>
                <w:szCs w:val="21"/>
                <w:lang w:val="en-US" w:eastAsia="zh-CN" w:bidi="ar-SA"/>
              </w:rPr>
              <w:t>3.成交供应商在服务期间，需主动向采购方确认验收结果。每一期周报的验收确认时间为提交后48小时，每一期专报的验收确认时间为提交后72小时。</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pacing w:val="0"/>
                <w:kern w:val="2"/>
                <w:sz w:val="21"/>
                <w:szCs w:val="21"/>
                <w:lang w:val="en-US" w:eastAsia="zh-CN" w:bidi="ar-SA"/>
              </w:rPr>
              <w:t>4.成交供应商提供的舆情监测系统设置、周报、专报等服务内容的版权归之江实验室所有，不得另作他用，不得向第三方泄露。</w:t>
            </w:r>
          </w:p>
        </w:tc>
      </w:tr>
    </w:tbl>
    <w:p>
      <w:pPr>
        <w:pStyle w:val="3"/>
        <w:keepNext w:val="0"/>
        <w:keepLines w:val="0"/>
        <w:pageBreakBefore w:val="0"/>
        <w:widowControl w:val="0"/>
        <w:tabs>
          <w:tab w:val="left" w:pos="1155"/>
        </w:tabs>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lang w:val="en-US" w:eastAsia="zh-CN"/>
        </w:rPr>
      </w:pPr>
    </w:p>
    <w:p>
      <w:pPr>
        <w:pStyle w:val="3"/>
        <w:keepNext w:val="0"/>
        <w:keepLines w:val="0"/>
        <w:pageBreakBefore w:val="0"/>
        <w:widowControl w:val="0"/>
        <w:tabs>
          <w:tab w:val="left" w:pos="1155"/>
        </w:tabs>
        <w:kinsoku/>
        <w:wordWrap/>
        <w:overflowPunct/>
        <w:topLinePunct w:val="0"/>
        <w:autoSpaceDE/>
        <w:autoSpaceDN/>
        <w:bidi w:val="0"/>
        <w:adjustRightInd/>
        <w:snapToGrid/>
        <w:spacing w:line="360" w:lineRule="auto"/>
        <w:ind w:firstLine="219" w:firstLineChars="1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五</w:t>
      </w:r>
      <w:r>
        <w:rPr>
          <w:rFonts w:hint="eastAsia" w:ascii="宋体" w:hAnsi="宋体" w:eastAsia="宋体" w:cs="宋体"/>
          <w:b/>
          <w:bCs/>
          <w:sz w:val="21"/>
          <w:szCs w:val="21"/>
        </w:rPr>
        <w:t xml:space="preserve">、商务要求                </w:t>
      </w:r>
    </w:p>
    <w:p>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付款方式：</w:t>
      </w:r>
    </w:p>
    <w:p>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第一阶段：采购人与</w:t>
      </w:r>
      <w:r>
        <w:rPr>
          <w:rFonts w:hint="eastAsia" w:ascii="宋体" w:hAnsi="宋体" w:eastAsia="宋体" w:cs="宋体"/>
          <w:bCs/>
          <w:color w:val="000000" w:themeColor="text1"/>
          <w:sz w:val="21"/>
          <w:szCs w:val="21"/>
          <w14:textFill>
            <w14:solidFill>
              <w14:schemeClr w14:val="tx1"/>
            </w14:solidFill>
          </w14:textFill>
        </w:rPr>
        <w:t>成交供应商签订合同，且成交供应商向采购人交付正规发票的十五日内，采购人向成交供应商支付合同总价的50%。</w:t>
      </w:r>
    </w:p>
    <w:p>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第二阶段：成交供应商在2020年12月1日至2021年5月31日期间提供的全部服务经采购人验收合格之日起十五日内，成交供应商向采购人交付正规发票，采购人向成交供应商支付总价的40%。</w:t>
      </w:r>
    </w:p>
    <w:p>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第三阶段：成交供应商在2021年6月1日至2021年11月30日期间提供的服务经采购人验收合格之日起十五日内，成交供应商向采购人交付正规发票，采购人向成交供应商支付总价的10%。</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3CAA10"/>
    <w:multiLevelType w:val="singleLevel"/>
    <w:tmpl w:val="AA3CAA1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161AA0"/>
    <w:rsid w:val="15161AA0"/>
    <w:rsid w:val="427B4C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0"/>
    <w:rPr>
      <w:rFonts w:ascii="Times New Roman" w:hAnsi="Times New Roman" w:eastAsia="宋体" w:cs="Times New Roman"/>
      <w:spacing w:val="4"/>
      <w:sz w:val="24"/>
      <w:szCs w:val="24"/>
    </w:rPr>
  </w:style>
  <w:style w:type="paragraph" w:customStyle="1" w:styleId="6">
    <w:name w:val="Default"/>
    <w:next w:val="1"/>
    <w:qFormat/>
    <w:uiPriority w:val="0"/>
    <w:pPr>
      <w:widowControl w:val="0"/>
      <w:autoSpaceDE w:val="0"/>
      <w:autoSpaceDN w:val="0"/>
      <w:adjustRightInd w:val="0"/>
    </w:pPr>
    <w:rPr>
      <w:rFonts w:ascii="Arial" w:hAnsi="Arial" w:eastAsia="宋体" w:cs="Arial"/>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2020-11-09T07:47:00Z</dcterms:created>
  <dc:creator>kelulu</dc:creator>
  <cp:lastModifiedBy>kelulu</cp:lastModifiedBy>
  <dcterms:modified xsi:type="dcterms:W3CDTF">2020-11-09T08:45:36Z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