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480" w:lineRule="auto"/>
        <w:ind w:left="-540" w:leftChars="-257" w:right="-695" w:rightChars="-331" w:firstLine="270" w:firstLineChars="56"/>
        <w:jc w:val="center"/>
        <w:rPr>
          <w:rFonts w:eastAsia="黑体"/>
          <w:b/>
          <w:bCs/>
          <w:color w:val="000000"/>
          <w:sz w:val="48"/>
          <w:szCs w:val="44"/>
        </w:rPr>
      </w:pPr>
      <w:bookmarkStart w:id="0" w:name="_Toc322331139"/>
      <w:bookmarkStart w:id="1" w:name="_Toc322331218"/>
    </w:p>
    <w:p>
      <w:pPr>
        <w:spacing w:line="480" w:lineRule="auto"/>
        <w:ind w:left="-540" w:leftChars="-257" w:right="-695" w:rightChars="-331" w:firstLine="270" w:firstLineChars="56"/>
        <w:jc w:val="center"/>
        <w:rPr>
          <w:rFonts w:eastAsia="黑体"/>
          <w:b/>
          <w:bCs/>
          <w:color w:val="000000"/>
          <w:sz w:val="48"/>
          <w:szCs w:val="44"/>
        </w:rPr>
      </w:pPr>
    </w:p>
    <w:p>
      <w:pPr>
        <w:spacing w:line="480" w:lineRule="auto"/>
        <w:ind w:left="-540" w:leftChars="-257" w:right="-695" w:rightChars="-331" w:firstLine="270" w:firstLineChars="56"/>
        <w:jc w:val="center"/>
        <w:rPr>
          <w:rFonts w:eastAsia="黑体"/>
          <w:b/>
          <w:bCs/>
          <w:color w:val="000000"/>
          <w:sz w:val="48"/>
          <w:szCs w:val="44"/>
        </w:rPr>
      </w:pPr>
      <w:r>
        <w:rPr>
          <w:rFonts w:eastAsia="黑体"/>
          <w:b/>
          <w:bCs/>
          <w:color w:val="000000"/>
          <w:sz w:val="48"/>
          <w:szCs w:val="44"/>
        </w:rPr>
        <w:t>浙 江 大 学 单 一 来 源 谈 判</w:t>
      </w:r>
    </w:p>
    <w:p>
      <w:pPr>
        <w:spacing w:line="480" w:lineRule="auto"/>
        <w:ind w:left="-540" w:leftChars="-257" w:right="-695" w:rightChars="-331" w:firstLine="270" w:firstLineChars="56"/>
        <w:jc w:val="center"/>
        <w:rPr>
          <w:rFonts w:eastAsia="黑体"/>
          <w:b/>
          <w:bCs/>
          <w:color w:val="000000"/>
          <w:sz w:val="48"/>
          <w:szCs w:val="44"/>
        </w:rPr>
      </w:pPr>
    </w:p>
    <w:p>
      <w:pPr>
        <w:spacing w:line="480" w:lineRule="auto"/>
        <w:ind w:left="-540" w:leftChars="-257" w:right="-695" w:rightChars="-331" w:firstLine="270" w:firstLineChars="56"/>
        <w:jc w:val="center"/>
        <w:rPr>
          <w:rFonts w:eastAsia="仿宋_GB2312"/>
          <w:b/>
          <w:bCs/>
          <w:color w:val="000000"/>
          <w:sz w:val="48"/>
          <w:szCs w:val="44"/>
        </w:rPr>
      </w:pPr>
      <w:r>
        <w:rPr>
          <w:rFonts w:eastAsia="黑体"/>
          <w:b/>
          <w:bCs/>
          <w:color w:val="000000"/>
          <w:sz w:val="48"/>
          <w:szCs w:val="44"/>
        </w:rPr>
        <w:t>采 购 文 件</w:t>
      </w:r>
    </w:p>
    <w:p>
      <w:pPr>
        <w:tabs>
          <w:tab w:val="left" w:pos="5520"/>
        </w:tabs>
        <w:spacing w:line="400" w:lineRule="exact"/>
        <w:jc w:val="left"/>
        <w:rPr>
          <w:rFonts w:eastAsia="仿宋_GB2312"/>
          <w:color w:val="FF0000"/>
          <w:sz w:val="30"/>
          <w:szCs w:val="30"/>
        </w:rPr>
      </w:pPr>
    </w:p>
    <w:p>
      <w:pPr>
        <w:tabs>
          <w:tab w:val="left" w:pos="5520"/>
        </w:tabs>
        <w:spacing w:line="400" w:lineRule="exact"/>
        <w:jc w:val="left"/>
        <w:rPr>
          <w:rFonts w:eastAsia="仿宋_GB2312"/>
          <w:color w:val="FF0000"/>
          <w:sz w:val="30"/>
          <w:szCs w:val="30"/>
        </w:rPr>
      </w:pPr>
    </w:p>
    <w:p>
      <w:pPr>
        <w:spacing w:line="360" w:lineRule="auto"/>
        <w:jc w:val="center"/>
      </w:pPr>
    </w:p>
    <w:p>
      <w:pPr>
        <w:spacing w:line="360" w:lineRule="auto"/>
        <w:jc w:val="center"/>
      </w:pPr>
    </w:p>
    <w:p>
      <w:pPr>
        <w:spacing w:line="360" w:lineRule="auto"/>
        <w:jc w:val="center"/>
      </w:pPr>
    </w:p>
    <w:p>
      <w:pPr>
        <w:spacing w:line="360" w:lineRule="auto"/>
        <w:jc w:val="center"/>
      </w:pPr>
    </w:p>
    <w:p>
      <w:pPr>
        <w:spacing w:line="360" w:lineRule="auto"/>
        <w:jc w:val="center"/>
      </w:pPr>
    </w:p>
    <w:p>
      <w:pPr>
        <w:spacing w:line="360" w:lineRule="auto"/>
      </w:pPr>
    </w:p>
    <w:p>
      <w:pPr>
        <w:tabs>
          <w:tab w:val="left" w:pos="420"/>
          <w:tab w:val="left" w:pos="7140"/>
          <w:tab w:val="left" w:pos="7455"/>
          <w:tab w:val="left" w:pos="7980"/>
        </w:tabs>
        <w:rPr>
          <w:rFonts w:eastAsia="楷体_GB2312"/>
          <w:b/>
          <w:bCs/>
          <w:color w:val="FF0000"/>
          <w:sz w:val="24"/>
          <w:szCs w:val="28"/>
          <w:u w:val="single"/>
        </w:rPr>
      </w:pPr>
      <w:r>
        <w:rPr>
          <w:rFonts w:eastAsia="楷体_GB2312"/>
          <w:b/>
          <w:bCs/>
          <w:sz w:val="28"/>
        </w:rPr>
        <w:t>项目名称：</w:t>
      </w:r>
      <w:r>
        <w:rPr>
          <w:rFonts w:eastAsia="楷体_GB2312"/>
          <w:b/>
          <w:bCs/>
          <w:color w:val="FF0000"/>
          <w:sz w:val="24"/>
          <w:u w:val="single"/>
        </w:rPr>
        <w:t xml:space="preserve">  </w:t>
      </w:r>
      <w:r>
        <w:rPr>
          <w:rFonts w:hint="eastAsia" w:eastAsia="楷体_GB2312"/>
          <w:b/>
          <w:bCs/>
          <w:color w:val="FF0000"/>
          <w:sz w:val="24"/>
          <w:u w:val="single"/>
        </w:rPr>
        <w:t xml:space="preserve">                    毫米波中频原型系统</w:t>
      </w:r>
      <w:r>
        <w:rPr>
          <w:rFonts w:hint="eastAsia" w:eastAsia="楷体_GB2312"/>
          <w:b/>
          <w:bCs/>
          <w:color w:val="FF0000"/>
          <w:sz w:val="28"/>
          <w:szCs w:val="28"/>
          <w:u w:val="single"/>
        </w:rPr>
        <w:t xml:space="preserve">     </w:t>
      </w:r>
      <w:r>
        <w:rPr>
          <w:rFonts w:eastAsia="楷体_GB2312"/>
          <w:b/>
          <w:bCs/>
          <w:color w:val="FF0000"/>
          <w:sz w:val="28"/>
          <w:szCs w:val="28"/>
          <w:u w:val="single"/>
        </w:rPr>
        <w:t xml:space="preserve">      </w:t>
      </w:r>
    </w:p>
    <w:p>
      <w:pPr>
        <w:tabs>
          <w:tab w:val="left" w:pos="420"/>
          <w:tab w:val="left" w:pos="7140"/>
          <w:tab w:val="left" w:pos="7455"/>
          <w:tab w:val="left" w:pos="7980"/>
        </w:tabs>
        <w:ind w:firstLine="138" w:firstLineChars="49"/>
        <w:rPr>
          <w:rFonts w:eastAsia="楷体_GB2312"/>
          <w:b/>
          <w:bCs/>
          <w:color w:val="FF0000"/>
          <w:sz w:val="28"/>
          <w:szCs w:val="28"/>
          <w:u w:val="single"/>
        </w:rPr>
      </w:pPr>
    </w:p>
    <w:p>
      <w:pPr>
        <w:spacing w:line="360" w:lineRule="auto"/>
        <w:rPr>
          <w:rFonts w:eastAsia="黑体"/>
        </w:rPr>
      </w:pPr>
      <w:r>
        <w:rPr>
          <w:rFonts w:eastAsia="楷体_GB2312"/>
          <w:b/>
          <w:bCs/>
          <w:sz w:val="28"/>
        </w:rPr>
        <w:t>项目编号：</w:t>
      </w:r>
      <w:r>
        <w:rPr>
          <w:rFonts w:eastAsia="楷体_GB2312"/>
          <w:b/>
          <w:bCs/>
          <w:color w:val="FF0000"/>
          <w:sz w:val="28"/>
          <w:u w:val="single"/>
        </w:rPr>
        <w:t xml:space="preserve">                </w:t>
      </w:r>
      <w:r>
        <w:rPr>
          <w:rFonts w:hint="eastAsia" w:eastAsia="楷体_GB2312"/>
          <w:b/>
          <w:bCs/>
          <w:color w:val="FF0000"/>
          <w:sz w:val="28"/>
          <w:u w:val="single"/>
        </w:rPr>
        <w:t>ZUPC-DY-HW-2020036</w:t>
      </w:r>
      <w:r>
        <w:rPr>
          <w:rFonts w:eastAsia="楷体_GB2312"/>
          <w:b/>
          <w:bCs/>
          <w:color w:val="FF0000"/>
          <w:sz w:val="28"/>
          <w:u w:val="single"/>
        </w:rPr>
        <w:t xml:space="preserve">   </w:t>
      </w:r>
      <w:r>
        <w:rPr>
          <w:rFonts w:hint="eastAsia" w:eastAsia="楷体_GB2312"/>
          <w:b/>
          <w:bCs/>
          <w:color w:val="FF0000"/>
          <w:sz w:val="28"/>
          <w:u w:val="single"/>
        </w:rPr>
        <w:t xml:space="preserve">  </w:t>
      </w:r>
      <w:r>
        <w:rPr>
          <w:rFonts w:eastAsia="楷体_GB2312"/>
          <w:b/>
          <w:bCs/>
          <w:color w:val="FF0000"/>
          <w:sz w:val="28"/>
          <w:u w:val="single"/>
        </w:rPr>
        <w:t xml:space="preserve">         </w:t>
      </w:r>
    </w:p>
    <w:p>
      <w:pPr>
        <w:tabs>
          <w:tab w:val="left" w:pos="7560"/>
          <w:tab w:val="left" w:pos="7980"/>
        </w:tabs>
        <w:spacing w:line="360" w:lineRule="auto"/>
        <w:jc w:val="center"/>
        <w:rPr>
          <w:rFonts w:eastAsia="黑体"/>
        </w:rPr>
      </w:pPr>
    </w:p>
    <w:p>
      <w:pPr>
        <w:spacing w:line="360" w:lineRule="auto"/>
        <w:jc w:val="center"/>
        <w:rPr>
          <w:rFonts w:eastAsia="黑体"/>
        </w:rPr>
      </w:pPr>
    </w:p>
    <w:p>
      <w:pPr>
        <w:spacing w:line="360" w:lineRule="auto"/>
        <w:jc w:val="center"/>
        <w:rPr>
          <w:rFonts w:eastAsia="黑体"/>
        </w:rPr>
      </w:pPr>
    </w:p>
    <w:p>
      <w:pPr>
        <w:spacing w:line="360" w:lineRule="auto"/>
        <w:jc w:val="center"/>
        <w:rPr>
          <w:rFonts w:eastAsia="黑体"/>
        </w:rPr>
      </w:pPr>
    </w:p>
    <w:p>
      <w:pPr>
        <w:spacing w:line="360" w:lineRule="auto"/>
        <w:jc w:val="center"/>
        <w:rPr>
          <w:rFonts w:eastAsia="黑体"/>
        </w:rPr>
      </w:pPr>
    </w:p>
    <w:p>
      <w:pPr>
        <w:spacing w:line="360" w:lineRule="auto"/>
        <w:jc w:val="center"/>
        <w:rPr>
          <w:rFonts w:eastAsia="楷体_GB2312"/>
          <w:color w:val="000000"/>
          <w:sz w:val="30"/>
          <w:szCs w:val="30"/>
        </w:rPr>
      </w:pPr>
      <w:r>
        <w:rPr>
          <w:rFonts w:eastAsia="楷体_GB2312"/>
          <w:color w:val="000000"/>
          <w:sz w:val="30"/>
          <w:szCs w:val="30"/>
        </w:rPr>
        <w:t>浙江大学采购中心</w:t>
      </w:r>
    </w:p>
    <w:p>
      <w:pPr>
        <w:jc w:val="center"/>
        <w:rPr>
          <w:rFonts w:eastAsia="楷体_GB2312"/>
          <w:color w:val="FF0000"/>
          <w:sz w:val="30"/>
          <w:szCs w:val="30"/>
        </w:rPr>
      </w:pPr>
      <w:r>
        <w:rPr>
          <w:rFonts w:eastAsia="楷体_GB2312"/>
          <w:color w:val="FF0000"/>
          <w:sz w:val="30"/>
          <w:szCs w:val="30"/>
        </w:rPr>
        <w:t xml:space="preserve"> </w:t>
      </w:r>
      <w:r>
        <w:rPr>
          <w:rFonts w:hint="eastAsia" w:eastAsia="楷体_GB2312"/>
          <w:color w:val="FF0000"/>
          <w:sz w:val="30"/>
          <w:szCs w:val="30"/>
        </w:rPr>
        <w:t>2020</w:t>
      </w:r>
      <w:r>
        <w:rPr>
          <w:rFonts w:eastAsia="楷体_GB2312"/>
          <w:color w:val="FF0000"/>
          <w:sz w:val="30"/>
          <w:szCs w:val="30"/>
        </w:rPr>
        <w:t>年</w:t>
      </w:r>
      <w:r>
        <w:rPr>
          <w:rFonts w:hint="eastAsia" w:eastAsia="楷体_GB2312"/>
          <w:color w:val="FF0000"/>
          <w:sz w:val="30"/>
          <w:szCs w:val="30"/>
        </w:rPr>
        <w:t>10月2</w:t>
      </w:r>
      <w:r>
        <w:rPr>
          <w:rFonts w:hint="eastAsia" w:eastAsia="楷体_GB2312"/>
          <w:color w:val="FF0000"/>
          <w:sz w:val="30"/>
          <w:szCs w:val="30"/>
          <w:lang w:val="en-US" w:eastAsia="zh-CN"/>
        </w:rPr>
        <w:t>6</w:t>
      </w:r>
      <w:r>
        <w:rPr>
          <w:rFonts w:eastAsia="楷体_GB2312"/>
          <w:color w:val="FF0000"/>
          <w:sz w:val="30"/>
          <w:szCs w:val="30"/>
        </w:rPr>
        <w:t>日</w:t>
      </w:r>
    </w:p>
    <w:p>
      <w:pPr>
        <w:jc w:val="center"/>
        <w:rPr>
          <w:rFonts w:eastAsia="楷体_GB2312"/>
          <w:color w:val="FF0000"/>
          <w:sz w:val="30"/>
          <w:szCs w:val="30"/>
        </w:rPr>
      </w:pPr>
    </w:p>
    <w:p>
      <w:pPr>
        <w:jc w:val="center"/>
        <w:rPr>
          <w:rFonts w:eastAsia="楷体_GB2312"/>
          <w:color w:val="FF0000"/>
          <w:sz w:val="30"/>
          <w:szCs w:val="30"/>
        </w:rPr>
      </w:pPr>
    </w:p>
    <w:p>
      <w:pPr>
        <w:jc w:val="center"/>
        <w:rPr>
          <w:rFonts w:eastAsia="楷体_GB2312"/>
          <w:color w:val="FF0000"/>
          <w:sz w:val="30"/>
          <w:szCs w:val="30"/>
        </w:rPr>
        <w:sectPr>
          <w:pgSz w:w="11906" w:h="16838"/>
          <w:pgMar w:top="1418" w:right="356" w:bottom="1304" w:left="1797" w:header="851" w:footer="992" w:gutter="0"/>
          <w:cols w:space="720" w:num="1"/>
          <w:docGrid w:type="lines" w:linePitch="312" w:charSpace="0"/>
        </w:sectPr>
      </w:pPr>
    </w:p>
    <w:p>
      <w:pPr>
        <w:spacing w:line="480" w:lineRule="auto"/>
        <w:jc w:val="center"/>
        <w:rPr>
          <w:rFonts w:eastAsia="黑体"/>
          <w:sz w:val="36"/>
        </w:rPr>
      </w:pPr>
    </w:p>
    <w:p>
      <w:pPr>
        <w:spacing w:line="480" w:lineRule="auto"/>
        <w:jc w:val="center"/>
        <w:rPr>
          <w:rFonts w:eastAsia="黑体"/>
          <w:sz w:val="44"/>
          <w:szCs w:val="44"/>
        </w:rPr>
      </w:pPr>
      <w:r>
        <w:rPr>
          <w:rFonts w:eastAsia="黑体"/>
          <w:sz w:val="44"/>
          <w:szCs w:val="44"/>
        </w:rPr>
        <w:t>采 购 文 件 目 录</w:t>
      </w:r>
    </w:p>
    <w:p>
      <w:pPr>
        <w:spacing w:line="480" w:lineRule="auto"/>
        <w:jc w:val="center"/>
        <w:rPr>
          <w:rFonts w:eastAsia="仿宋_GB2312"/>
          <w:sz w:val="32"/>
          <w:szCs w:val="32"/>
        </w:rPr>
      </w:pPr>
    </w:p>
    <w:p>
      <w:pPr>
        <w:spacing w:line="480" w:lineRule="auto"/>
        <w:jc w:val="center"/>
        <w:rPr>
          <w:rFonts w:eastAsia="楷体_GB2312"/>
          <w:sz w:val="36"/>
          <w:szCs w:val="36"/>
        </w:rPr>
      </w:pPr>
    </w:p>
    <w:p>
      <w:pPr>
        <w:spacing w:line="360" w:lineRule="auto"/>
        <w:jc w:val="center"/>
        <w:rPr>
          <w:rFonts w:eastAsia="楷体_GB2312"/>
          <w:sz w:val="36"/>
          <w:szCs w:val="36"/>
        </w:rPr>
      </w:pPr>
    </w:p>
    <w:p>
      <w:pPr>
        <w:pStyle w:val="57"/>
        <w:rPr>
          <w:rFonts w:eastAsia="楷体_GB2312"/>
          <w:sz w:val="36"/>
          <w:szCs w:val="36"/>
        </w:rPr>
      </w:pPr>
      <w:r>
        <w:rPr>
          <w:rFonts w:eastAsia="楷体_GB2312"/>
          <w:sz w:val="36"/>
          <w:szCs w:val="36"/>
        </w:rPr>
        <w:fldChar w:fldCharType="begin"/>
      </w:r>
      <w:r>
        <w:rPr>
          <w:rFonts w:eastAsia="楷体_GB2312"/>
          <w:sz w:val="36"/>
          <w:szCs w:val="36"/>
        </w:rPr>
        <w:instrText xml:space="preserve"> TOC \o "1-3" \h \z \u </w:instrText>
      </w:r>
      <w:r>
        <w:rPr>
          <w:rFonts w:eastAsia="楷体_GB2312"/>
          <w:sz w:val="36"/>
          <w:szCs w:val="36"/>
        </w:rPr>
        <w:fldChar w:fldCharType="separate"/>
      </w:r>
      <w:r>
        <w:fldChar w:fldCharType="begin"/>
      </w:r>
      <w:r>
        <w:instrText xml:space="preserve"> HYPERLINK \l "_Toc39049587" </w:instrText>
      </w:r>
      <w:r>
        <w:fldChar w:fldCharType="separate"/>
      </w:r>
      <w:r>
        <w:rPr>
          <w:rStyle w:val="31"/>
          <w:rFonts w:eastAsia="楷体_GB2312"/>
          <w:sz w:val="36"/>
          <w:szCs w:val="36"/>
        </w:rPr>
        <w:t>一、单 一 来 源 谈 判 采 购 公 告</w:t>
      </w:r>
      <w:r>
        <w:rPr>
          <w:rFonts w:eastAsia="楷体_GB2312"/>
          <w:sz w:val="36"/>
          <w:szCs w:val="36"/>
        </w:rPr>
        <w:tab/>
      </w:r>
      <w:r>
        <w:rPr>
          <w:rFonts w:eastAsia="楷体_GB2312"/>
          <w:sz w:val="36"/>
          <w:szCs w:val="36"/>
        </w:rPr>
        <w:fldChar w:fldCharType="begin"/>
      </w:r>
      <w:r>
        <w:rPr>
          <w:rFonts w:eastAsia="楷体_GB2312"/>
          <w:sz w:val="36"/>
          <w:szCs w:val="36"/>
        </w:rPr>
        <w:instrText xml:space="preserve"> PAGEREF _Toc39049587 \h </w:instrText>
      </w:r>
      <w:r>
        <w:rPr>
          <w:rFonts w:eastAsia="楷体_GB2312"/>
          <w:sz w:val="36"/>
          <w:szCs w:val="36"/>
        </w:rPr>
        <w:fldChar w:fldCharType="separate"/>
      </w:r>
      <w:r>
        <w:rPr>
          <w:rFonts w:eastAsia="楷体_GB2312"/>
          <w:sz w:val="36"/>
          <w:szCs w:val="36"/>
        </w:rPr>
        <w:t>1</w:t>
      </w:r>
      <w:r>
        <w:rPr>
          <w:rFonts w:eastAsia="楷体_GB2312"/>
          <w:sz w:val="36"/>
          <w:szCs w:val="36"/>
        </w:rPr>
        <w:fldChar w:fldCharType="end"/>
      </w:r>
      <w:r>
        <w:rPr>
          <w:rFonts w:eastAsia="楷体_GB2312"/>
          <w:sz w:val="36"/>
          <w:szCs w:val="36"/>
        </w:rPr>
        <w:fldChar w:fldCharType="end"/>
      </w:r>
    </w:p>
    <w:p>
      <w:pPr>
        <w:pStyle w:val="57"/>
        <w:rPr>
          <w:rFonts w:eastAsia="楷体_GB2312"/>
          <w:sz w:val="36"/>
          <w:szCs w:val="36"/>
        </w:rPr>
      </w:pPr>
      <w:r>
        <w:fldChar w:fldCharType="begin"/>
      </w:r>
      <w:r>
        <w:instrText xml:space="preserve"> HYPERLINK \l "_Toc39049588" </w:instrText>
      </w:r>
      <w:r>
        <w:fldChar w:fldCharType="separate"/>
      </w:r>
      <w:r>
        <w:rPr>
          <w:rStyle w:val="31"/>
          <w:rFonts w:eastAsia="楷体_GB2312"/>
          <w:sz w:val="36"/>
          <w:szCs w:val="36"/>
        </w:rPr>
        <w:t>二、单 一 来 源 谈 判 须 知</w:t>
      </w:r>
      <w:r>
        <w:rPr>
          <w:rFonts w:eastAsia="楷体_GB2312"/>
          <w:sz w:val="36"/>
          <w:szCs w:val="36"/>
        </w:rPr>
        <w:tab/>
      </w:r>
      <w:r>
        <w:rPr>
          <w:rFonts w:eastAsia="楷体_GB2312"/>
          <w:sz w:val="36"/>
          <w:szCs w:val="36"/>
        </w:rPr>
        <w:fldChar w:fldCharType="begin"/>
      </w:r>
      <w:r>
        <w:rPr>
          <w:rFonts w:eastAsia="楷体_GB2312"/>
          <w:sz w:val="36"/>
          <w:szCs w:val="36"/>
        </w:rPr>
        <w:instrText xml:space="preserve"> PAGEREF _Toc39049588 \h </w:instrText>
      </w:r>
      <w:r>
        <w:rPr>
          <w:rFonts w:eastAsia="楷体_GB2312"/>
          <w:sz w:val="36"/>
          <w:szCs w:val="36"/>
        </w:rPr>
        <w:fldChar w:fldCharType="separate"/>
      </w:r>
      <w:r>
        <w:rPr>
          <w:rFonts w:eastAsia="楷体_GB2312"/>
          <w:sz w:val="36"/>
          <w:szCs w:val="36"/>
        </w:rPr>
        <w:t>5</w:t>
      </w:r>
      <w:r>
        <w:rPr>
          <w:rFonts w:eastAsia="楷体_GB2312"/>
          <w:sz w:val="36"/>
          <w:szCs w:val="36"/>
        </w:rPr>
        <w:fldChar w:fldCharType="end"/>
      </w:r>
      <w:r>
        <w:rPr>
          <w:rFonts w:eastAsia="楷体_GB2312"/>
          <w:sz w:val="36"/>
          <w:szCs w:val="36"/>
        </w:rPr>
        <w:fldChar w:fldCharType="end"/>
      </w:r>
    </w:p>
    <w:p>
      <w:pPr>
        <w:pStyle w:val="57"/>
        <w:rPr>
          <w:rFonts w:eastAsia="楷体_GB2312"/>
          <w:sz w:val="36"/>
          <w:szCs w:val="36"/>
        </w:rPr>
      </w:pPr>
      <w:r>
        <w:fldChar w:fldCharType="begin"/>
      </w:r>
      <w:r>
        <w:instrText xml:space="preserve"> HYPERLINK \l "_Toc39049589" </w:instrText>
      </w:r>
      <w:r>
        <w:fldChar w:fldCharType="separate"/>
      </w:r>
      <w:r>
        <w:rPr>
          <w:rStyle w:val="31"/>
          <w:rFonts w:eastAsia="楷体_GB2312"/>
          <w:sz w:val="36"/>
          <w:szCs w:val="36"/>
        </w:rPr>
        <w:t>三、附 件</w:t>
      </w:r>
      <w:bookmarkStart w:id="2" w:name="_Hlt42587512"/>
      <w:bookmarkStart w:id="3" w:name="_Hlt42587513"/>
      <w:r>
        <w:rPr>
          <w:rStyle w:val="31"/>
          <w:rFonts w:eastAsia="楷体_GB2312"/>
          <w:sz w:val="36"/>
          <w:szCs w:val="36"/>
        </w:rPr>
        <w:t>：</w:t>
      </w:r>
      <w:bookmarkEnd w:id="2"/>
      <w:bookmarkEnd w:id="3"/>
      <w:r>
        <w:rPr>
          <w:rStyle w:val="31"/>
          <w:rFonts w:eastAsia="楷体_GB2312"/>
          <w:sz w:val="36"/>
          <w:szCs w:val="36"/>
        </w:rPr>
        <w:t>设 备 数 量 和 技 术 要 求</w:t>
      </w:r>
      <w:r>
        <w:rPr>
          <w:rFonts w:eastAsia="楷体_GB2312"/>
          <w:sz w:val="36"/>
          <w:szCs w:val="36"/>
        </w:rPr>
        <w:tab/>
      </w:r>
      <w:r>
        <w:rPr>
          <w:rFonts w:eastAsia="楷体_GB2312"/>
          <w:sz w:val="36"/>
          <w:szCs w:val="36"/>
        </w:rPr>
        <w:fldChar w:fldCharType="begin"/>
      </w:r>
      <w:r>
        <w:rPr>
          <w:rFonts w:eastAsia="楷体_GB2312"/>
          <w:sz w:val="36"/>
          <w:szCs w:val="36"/>
        </w:rPr>
        <w:instrText xml:space="preserve"> PAGEREF _Toc39049589 \h </w:instrText>
      </w:r>
      <w:r>
        <w:rPr>
          <w:rFonts w:eastAsia="楷体_GB2312"/>
          <w:sz w:val="36"/>
          <w:szCs w:val="36"/>
        </w:rPr>
        <w:fldChar w:fldCharType="separate"/>
      </w:r>
      <w:r>
        <w:rPr>
          <w:rFonts w:eastAsia="楷体_GB2312"/>
          <w:sz w:val="36"/>
          <w:szCs w:val="36"/>
        </w:rPr>
        <w:t>11</w:t>
      </w:r>
      <w:r>
        <w:rPr>
          <w:rFonts w:eastAsia="楷体_GB2312"/>
          <w:sz w:val="36"/>
          <w:szCs w:val="36"/>
        </w:rPr>
        <w:fldChar w:fldCharType="end"/>
      </w:r>
      <w:r>
        <w:rPr>
          <w:rFonts w:eastAsia="楷体_GB2312"/>
          <w:sz w:val="36"/>
          <w:szCs w:val="36"/>
        </w:rPr>
        <w:fldChar w:fldCharType="end"/>
      </w:r>
    </w:p>
    <w:p>
      <w:pPr>
        <w:pStyle w:val="57"/>
        <w:rPr>
          <w:rFonts w:eastAsia="楷体_GB2312"/>
          <w:sz w:val="36"/>
          <w:szCs w:val="36"/>
        </w:rPr>
      </w:pPr>
      <w:r>
        <w:fldChar w:fldCharType="begin"/>
      </w:r>
      <w:r>
        <w:instrText xml:space="preserve"> HYPERLINK \l "_Toc39049590" </w:instrText>
      </w:r>
      <w:r>
        <w:fldChar w:fldCharType="separate"/>
      </w:r>
      <w:r>
        <w:rPr>
          <w:rStyle w:val="31"/>
          <w:rFonts w:eastAsia="楷体_GB2312"/>
          <w:sz w:val="36"/>
          <w:szCs w:val="36"/>
        </w:rPr>
        <w:t>四、单 一 来 源 谈 判 评 审 办 法</w:t>
      </w:r>
      <w:r>
        <w:rPr>
          <w:rFonts w:eastAsia="楷体_GB2312"/>
          <w:sz w:val="36"/>
          <w:szCs w:val="36"/>
        </w:rPr>
        <w:tab/>
      </w:r>
      <w:r>
        <w:rPr>
          <w:rFonts w:eastAsia="楷体_GB2312"/>
          <w:sz w:val="36"/>
          <w:szCs w:val="36"/>
        </w:rPr>
        <w:fldChar w:fldCharType="begin"/>
      </w:r>
      <w:r>
        <w:rPr>
          <w:rFonts w:eastAsia="楷体_GB2312"/>
          <w:sz w:val="36"/>
          <w:szCs w:val="36"/>
        </w:rPr>
        <w:instrText xml:space="preserve"> PAGEREF _Toc39049590 \h </w:instrText>
      </w:r>
      <w:r>
        <w:rPr>
          <w:rFonts w:eastAsia="楷体_GB2312"/>
          <w:sz w:val="36"/>
          <w:szCs w:val="36"/>
        </w:rPr>
        <w:fldChar w:fldCharType="separate"/>
      </w:r>
      <w:r>
        <w:rPr>
          <w:rFonts w:eastAsia="楷体_GB2312"/>
          <w:sz w:val="36"/>
          <w:szCs w:val="36"/>
        </w:rPr>
        <w:t>20</w:t>
      </w:r>
      <w:r>
        <w:rPr>
          <w:rFonts w:eastAsia="楷体_GB2312"/>
          <w:sz w:val="36"/>
          <w:szCs w:val="36"/>
        </w:rPr>
        <w:fldChar w:fldCharType="end"/>
      </w:r>
      <w:r>
        <w:rPr>
          <w:rFonts w:eastAsia="楷体_GB2312"/>
          <w:sz w:val="36"/>
          <w:szCs w:val="36"/>
        </w:rPr>
        <w:fldChar w:fldCharType="end"/>
      </w:r>
    </w:p>
    <w:p>
      <w:pPr>
        <w:pStyle w:val="57"/>
        <w:rPr>
          <w:rFonts w:eastAsia="楷体_GB2312"/>
          <w:sz w:val="36"/>
          <w:szCs w:val="36"/>
        </w:rPr>
      </w:pPr>
      <w:r>
        <w:fldChar w:fldCharType="begin"/>
      </w:r>
      <w:r>
        <w:instrText xml:space="preserve"> HYPERLINK \l "_Toc39049591" </w:instrText>
      </w:r>
      <w:r>
        <w:fldChar w:fldCharType="separate"/>
      </w:r>
      <w:r>
        <w:rPr>
          <w:rStyle w:val="31"/>
          <w:rFonts w:eastAsia="楷体_GB2312"/>
          <w:sz w:val="36"/>
          <w:szCs w:val="36"/>
        </w:rPr>
        <w:t>五、谈 判 要 点</w:t>
      </w:r>
      <w:r>
        <w:rPr>
          <w:rFonts w:eastAsia="楷体_GB2312"/>
          <w:sz w:val="36"/>
          <w:szCs w:val="36"/>
        </w:rPr>
        <w:tab/>
      </w:r>
      <w:r>
        <w:rPr>
          <w:rFonts w:eastAsia="楷体_GB2312"/>
          <w:sz w:val="36"/>
          <w:szCs w:val="36"/>
        </w:rPr>
        <w:fldChar w:fldCharType="begin"/>
      </w:r>
      <w:r>
        <w:rPr>
          <w:rFonts w:eastAsia="楷体_GB2312"/>
          <w:sz w:val="36"/>
          <w:szCs w:val="36"/>
        </w:rPr>
        <w:instrText xml:space="preserve"> PAGEREF _Toc39049591 \h </w:instrText>
      </w:r>
      <w:r>
        <w:rPr>
          <w:rFonts w:eastAsia="楷体_GB2312"/>
          <w:sz w:val="36"/>
          <w:szCs w:val="36"/>
        </w:rPr>
        <w:fldChar w:fldCharType="separate"/>
      </w:r>
      <w:r>
        <w:rPr>
          <w:rFonts w:eastAsia="楷体_GB2312"/>
          <w:sz w:val="36"/>
          <w:szCs w:val="36"/>
        </w:rPr>
        <w:t>22</w:t>
      </w:r>
      <w:r>
        <w:rPr>
          <w:rFonts w:eastAsia="楷体_GB2312"/>
          <w:sz w:val="36"/>
          <w:szCs w:val="36"/>
        </w:rPr>
        <w:fldChar w:fldCharType="end"/>
      </w:r>
      <w:r>
        <w:rPr>
          <w:rFonts w:eastAsia="楷体_GB2312"/>
          <w:sz w:val="36"/>
          <w:szCs w:val="36"/>
        </w:rPr>
        <w:fldChar w:fldCharType="end"/>
      </w:r>
    </w:p>
    <w:p>
      <w:pPr>
        <w:pStyle w:val="57"/>
        <w:rPr>
          <w:rFonts w:eastAsia="楷体_GB2312"/>
          <w:sz w:val="36"/>
          <w:szCs w:val="36"/>
        </w:rPr>
      </w:pPr>
      <w:r>
        <w:fldChar w:fldCharType="begin"/>
      </w:r>
      <w:r>
        <w:instrText xml:space="preserve"> HYPERLINK \l "_Toc39049592" </w:instrText>
      </w:r>
      <w:r>
        <w:fldChar w:fldCharType="separate"/>
      </w:r>
      <w:r>
        <w:rPr>
          <w:rStyle w:val="31"/>
          <w:rFonts w:eastAsia="楷体_GB2312"/>
          <w:sz w:val="36"/>
          <w:szCs w:val="36"/>
        </w:rPr>
        <w:t>六、合 同 范 本</w:t>
      </w:r>
      <w:r>
        <w:rPr>
          <w:rFonts w:eastAsia="楷体_GB2312"/>
          <w:sz w:val="36"/>
          <w:szCs w:val="36"/>
        </w:rPr>
        <w:tab/>
      </w:r>
      <w:r>
        <w:rPr>
          <w:rFonts w:eastAsia="楷体_GB2312"/>
          <w:sz w:val="36"/>
          <w:szCs w:val="36"/>
        </w:rPr>
        <w:fldChar w:fldCharType="begin"/>
      </w:r>
      <w:r>
        <w:rPr>
          <w:rFonts w:eastAsia="楷体_GB2312"/>
          <w:sz w:val="36"/>
          <w:szCs w:val="36"/>
        </w:rPr>
        <w:instrText xml:space="preserve"> PAGEREF _Toc39049592 \h </w:instrText>
      </w:r>
      <w:r>
        <w:rPr>
          <w:rFonts w:eastAsia="楷体_GB2312"/>
          <w:sz w:val="36"/>
          <w:szCs w:val="36"/>
        </w:rPr>
        <w:fldChar w:fldCharType="separate"/>
      </w:r>
      <w:r>
        <w:rPr>
          <w:rFonts w:eastAsia="楷体_GB2312"/>
          <w:sz w:val="36"/>
          <w:szCs w:val="36"/>
        </w:rPr>
        <w:t>23</w:t>
      </w:r>
      <w:r>
        <w:rPr>
          <w:rFonts w:eastAsia="楷体_GB2312"/>
          <w:sz w:val="36"/>
          <w:szCs w:val="36"/>
        </w:rPr>
        <w:fldChar w:fldCharType="end"/>
      </w:r>
      <w:r>
        <w:rPr>
          <w:rFonts w:eastAsia="楷体_GB2312"/>
          <w:sz w:val="36"/>
          <w:szCs w:val="36"/>
        </w:rPr>
        <w:fldChar w:fldCharType="end"/>
      </w:r>
    </w:p>
    <w:p>
      <w:pPr>
        <w:spacing w:line="360" w:lineRule="auto"/>
        <w:jc w:val="center"/>
        <w:rPr>
          <w:rFonts w:eastAsia="黑体"/>
          <w:sz w:val="36"/>
        </w:rPr>
      </w:pPr>
      <w:r>
        <w:rPr>
          <w:rFonts w:eastAsia="楷体_GB2312"/>
          <w:sz w:val="36"/>
          <w:szCs w:val="36"/>
        </w:rPr>
        <w:fldChar w:fldCharType="end"/>
      </w:r>
    </w:p>
    <w:p>
      <w:pPr>
        <w:spacing w:line="480" w:lineRule="auto"/>
        <w:jc w:val="center"/>
        <w:rPr>
          <w:rFonts w:eastAsia="黑体"/>
          <w:sz w:val="36"/>
        </w:rPr>
      </w:pPr>
      <w:bookmarkStart w:id="26" w:name="_GoBack"/>
      <w:bookmarkEnd w:id="26"/>
    </w:p>
    <w:p>
      <w:pPr>
        <w:spacing w:line="480" w:lineRule="auto"/>
        <w:jc w:val="center"/>
        <w:rPr>
          <w:rFonts w:eastAsia="黑体"/>
          <w:sz w:val="36"/>
        </w:rPr>
      </w:pPr>
    </w:p>
    <w:p>
      <w:pPr>
        <w:spacing w:line="480" w:lineRule="auto"/>
        <w:jc w:val="center"/>
        <w:rPr>
          <w:rFonts w:eastAsia="黑体"/>
          <w:sz w:val="36"/>
        </w:rPr>
      </w:pPr>
    </w:p>
    <w:p>
      <w:pPr>
        <w:spacing w:line="480" w:lineRule="auto"/>
        <w:jc w:val="center"/>
        <w:rPr>
          <w:rFonts w:eastAsia="黑体"/>
          <w:sz w:val="36"/>
        </w:rPr>
      </w:pPr>
    </w:p>
    <w:p>
      <w:pPr>
        <w:spacing w:line="480" w:lineRule="auto"/>
        <w:jc w:val="center"/>
        <w:rPr>
          <w:rFonts w:eastAsia="黑体"/>
          <w:sz w:val="36"/>
        </w:rPr>
        <w:sectPr>
          <w:headerReference r:id="rId3" w:type="default"/>
          <w:footerReference r:id="rId4" w:type="default"/>
          <w:pgSz w:w="11906" w:h="16838"/>
          <w:pgMar w:top="907" w:right="1418" w:bottom="567" w:left="1418" w:header="851" w:footer="992" w:gutter="0"/>
          <w:pgNumType w:start="1"/>
          <w:cols w:space="720" w:num="1"/>
          <w:docGrid w:type="linesAndChars" w:linePitch="312" w:charSpace="0"/>
        </w:sectPr>
      </w:pPr>
    </w:p>
    <w:p>
      <w:pPr>
        <w:spacing w:line="480" w:lineRule="auto"/>
        <w:jc w:val="center"/>
        <w:rPr>
          <w:rFonts w:eastAsia="黑体"/>
          <w:sz w:val="36"/>
        </w:rPr>
      </w:pPr>
    </w:p>
    <w:p>
      <w:pPr>
        <w:pStyle w:val="7"/>
        <w:sectPr>
          <w:pgSz w:w="11906" w:h="16838"/>
          <w:pgMar w:top="907" w:right="1418" w:bottom="567" w:left="1418" w:header="851" w:footer="992" w:gutter="0"/>
          <w:pgNumType w:start="1"/>
          <w:cols w:space="720" w:num="1"/>
          <w:docGrid w:type="linesAndChars" w:linePitch="312" w:charSpace="0"/>
        </w:sectPr>
      </w:pPr>
    </w:p>
    <w:p>
      <w:pPr>
        <w:pStyle w:val="6"/>
        <w:numPr>
          <w:ilvl w:val="0"/>
          <w:numId w:val="0"/>
        </w:numPr>
        <w:spacing w:before="100" w:beforeAutospacing="1" w:after="100" w:afterAutospacing="1" w:line="360" w:lineRule="auto"/>
        <w:jc w:val="center"/>
        <w:rPr>
          <w:rFonts w:ascii="Times New Roman"/>
          <w:sz w:val="36"/>
        </w:rPr>
      </w:pPr>
      <w:bookmarkStart w:id="4" w:name="_Toc39049587"/>
      <w:r>
        <w:rPr>
          <w:rFonts w:ascii="Times New Roman"/>
          <w:sz w:val="36"/>
        </w:rPr>
        <w:t>一、单 一 来 源 谈 判 采 购 公 告</w:t>
      </w:r>
      <w:bookmarkEnd w:id="0"/>
      <w:bookmarkEnd w:id="1"/>
      <w:bookmarkEnd w:id="4"/>
      <w:bookmarkStart w:id="5" w:name="_竞_争_性_1"/>
      <w:bookmarkEnd w:id="5"/>
      <w:bookmarkStart w:id="6" w:name="_竞_争_性_2"/>
      <w:bookmarkEnd w:id="6"/>
    </w:p>
    <w:p>
      <w:pPr>
        <w:spacing w:line="360" w:lineRule="auto"/>
        <w:rPr>
          <w:rFonts w:eastAsia="楷体_GB2312"/>
          <w:sz w:val="24"/>
        </w:rPr>
      </w:pPr>
    </w:p>
    <w:p>
      <w:pPr>
        <w:pBdr>
          <w:top w:val="single" w:color="auto" w:sz="4" w:space="1"/>
          <w:left w:val="single" w:color="auto" w:sz="4" w:space="4"/>
          <w:bottom w:val="single" w:color="auto" w:sz="4" w:space="1"/>
          <w:right w:val="single" w:color="auto" w:sz="4" w:space="4"/>
        </w:pBdr>
        <w:spacing w:line="360" w:lineRule="auto"/>
        <w:ind w:firstLine="480" w:firstLineChars="200"/>
        <w:rPr>
          <w:rFonts w:eastAsia="楷体_GB2312"/>
          <w:sz w:val="24"/>
        </w:rPr>
      </w:pPr>
      <w:r>
        <w:rPr>
          <w:rFonts w:eastAsia="楷体_GB2312"/>
          <w:sz w:val="24"/>
        </w:rPr>
        <w:t>项目概况</w:t>
      </w:r>
    </w:p>
    <w:p>
      <w:pPr>
        <w:pBdr>
          <w:top w:val="single" w:color="auto" w:sz="4" w:space="1"/>
          <w:left w:val="single" w:color="auto" w:sz="4" w:space="4"/>
          <w:bottom w:val="single" w:color="auto" w:sz="4" w:space="1"/>
          <w:right w:val="single" w:color="auto" w:sz="4" w:space="4"/>
        </w:pBdr>
        <w:spacing w:line="360" w:lineRule="auto"/>
        <w:ind w:firstLine="480" w:firstLineChars="200"/>
        <w:rPr>
          <w:rFonts w:eastAsia="楷体_GB2312"/>
          <w:sz w:val="24"/>
        </w:rPr>
      </w:pPr>
      <w:r>
        <w:rPr>
          <w:rFonts w:eastAsia="楷体_GB2312"/>
          <w:sz w:val="24"/>
          <w:u w:val="single"/>
        </w:rPr>
        <w:t>《</w:t>
      </w:r>
      <w:r>
        <w:rPr>
          <w:rFonts w:hint="eastAsia" w:eastAsia="楷体_GB2312"/>
          <w:sz w:val="24"/>
          <w:u w:val="single"/>
        </w:rPr>
        <w:t>毫米波中频原型系统</w:t>
      </w:r>
      <w:r>
        <w:rPr>
          <w:rFonts w:eastAsia="楷体_GB2312"/>
          <w:sz w:val="24"/>
          <w:u w:val="single"/>
        </w:rPr>
        <w:t>》</w:t>
      </w:r>
      <w:r>
        <w:rPr>
          <w:rFonts w:eastAsia="楷体_GB2312"/>
          <w:sz w:val="24"/>
        </w:rPr>
        <w:t>采购项目的潜在供应商应通过微信报名以获取采购文件，并于</w:t>
      </w:r>
      <w:r>
        <w:rPr>
          <w:rFonts w:eastAsia="楷体_GB2312"/>
          <w:sz w:val="24"/>
          <w:u w:val="single"/>
        </w:rPr>
        <w:t xml:space="preserve">  2020  </w:t>
      </w:r>
      <w:r>
        <w:rPr>
          <w:rFonts w:eastAsia="楷体_GB2312"/>
          <w:bCs/>
          <w:sz w:val="24"/>
          <w:u w:val="single"/>
        </w:rPr>
        <w:t xml:space="preserve">年 </w:t>
      </w:r>
      <w:r>
        <w:rPr>
          <w:rFonts w:hint="eastAsia" w:eastAsia="楷体_GB2312"/>
          <w:bCs/>
          <w:sz w:val="24"/>
          <w:u w:val="single"/>
        </w:rPr>
        <w:t>11</w:t>
      </w:r>
      <w:r>
        <w:rPr>
          <w:rFonts w:eastAsia="楷体_GB2312"/>
          <w:bCs/>
          <w:sz w:val="24"/>
          <w:u w:val="single"/>
        </w:rPr>
        <w:t>月</w:t>
      </w:r>
      <w:r>
        <w:rPr>
          <w:rFonts w:hint="eastAsia" w:eastAsia="楷体_GB2312"/>
          <w:bCs/>
          <w:sz w:val="24"/>
          <w:u w:val="single"/>
        </w:rPr>
        <w:t>3</w:t>
      </w:r>
      <w:r>
        <w:rPr>
          <w:rFonts w:eastAsia="楷体_GB2312"/>
          <w:bCs/>
          <w:sz w:val="24"/>
          <w:u w:val="single"/>
        </w:rPr>
        <w:t xml:space="preserve">日 </w:t>
      </w:r>
      <w:r>
        <w:rPr>
          <w:rFonts w:hint="eastAsia" w:eastAsia="楷体_GB2312"/>
          <w:bCs/>
          <w:sz w:val="24"/>
          <w:u w:val="single"/>
        </w:rPr>
        <w:t>13</w:t>
      </w:r>
      <w:r>
        <w:rPr>
          <w:rFonts w:eastAsia="楷体_GB2312"/>
          <w:bCs/>
          <w:sz w:val="24"/>
          <w:u w:val="single"/>
        </w:rPr>
        <w:t xml:space="preserve">点 </w:t>
      </w:r>
      <w:r>
        <w:rPr>
          <w:rFonts w:hint="eastAsia" w:eastAsia="楷体_GB2312"/>
          <w:bCs/>
          <w:sz w:val="24"/>
          <w:u w:val="single"/>
        </w:rPr>
        <w:t>30</w:t>
      </w:r>
      <w:r>
        <w:rPr>
          <w:rFonts w:eastAsia="楷体_GB2312"/>
          <w:bCs/>
          <w:sz w:val="24"/>
          <w:u w:val="single"/>
        </w:rPr>
        <w:t xml:space="preserve"> 分</w:t>
      </w:r>
      <w:r>
        <w:rPr>
          <w:rFonts w:eastAsia="楷体_GB2312"/>
          <w:bCs/>
          <w:sz w:val="24"/>
        </w:rPr>
        <w:t>前提交响应文件</w:t>
      </w:r>
      <w:r>
        <w:rPr>
          <w:rFonts w:eastAsia="楷体_GB2312"/>
          <w:sz w:val="24"/>
        </w:rPr>
        <w:t>。</w:t>
      </w:r>
    </w:p>
    <w:p>
      <w:pPr>
        <w:spacing w:line="360" w:lineRule="auto"/>
        <w:rPr>
          <w:rFonts w:eastAsia="楷体_GB2312"/>
          <w:sz w:val="24"/>
        </w:rPr>
      </w:pPr>
    </w:p>
    <w:p>
      <w:pPr>
        <w:pStyle w:val="5"/>
        <w:numPr>
          <w:ilvl w:val="0"/>
          <w:numId w:val="0"/>
        </w:numPr>
        <w:spacing w:line="360" w:lineRule="auto"/>
        <w:rPr>
          <w:rFonts w:ascii="Times New Roman" w:hAnsi="Times New Roman" w:eastAsia="楷体_GB2312"/>
          <w:b w:val="0"/>
          <w:sz w:val="24"/>
          <w:szCs w:val="24"/>
        </w:rPr>
      </w:pPr>
      <w:r>
        <w:rPr>
          <w:rFonts w:ascii="Times New Roman" w:hAnsi="Times New Roman" w:eastAsia="楷体_GB2312"/>
          <w:b w:val="0"/>
          <w:sz w:val="24"/>
          <w:szCs w:val="24"/>
        </w:rPr>
        <w:t>一、项目基本情况</w:t>
      </w:r>
    </w:p>
    <w:p>
      <w:pPr>
        <w:spacing w:line="360" w:lineRule="auto"/>
        <w:ind w:firstLine="480" w:firstLineChars="200"/>
        <w:rPr>
          <w:rFonts w:hint="default" w:eastAsia="楷体_GB2312"/>
          <w:sz w:val="24"/>
          <w:lang w:val="en-US" w:eastAsia="zh-CN"/>
        </w:rPr>
      </w:pPr>
      <w:r>
        <w:rPr>
          <w:rFonts w:eastAsia="楷体_GB2312"/>
          <w:sz w:val="24"/>
        </w:rPr>
        <w:t>项目编号：</w:t>
      </w:r>
      <w:r>
        <w:rPr>
          <w:rFonts w:hint="eastAsia" w:eastAsia="楷体_GB2312"/>
          <w:sz w:val="24"/>
        </w:rPr>
        <w:t>ZUPC-DY-HW-202003</w:t>
      </w:r>
      <w:r>
        <w:rPr>
          <w:rFonts w:hint="eastAsia" w:eastAsia="楷体_GB2312"/>
          <w:sz w:val="24"/>
          <w:lang w:val="en-US" w:eastAsia="zh-CN"/>
        </w:rPr>
        <w:t>5G</w:t>
      </w:r>
    </w:p>
    <w:p>
      <w:pPr>
        <w:spacing w:line="360" w:lineRule="auto"/>
        <w:ind w:firstLine="480" w:firstLineChars="200"/>
        <w:rPr>
          <w:rFonts w:eastAsia="楷体_GB2312"/>
          <w:sz w:val="24"/>
          <w:u w:val="single"/>
        </w:rPr>
      </w:pPr>
      <w:r>
        <w:rPr>
          <w:rFonts w:eastAsia="楷体_GB2312"/>
          <w:sz w:val="24"/>
        </w:rPr>
        <w:t>项目名称：</w:t>
      </w:r>
      <w:r>
        <w:rPr>
          <w:rFonts w:hint="eastAsia" w:eastAsia="楷体_GB2312"/>
          <w:sz w:val="24"/>
        </w:rPr>
        <w:t>毫米波中频原型系统</w:t>
      </w:r>
    </w:p>
    <w:p>
      <w:pPr>
        <w:spacing w:line="360" w:lineRule="auto"/>
        <w:ind w:firstLine="480" w:firstLineChars="200"/>
        <w:rPr>
          <w:rFonts w:eastAsia="楷体_GB2312"/>
          <w:sz w:val="24"/>
        </w:rPr>
      </w:pPr>
      <w:r>
        <w:rPr>
          <w:rFonts w:eastAsia="楷体_GB2312"/>
          <w:sz w:val="24"/>
        </w:rPr>
        <w:t>采购方式：单一来源</w:t>
      </w:r>
    </w:p>
    <w:p>
      <w:pPr>
        <w:spacing w:line="360" w:lineRule="auto"/>
        <w:ind w:firstLine="480" w:firstLineChars="200"/>
        <w:rPr>
          <w:rFonts w:eastAsia="楷体_GB2312"/>
          <w:sz w:val="24"/>
        </w:rPr>
      </w:pPr>
      <w:r>
        <w:rPr>
          <w:rFonts w:eastAsia="楷体_GB2312"/>
          <w:sz w:val="24"/>
        </w:rPr>
        <w:t>单一来源公示：详细见</w:t>
      </w:r>
      <w:r>
        <w:fldChar w:fldCharType="begin"/>
      </w:r>
      <w:r>
        <w:instrText xml:space="preserve"> HYPERLINK "http://www.zupc.zju.edu.cn/" \t "_blank" </w:instrText>
      </w:r>
      <w:r>
        <w:fldChar w:fldCharType="separate"/>
      </w:r>
      <w:r>
        <w:rPr>
          <w:rFonts w:eastAsia="楷体_GB2312"/>
          <w:sz w:val="24"/>
        </w:rPr>
        <w:t>http://www.zupc.zju.edu.cn/</w:t>
      </w:r>
      <w:r>
        <w:rPr>
          <w:rFonts w:eastAsia="楷体_GB2312"/>
          <w:sz w:val="24"/>
        </w:rPr>
        <w:fldChar w:fldCharType="end"/>
      </w:r>
      <w:r>
        <w:rPr>
          <w:rFonts w:eastAsia="楷体_GB2312"/>
          <w:sz w:val="24"/>
        </w:rPr>
        <w:t>。</w:t>
      </w:r>
    </w:p>
    <w:p>
      <w:pPr>
        <w:spacing w:line="360" w:lineRule="auto"/>
        <w:ind w:firstLine="480" w:firstLineChars="200"/>
        <w:rPr>
          <w:rFonts w:eastAsia="楷体_GB2312"/>
          <w:sz w:val="24"/>
        </w:rPr>
      </w:pPr>
      <w:r>
        <w:rPr>
          <w:rFonts w:eastAsia="楷体_GB2312"/>
          <w:sz w:val="24"/>
        </w:rPr>
        <w:t>预算金额：人民币</w:t>
      </w:r>
      <w:r>
        <w:rPr>
          <w:rFonts w:hint="eastAsia" w:eastAsia="楷体_GB2312"/>
          <w:sz w:val="24"/>
        </w:rPr>
        <w:t>199</w:t>
      </w:r>
      <w:r>
        <w:rPr>
          <w:rFonts w:eastAsia="楷体_GB2312"/>
          <w:sz w:val="24"/>
        </w:rPr>
        <w:t>万元</w:t>
      </w:r>
    </w:p>
    <w:p>
      <w:pPr>
        <w:spacing w:line="360" w:lineRule="auto"/>
        <w:ind w:firstLine="480" w:firstLineChars="200"/>
        <w:rPr>
          <w:rFonts w:eastAsia="楷体_GB2312"/>
          <w:sz w:val="24"/>
        </w:rPr>
      </w:pPr>
      <w:r>
        <w:rPr>
          <w:rFonts w:eastAsia="楷体_GB2312"/>
          <w:sz w:val="24"/>
        </w:rPr>
        <w:t>最高限价：人民币</w:t>
      </w:r>
      <w:r>
        <w:rPr>
          <w:rFonts w:hint="eastAsia" w:eastAsia="楷体_GB2312"/>
          <w:sz w:val="24"/>
        </w:rPr>
        <w:t>199</w:t>
      </w:r>
      <w:r>
        <w:rPr>
          <w:rFonts w:eastAsia="楷体_GB2312"/>
          <w:sz w:val="24"/>
        </w:rPr>
        <w:t>万元</w:t>
      </w:r>
    </w:p>
    <w:p>
      <w:pPr>
        <w:spacing w:line="360" w:lineRule="auto"/>
        <w:ind w:firstLine="480" w:firstLineChars="200"/>
        <w:rPr>
          <w:rFonts w:eastAsia="楷体_GB2312"/>
          <w:sz w:val="24"/>
          <w:u w:val="single"/>
        </w:rPr>
      </w:pPr>
      <w:r>
        <w:rPr>
          <w:rFonts w:eastAsia="楷体_GB2312"/>
          <w:sz w:val="24"/>
        </w:rPr>
        <w:t>采购需求：</w:t>
      </w:r>
      <w:r>
        <w:rPr>
          <w:rFonts w:hint="eastAsia" w:eastAsia="楷体_GB2312"/>
          <w:sz w:val="24"/>
        </w:rPr>
        <w:t>毫米波中频原型系统   一</w:t>
      </w:r>
      <w:r>
        <w:rPr>
          <w:rFonts w:eastAsia="楷体_GB2312"/>
          <w:sz w:val="24"/>
        </w:rPr>
        <w:t>套</w:t>
      </w:r>
      <w:r>
        <w:rPr>
          <w:rFonts w:hint="eastAsia" w:eastAsia="楷体_GB2312"/>
          <w:sz w:val="24"/>
        </w:rPr>
        <w:t>，详见招标文件</w:t>
      </w:r>
    </w:p>
    <w:p>
      <w:pPr>
        <w:spacing w:line="360" w:lineRule="auto"/>
        <w:ind w:firstLine="480" w:firstLineChars="200"/>
        <w:rPr>
          <w:rFonts w:eastAsia="楷体_GB2312"/>
          <w:sz w:val="24"/>
          <w:u w:val="single"/>
        </w:rPr>
      </w:pPr>
      <w:r>
        <w:rPr>
          <w:rFonts w:eastAsia="楷体_GB2312"/>
          <w:sz w:val="24"/>
        </w:rPr>
        <w:t>合同履行期限：合同签订</w:t>
      </w:r>
      <w:r>
        <w:rPr>
          <w:rFonts w:hint="eastAsia" w:eastAsia="楷体_GB2312"/>
          <w:sz w:val="24"/>
          <w:lang w:eastAsia="zh-CN"/>
        </w:rPr>
        <w:t>免表办好</w:t>
      </w:r>
      <w:r>
        <w:rPr>
          <w:rFonts w:eastAsia="楷体_GB2312"/>
          <w:sz w:val="24"/>
        </w:rPr>
        <w:t>后</w:t>
      </w:r>
      <w:r>
        <w:rPr>
          <w:rFonts w:hint="eastAsia" w:eastAsia="楷体_GB2312"/>
          <w:sz w:val="24"/>
        </w:rPr>
        <w:t>90个日历日内交付至用户指定地点</w:t>
      </w:r>
      <w:r>
        <w:rPr>
          <w:rFonts w:eastAsia="楷体_GB2312"/>
          <w:sz w:val="24"/>
        </w:rPr>
        <w:t>。</w:t>
      </w:r>
    </w:p>
    <w:p>
      <w:pPr>
        <w:spacing w:line="360" w:lineRule="auto"/>
        <w:ind w:firstLine="480" w:firstLineChars="200"/>
        <w:rPr>
          <w:rFonts w:eastAsia="楷体_GB2312"/>
          <w:sz w:val="24"/>
        </w:rPr>
      </w:pPr>
      <w:r>
        <w:rPr>
          <w:rFonts w:eastAsia="楷体_GB2312"/>
          <w:sz w:val="24"/>
        </w:rPr>
        <w:t>本项目</w:t>
      </w:r>
      <w:r>
        <w:rPr>
          <w:rFonts w:hint="eastAsia" w:eastAsia="楷体_GB2312"/>
          <w:sz w:val="24"/>
        </w:rPr>
        <w:t>不</w:t>
      </w:r>
      <w:r>
        <w:rPr>
          <w:rFonts w:eastAsia="楷体_GB2312"/>
          <w:sz w:val="24"/>
        </w:rPr>
        <w:t>接受联合体</w:t>
      </w:r>
      <w:r>
        <w:rPr>
          <w:rFonts w:hint="eastAsia" w:eastAsia="楷体_GB2312"/>
          <w:sz w:val="24"/>
        </w:rPr>
        <w:t>投标</w:t>
      </w:r>
      <w:r>
        <w:rPr>
          <w:rFonts w:eastAsia="楷体_GB2312"/>
          <w:sz w:val="24"/>
        </w:rPr>
        <w:t>。</w:t>
      </w:r>
    </w:p>
    <w:p>
      <w:pPr>
        <w:pStyle w:val="5"/>
        <w:numPr>
          <w:ilvl w:val="0"/>
          <w:numId w:val="0"/>
        </w:numPr>
        <w:spacing w:line="360" w:lineRule="auto"/>
        <w:rPr>
          <w:rFonts w:ascii="Times New Roman" w:hAnsi="Times New Roman" w:eastAsia="楷体_GB2312"/>
          <w:b w:val="0"/>
          <w:sz w:val="24"/>
          <w:szCs w:val="24"/>
        </w:rPr>
      </w:pPr>
      <w:r>
        <w:rPr>
          <w:rFonts w:ascii="Times New Roman" w:hAnsi="Times New Roman" w:eastAsia="楷体_GB2312"/>
          <w:b w:val="0"/>
          <w:sz w:val="24"/>
          <w:szCs w:val="24"/>
        </w:rPr>
        <w:t>二、申请人的资格要求：</w:t>
      </w:r>
    </w:p>
    <w:p>
      <w:pPr>
        <w:spacing w:line="360" w:lineRule="auto"/>
        <w:ind w:firstLine="480" w:firstLineChars="200"/>
        <w:rPr>
          <w:rFonts w:eastAsia="楷体_GB2312"/>
          <w:sz w:val="24"/>
        </w:rPr>
      </w:pPr>
      <w:r>
        <w:rPr>
          <w:rFonts w:eastAsia="楷体_GB2312"/>
          <w:sz w:val="24"/>
        </w:rPr>
        <w:t>1.满足《中华人民共和国政府采购法》第二十二条规定；</w:t>
      </w:r>
    </w:p>
    <w:p>
      <w:pPr>
        <w:spacing w:line="360" w:lineRule="auto"/>
        <w:ind w:firstLine="480" w:firstLineChars="200"/>
        <w:rPr>
          <w:rFonts w:eastAsia="楷体_GB2312"/>
          <w:sz w:val="24"/>
        </w:rPr>
      </w:pPr>
      <w:r>
        <w:rPr>
          <w:rFonts w:eastAsia="楷体_GB2312"/>
          <w:sz w:val="24"/>
        </w:rPr>
        <w:t>2.落实政府采购政策需满足的资格要求：</w:t>
      </w:r>
      <w:r>
        <w:rPr>
          <w:rFonts w:hint="eastAsia" w:eastAsia="楷体_GB2312"/>
          <w:sz w:val="24"/>
        </w:rPr>
        <w:t>无；</w:t>
      </w:r>
    </w:p>
    <w:p>
      <w:pPr>
        <w:spacing w:line="360" w:lineRule="auto"/>
        <w:ind w:firstLine="480" w:firstLineChars="200"/>
        <w:rPr>
          <w:rFonts w:eastAsia="楷体_GB2312"/>
          <w:i/>
          <w:iCs/>
          <w:sz w:val="24"/>
          <w:u w:val="single"/>
        </w:rPr>
      </w:pPr>
      <w:r>
        <w:rPr>
          <w:rFonts w:eastAsia="楷体_GB2312"/>
          <w:sz w:val="24"/>
        </w:rPr>
        <w:t>3.本项目的特定资格要求：</w:t>
      </w:r>
      <w:r>
        <w:rPr>
          <w:rFonts w:hint="eastAsia" w:eastAsia="楷体_GB2312"/>
          <w:sz w:val="24"/>
        </w:rPr>
        <w:t>无；</w:t>
      </w:r>
    </w:p>
    <w:p>
      <w:pPr>
        <w:pStyle w:val="5"/>
        <w:numPr>
          <w:ilvl w:val="0"/>
          <w:numId w:val="0"/>
        </w:numPr>
        <w:spacing w:line="360" w:lineRule="auto"/>
        <w:rPr>
          <w:rFonts w:ascii="Times New Roman" w:hAnsi="Times New Roman" w:eastAsia="楷体_GB2312"/>
          <w:b w:val="0"/>
          <w:sz w:val="24"/>
          <w:szCs w:val="24"/>
        </w:rPr>
      </w:pPr>
      <w:r>
        <w:rPr>
          <w:rFonts w:ascii="Times New Roman" w:hAnsi="Times New Roman" w:eastAsia="楷体_GB2312"/>
          <w:b w:val="0"/>
          <w:sz w:val="24"/>
          <w:szCs w:val="24"/>
        </w:rPr>
        <w:t>三、获取采购文件</w:t>
      </w:r>
    </w:p>
    <w:p>
      <w:pPr>
        <w:spacing w:line="360" w:lineRule="auto"/>
        <w:ind w:firstLine="540"/>
        <w:rPr>
          <w:rFonts w:eastAsia="楷体_GB2312"/>
          <w:sz w:val="24"/>
        </w:rPr>
      </w:pPr>
      <w:r>
        <w:rPr>
          <w:rFonts w:eastAsia="楷体_GB2312"/>
          <w:sz w:val="24"/>
        </w:rPr>
        <w:t>时间：</w:t>
      </w:r>
      <w:r>
        <w:rPr>
          <w:rFonts w:hint="eastAsia" w:eastAsia="楷体_GB2312"/>
          <w:sz w:val="24"/>
          <w:u w:val="single"/>
        </w:rPr>
        <w:t>2020</w:t>
      </w:r>
      <w:r>
        <w:rPr>
          <w:rFonts w:eastAsia="楷体_GB2312"/>
          <w:sz w:val="24"/>
          <w:u w:val="single"/>
        </w:rPr>
        <w:t xml:space="preserve"> 年</w:t>
      </w:r>
      <w:r>
        <w:rPr>
          <w:rFonts w:hint="eastAsia" w:eastAsia="楷体_GB2312"/>
          <w:sz w:val="24"/>
          <w:u w:val="single"/>
        </w:rPr>
        <w:t>10</w:t>
      </w:r>
      <w:r>
        <w:rPr>
          <w:rFonts w:eastAsia="楷体_GB2312"/>
          <w:sz w:val="24"/>
          <w:u w:val="single"/>
        </w:rPr>
        <w:t>月</w:t>
      </w:r>
      <w:r>
        <w:rPr>
          <w:rFonts w:hint="eastAsia" w:eastAsia="楷体_GB2312"/>
          <w:sz w:val="24"/>
          <w:u w:val="single"/>
        </w:rPr>
        <w:t>2</w:t>
      </w:r>
      <w:r>
        <w:rPr>
          <w:rFonts w:hint="eastAsia" w:eastAsia="楷体_GB2312"/>
          <w:sz w:val="24"/>
          <w:u w:val="single"/>
          <w:lang w:val="en-US" w:eastAsia="zh-CN"/>
        </w:rPr>
        <w:t>7</w:t>
      </w:r>
      <w:r>
        <w:rPr>
          <w:rFonts w:eastAsia="楷体_GB2312"/>
          <w:sz w:val="24"/>
          <w:u w:val="single"/>
        </w:rPr>
        <w:t>日</w:t>
      </w:r>
      <w:r>
        <w:rPr>
          <w:rFonts w:eastAsia="楷体_GB2312"/>
          <w:sz w:val="24"/>
        </w:rPr>
        <w:t>至</w:t>
      </w:r>
      <w:r>
        <w:rPr>
          <w:rFonts w:hint="eastAsia" w:eastAsia="楷体_GB2312"/>
          <w:sz w:val="24"/>
          <w:u w:val="single"/>
        </w:rPr>
        <w:t>2020</w:t>
      </w:r>
      <w:r>
        <w:rPr>
          <w:rFonts w:eastAsia="楷体_GB2312"/>
          <w:sz w:val="24"/>
          <w:u w:val="single"/>
        </w:rPr>
        <w:t>年</w:t>
      </w:r>
      <w:r>
        <w:rPr>
          <w:rFonts w:hint="eastAsia" w:eastAsia="楷体_GB2312"/>
          <w:sz w:val="24"/>
          <w:u w:val="single"/>
        </w:rPr>
        <w:t>10</w:t>
      </w:r>
      <w:r>
        <w:rPr>
          <w:rFonts w:eastAsia="楷体_GB2312"/>
          <w:sz w:val="24"/>
          <w:u w:val="single"/>
        </w:rPr>
        <w:t>月</w:t>
      </w:r>
      <w:r>
        <w:rPr>
          <w:rFonts w:hint="eastAsia" w:eastAsia="楷体_GB2312"/>
          <w:sz w:val="24"/>
          <w:u w:val="single"/>
          <w:lang w:val="en-US" w:eastAsia="zh-CN"/>
        </w:rPr>
        <w:t>30</w:t>
      </w:r>
      <w:r>
        <w:rPr>
          <w:rFonts w:eastAsia="楷体_GB2312"/>
          <w:sz w:val="24"/>
          <w:u w:val="single"/>
        </w:rPr>
        <w:t>日</w:t>
      </w:r>
      <w:r>
        <w:rPr>
          <w:rFonts w:hint="eastAsia" w:eastAsia="楷体_GB2312"/>
          <w:sz w:val="24"/>
          <w:u w:val="single"/>
        </w:rPr>
        <w:t>.</w:t>
      </w:r>
    </w:p>
    <w:p>
      <w:pPr>
        <w:spacing w:line="360" w:lineRule="auto"/>
        <w:ind w:firstLine="540"/>
        <w:rPr>
          <w:rFonts w:eastAsia="楷体_GB2312"/>
          <w:sz w:val="24"/>
          <w:u w:val="single"/>
        </w:rPr>
      </w:pPr>
      <w:r>
        <w:rPr>
          <w:rFonts w:eastAsia="楷体_GB2312"/>
          <w:sz w:val="24"/>
        </w:rPr>
        <w:t>地点：微信公众号，</w:t>
      </w:r>
      <w:r>
        <w:rPr>
          <w:rFonts w:hint="eastAsia" w:eastAsia="楷体_GB2312"/>
          <w:sz w:val="24"/>
        </w:rPr>
        <w:t>微信号：</w:t>
      </w:r>
      <w:r>
        <w:rPr>
          <w:rFonts w:eastAsia="楷体_GB2312"/>
          <w:sz w:val="24"/>
        </w:rPr>
        <w:t>caigou5zju</w:t>
      </w:r>
      <w:r>
        <w:rPr>
          <w:rFonts w:hint="eastAsia" w:eastAsia="楷体_GB2312"/>
          <w:sz w:val="24"/>
        </w:rPr>
        <w:t>，</w:t>
      </w:r>
      <w:r>
        <w:rPr>
          <w:rFonts w:eastAsia="楷体_GB2312"/>
          <w:sz w:val="24"/>
        </w:rPr>
        <w:t>也可直接查询：浙江大学采购中心。</w:t>
      </w:r>
    </w:p>
    <w:p>
      <w:pPr>
        <w:spacing w:line="360" w:lineRule="auto"/>
        <w:ind w:firstLine="540"/>
        <w:rPr>
          <w:rFonts w:eastAsia="楷体_GB2312"/>
          <w:sz w:val="24"/>
          <w:u w:val="single"/>
        </w:rPr>
      </w:pPr>
      <w:r>
        <w:rPr>
          <w:rFonts w:eastAsia="楷体_GB2312"/>
          <w:sz w:val="24"/>
        </w:rPr>
        <w:t>方式：</w:t>
      </w:r>
      <w:r>
        <w:rPr>
          <w:rFonts w:eastAsia="楷体_GB2312"/>
          <w:kern w:val="0"/>
          <w:sz w:val="24"/>
          <w:lang w:val="zh-CN"/>
        </w:rPr>
        <w:t>关注“浙江大学采购中心”微信公众号进行网络报名，报名后</w:t>
      </w:r>
      <w:r>
        <w:rPr>
          <w:rFonts w:eastAsia="楷体_GB2312"/>
          <w:kern w:val="0"/>
          <w:sz w:val="24"/>
        </w:rPr>
        <w:t>定期</w:t>
      </w:r>
      <w:r>
        <w:rPr>
          <w:rFonts w:eastAsia="楷体_GB2312"/>
          <w:kern w:val="0"/>
          <w:sz w:val="24"/>
          <w:lang w:val="zh-CN"/>
        </w:rPr>
        <w:t>及时</w:t>
      </w:r>
      <w:r>
        <w:rPr>
          <w:rFonts w:eastAsia="楷体_GB2312"/>
          <w:kern w:val="0"/>
          <w:sz w:val="24"/>
        </w:rPr>
        <w:t>收取</w:t>
      </w:r>
      <w:r>
        <w:rPr>
          <w:rFonts w:eastAsia="楷体_GB2312"/>
          <w:kern w:val="0"/>
          <w:sz w:val="24"/>
          <w:lang w:val="zh-CN"/>
        </w:rPr>
        <w:t>注册时登记的邮箱，按邮件提示的要求</w:t>
      </w:r>
      <w:r>
        <w:rPr>
          <w:rFonts w:eastAsia="楷体_GB2312"/>
          <w:kern w:val="0"/>
          <w:sz w:val="24"/>
        </w:rPr>
        <w:t>上传授权文件</w:t>
      </w:r>
      <w:r>
        <w:rPr>
          <w:rFonts w:eastAsia="楷体_GB2312"/>
          <w:kern w:val="0"/>
          <w:sz w:val="24"/>
          <w:lang w:val="zh-CN"/>
        </w:rPr>
        <w:t>即可完成报名步骤。只</w:t>
      </w:r>
      <w:r>
        <w:rPr>
          <w:rFonts w:eastAsia="楷体_GB2312"/>
          <w:color w:val="333333"/>
          <w:kern w:val="0"/>
          <w:sz w:val="24"/>
          <w:lang w:val="zh-CN"/>
        </w:rPr>
        <w:t>有报名人才能参与</w:t>
      </w:r>
      <w:r>
        <w:rPr>
          <w:rFonts w:hint="eastAsia" w:eastAsia="楷体_GB2312"/>
          <w:color w:val="333333"/>
          <w:kern w:val="0"/>
          <w:sz w:val="24"/>
        </w:rPr>
        <w:t>协商</w:t>
      </w:r>
      <w:r>
        <w:rPr>
          <w:rFonts w:eastAsia="楷体_GB2312"/>
          <w:color w:val="333333"/>
          <w:kern w:val="0"/>
          <w:sz w:val="24"/>
          <w:lang w:val="zh-CN"/>
        </w:rPr>
        <w:t>过程。</w:t>
      </w:r>
    </w:p>
    <w:p>
      <w:pPr>
        <w:spacing w:line="360" w:lineRule="auto"/>
        <w:ind w:firstLine="540"/>
        <w:rPr>
          <w:rFonts w:eastAsia="楷体_GB2312"/>
          <w:sz w:val="24"/>
        </w:rPr>
      </w:pPr>
      <w:r>
        <w:rPr>
          <w:rFonts w:eastAsia="楷体_GB2312"/>
          <w:sz w:val="24"/>
        </w:rPr>
        <w:t>售价：0元</w:t>
      </w:r>
    </w:p>
    <w:p>
      <w:pPr>
        <w:pStyle w:val="5"/>
        <w:numPr>
          <w:ilvl w:val="0"/>
          <w:numId w:val="0"/>
        </w:numPr>
        <w:spacing w:line="360" w:lineRule="auto"/>
        <w:rPr>
          <w:rFonts w:ascii="Times New Roman" w:hAnsi="Times New Roman" w:eastAsia="楷体_GB2312"/>
          <w:b w:val="0"/>
          <w:sz w:val="24"/>
          <w:szCs w:val="24"/>
        </w:rPr>
      </w:pPr>
      <w:r>
        <w:rPr>
          <w:rFonts w:ascii="Times New Roman" w:hAnsi="Times New Roman" w:eastAsia="楷体_GB2312"/>
          <w:b w:val="0"/>
          <w:sz w:val="24"/>
          <w:szCs w:val="24"/>
        </w:rPr>
        <w:t>四、响应文件提交</w:t>
      </w:r>
    </w:p>
    <w:p>
      <w:pPr>
        <w:widowControl/>
        <w:adjustRightInd w:val="0"/>
        <w:spacing w:line="360" w:lineRule="auto"/>
        <w:ind w:firstLine="480" w:firstLineChars="200"/>
        <w:rPr>
          <w:rFonts w:eastAsia="楷体_GB2312"/>
          <w:bCs/>
          <w:sz w:val="24"/>
          <w:u w:val="single"/>
        </w:rPr>
      </w:pPr>
      <w:r>
        <w:rPr>
          <w:rFonts w:eastAsia="楷体_GB2312"/>
          <w:color w:val="333333"/>
          <w:kern w:val="0"/>
          <w:sz w:val="24"/>
          <w:lang w:val="zh-CN"/>
        </w:rPr>
        <w:t>响应文件递交截止</w:t>
      </w:r>
      <w:r>
        <w:rPr>
          <w:rFonts w:eastAsia="楷体_GB2312"/>
          <w:sz w:val="24"/>
        </w:rPr>
        <w:t>截止时间：</w:t>
      </w:r>
      <w:r>
        <w:rPr>
          <w:rFonts w:eastAsia="楷体_GB2312"/>
          <w:sz w:val="24"/>
          <w:u w:val="single"/>
        </w:rPr>
        <w:t xml:space="preserve"> </w:t>
      </w:r>
      <w:r>
        <w:rPr>
          <w:rFonts w:hint="eastAsia" w:eastAsia="楷体_GB2312"/>
          <w:sz w:val="24"/>
          <w:u w:val="single"/>
        </w:rPr>
        <w:t>2020</w:t>
      </w:r>
      <w:r>
        <w:rPr>
          <w:rFonts w:eastAsia="楷体_GB2312"/>
          <w:bCs/>
          <w:sz w:val="24"/>
          <w:u w:val="single"/>
        </w:rPr>
        <w:t>年</w:t>
      </w:r>
      <w:r>
        <w:rPr>
          <w:rFonts w:hint="eastAsia" w:eastAsia="楷体_GB2312"/>
          <w:bCs/>
          <w:sz w:val="24"/>
          <w:u w:val="single"/>
        </w:rPr>
        <w:t>1</w:t>
      </w:r>
      <w:r>
        <w:rPr>
          <w:rFonts w:hint="eastAsia" w:eastAsia="楷体_GB2312"/>
          <w:bCs/>
          <w:sz w:val="24"/>
          <w:u w:val="single"/>
          <w:lang w:val="en-US" w:eastAsia="zh-CN"/>
        </w:rPr>
        <w:t>1</w:t>
      </w:r>
      <w:r>
        <w:rPr>
          <w:rFonts w:eastAsia="楷体_GB2312"/>
          <w:bCs/>
          <w:sz w:val="24"/>
          <w:u w:val="single"/>
        </w:rPr>
        <w:t>月</w:t>
      </w:r>
      <w:r>
        <w:rPr>
          <w:rFonts w:hint="eastAsia" w:eastAsia="楷体_GB2312"/>
          <w:bCs/>
          <w:sz w:val="24"/>
          <w:u w:val="single"/>
          <w:lang w:val="en-US" w:eastAsia="zh-CN"/>
        </w:rPr>
        <w:t>3</w:t>
      </w:r>
      <w:r>
        <w:rPr>
          <w:rFonts w:eastAsia="楷体_GB2312"/>
          <w:bCs/>
          <w:sz w:val="24"/>
          <w:u w:val="single"/>
        </w:rPr>
        <w:t>日</w:t>
      </w:r>
      <w:r>
        <w:rPr>
          <w:rFonts w:hint="eastAsia" w:eastAsia="楷体_GB2312"/>
          <w:bCs/>
          <w:sz w:val="24"/>
          <w:u w:val="single"/>
        </w:rPr>
        <w:t>13</w:t>
      </w:r>
      <w:r>
        <w:rPr>
          <w:rFonts w:eastAsia="楷体_GB2312"/>
          <w:bCs/>
          <w:sz w:val="24"/>
          <w:u w:val="single"/>
        </w:rPr>
        <w:t xml:space="preserve"> 点</w:t>
      </w:r>
      <w:r>
        <w:rPr>
          <w:rFonts w:hint="eastAsia" w:eastAsia="楷体_GB2312"/>
          <w:bCs/>
          <w:sz w:val="24"/>
          <w:u w:val="single"/>
        </w:rPr>
        <w:t>30</w:t>
      </w:r>
      <w:r>
        <w:rPr>
          <w:rFonts w:eastAsia="楷体_GB2312"/>
          <w:bCs/>
          <w:sz w:val="24"/>
          <w:u w:val="single"/>
        </w:rPr>
        <w:t>分</w:t>
      </w:r>
      <w:r>
        <w:rPr>
          <w:rFonts w:eastAsia="楷体_GB2312"/>
          <w:sz w:val="24"/>
        </w:rPr>
        <w:t>。响应文件应通过邮寄快递方式</w:t>
      </w:r>
      <w:r>
        <w:rPr>
          <w:rFonts w:eastAsia="楷体_GB2312"/>
          <w:b/>
          <w:bCs/>
          <w:sz w:val="24"/>
        </w:rPr>
        <w:t>（建议选择顺丰或EMS）</w:t>
      </w:r>
      <w:r>
        <w:rPr>
          <w:rFonts w:eastAsia="楷体_GB2312"/>
          <w:sz w:val="24"/>
        </w:rPr>
        <w:t>由邮寄快递公司在截止时间前直接送达浙江大学采购中心117室，</w:t>
      </w:r>
      <w:r>
        <w:rPr>
          <w:rFonts w:eastAsia="楷体_GB2312"/>
          <w:b/>
          <w:bCs/>
          <w:sz w:val="24"/>
        </w:rPr>
        <w:t>类似顺丰同城等请谨慎选用</w:t>
      </w:r>
      <w:r>
        <w:rPr>
          <w:rFonts w:eastAsia="楷体_GB2312"/>
          <w:b/>
          <w:bCs/>
          <w:color w:val="333333"/>
          <w:kern w:val="0"/>
          <w:sz w:val="24"/>
          <w:lang w:val="zh-CN"/>
        </w:rPr>
        <w:t>：</w:t>
      </w:r>
      <w:r>
        <w:rPr>
          <w:rFonts w:hint="eastAsia" w:eastAsia="楷体_GB2312"/>
          <w:b/>
          <w:bCs/>
          <w:color w:val="333333"/>
          <w:kern w:val="0"/>
          <w:sz w:val="24"/>
          <w:lang w:val="zh-CN"/>
        </w:rPr>
        <w:t>请按以下格式邮寄：</w:t>
      </w:r>
    </w:p>
    <w:p>
      <w:pPr>
        <w:widowControl/>
        <w:spacing w:line="360" w:lineRule="auto"/>
        <w:ind w:firstLine="480" w:firstLineChars="200"/>
        <w:rPr>
          <w:rFonts w:eastAsia="楷体_GB2312"/>
          <w:color w:val="333333"/>
          <w:kern w:val="0"/>
          <w:sz w:val="24"/>
          <w:lang w:val="zh-CN"/>
        </w:rPr>
      </w:pPr>
      <w:r>
        <w:rPr>
          <w:rFonts w:eastAsia="楷体_GB2312"/>
          <w:color w:val="333333"/>
          <w:kern w:val="0"/>
          <w:sz w:val="24"/>
          <w:lang w:val="zh-CN"/>
        </w:rPr>
        <w:t>收件单位（必填）：浙江大学采购中心；</w:t>
      </w:r>
      <w:r>
        <w:rPr>
          <w:rFonts w:eastAsia="楷体_GB2312"/>
          <w:sz w:val="24"/>
        </w:rPr>
        <w:t>地址：</w:t>
      </w:r>
      <w:r>
        <w:rPr>
          <w:rFonts w:eastAsia="楷体_GB2312"/>
          <w:color w:val="333333"/>
          <w:kern w:val="0"/>
          <w:sz w:val="24"/>
          <w:lang w:val="zh-CN"/>
        </w:rPr>
        <w:t>浙江省杭州市西湖区浙江大学紫金港校区东四117室采购中心（邮编：310058）；收件人：</w:t>
      </w:r>
      <w:r>
        <w:rPr>
          <w:rFonts w:hint="eastAsia" w:eastAsia="楷体_GB2312"/>
          <w:color w:val="FF0000"/>
          <w:kern w:val="0"/>
          <w:sz w:val="24"/>
          <w:lang w:val="zh-CN"/>
        </w:rPr>
        <w:t>艾</w:t>
      </w:r>
      <w:r>
        <w:rPr>
          <w:rFonts w:eastAsia="楷体_GB2312"/>
          <w:color w:val="333333"/>
          <w:kern w:val="0"/>
          <w:sz w:val="24"/>
          <w:lang w:val="zh-CN"/>
        </w:rPr>
        <w:t>老师；电话：</w:t>
      </w:r>
      <w:r>
        <w:rPr>
          <w:rFonts w:hint="eastAsia" w:eastAsia="楷体_GB2312"/>
          <w:color w:val="333333"/>
          <w:kern w:val="0"/>
          <w:sz w:val="24"/>
          <w:lang w:val="zh-CN"/>
        </w:rPr>
        <w:t>0571-88206325</w:t>
      </w:r>
      <w:r>
        <w:rPr>
          <w:rFonts w:eastAsia="楷体_GB2312"/>
          <w:color w:val="333333"/>
          <w:kern w:val="0"/>
          <w:sz w:val="24"/>
          <w:lang w:val="zh-CN"/>
        </w:rPr>
        <w:t>。</w:t>
      </w:r>
    </w:p>
    <w:p>
      <w:pPr>
        <w:widowControl/>
        <w:adjustRightInd w:val="0"/>
        <w:spacing w:line="360" w:lineRule="auto"/>
        <w:ind w:firstLine="480" w:firstLineChars="200"/>
        <w:rPr>
          <w:rFonts w:eastAsia="楷体_GB2312"/>
          <w:color w:val="333333"/>
          <w:kern w:val="0"/>
          <w:sz w:val="24"/>
          <w:lang w:val="zh-CN"/>
        </w:rPr>
      </w:pPr>
      <w:r>
        <w:rPr>
          <w:rFonts w:eastAsia="楷体_GB2312"/>
          <w:color w:val="333333"/>
          <w:kern w:val="0"/>
          <w:sz w:val="24"/>
          <w:lang w:val="zh-CN"/>
        </w:rPr>
        <w:t>寄件单位（必填）：</w:t>
      </w:r>
      <w:r>
        <w:rPr>
          <w:rFonts w:eastAsia="楷体_GB2312"/>
          <w:color w:val="333333"/>
          <w:kern w:val="0"/>
          <w:sz w:val="24"/>
        </w:rPr>
        <w:t>供应商</w:t>
      </w:r>
      <w:r>
        <w:rPr>
          <w:rFonts w:eastAsia="楷体_GB2312"/>
          <w:color w:val="333333"/>
          <w:kern w:val="0"/>
          <w:sz w:val="24"/>
          <w:lang w:val="zh-CN"/>
        </w:rPr>
        <w:t>公司全称；地址：xxx（邮编：xxx）；寄件人：微信报名人；电话：微信报名人手机。</w:t>
      </w:r>
    </w:p>
    <w:p>
      <w:pPr>
        <w:widowControl/>
        <w:adjustRightInd w:val="0"/>
        <w:spacing w:line="360" w:lineRule="auto"/>
        <w:ind w:firstLine="480" w:firstLineChars="200"/>
        <w:rPr>
          <w:rFonts w:eastAsia="楷体_GB2312"/>
          <w:sz w:val="24"/>
        </w:rPr>
      </w:pPr>
      <w:r>
        <w:rPr>
          <w:rFonts w:eastAsia="楷体_GB2312"/>
          <w:color w:val="333333"/>
          <w:kern w:val="0"/>
          <w:sz w:val="24"/>
          <w:lang w:val="zh-CN"/>
        </w:rPr>
        <w:t>未按以上要求邮寄、逾期送达以及未按要求密封的响应文件一律不予接收。请各供应商充分考虑邮寄在途时间，确保响应文件在本采购项目规定的响应文件递交截止时间前实际送达规定的地址。</w:t>
      </w:r>
    </w:p>
    <w:p>
      <w:pPr>
        <w:pStyle w:val="5"/>
        <w:numPr>
          <w:ilvl w:val="0"/>
          <w:numId w:val="0"/>
        </w:numPr>
        <w:spacing w:line="360" w:lineRule="auto"/>
        <w:rPr>
          <w:rFonts w:ascii="Times New Roman" w:hAnsi="Times New Roman" w:eastAsia="楷体_GB2312"/>
          <w:b w:val="0"/>
          <w:sz w:val="24"/>
          <w:szCs w:val="24"/>
        </w:rPr>
      </w:pPr>
      <w:r>
        <w:rPr>
          <w:rFonts w:ascii="Times New Roman" w:hAnsi="Times New Roman" w:eastAsia="楷体_GB2312"/>
          <w:b w:val="0"/>
          <w:sz w:val="24"/>
          <w:szCs w:val="24"/>
        </w:rPr>
        <w:t>五、开启</w:t>
      </w:r>
    </w:p>
    <w:p>
      <w:pPr>
        <w:spacing w:line="360" w:lineRule="auto"/>
        <w:ind w:firstLine="480" w:firstLineChars="200"/>
        <w:rPr>
          <w:rFonts w:eastAsia="楷体_GB2312"/>
          <w:sz w:val="24"/>
          <w:u w:val="single"/>
        </w:rPr>
      </w:pPr>
      <w:r>
        <w:rPr>
          <w:rFonts w:eastAsia="楷体_GB2312"/>
          <w:sz w:val="24"/>
        </w:rPr>
        <w:t>协商时间</w:t>
      </w:r>
      <w:r>
        <w:rPr>
          <w:rFonts w:hint="eastAsia" w:eastAsia="楷体_GB2312"/>
          <w:sz w:val="24"/>
        </w:rPr>
        <w:t>：</w:t>
      </w:r>
      <w:r>
        <w:rPr>
          <w:rFonts w:hint="eastAsia" w:eastAsia="楷体_GB2312"/>
          <w:sz w:val="24"/>
          <w:u w:val="single"/>
        </w:rPr>
        <w:t>2020</w:t>
      </w:r>
      <w:r>
        <w:rPr>
          <w:rFonts w:eastAsia="楷体_GB2312"/>
          <w:bCs/>
          <w:sz w:val="24"/>
          <w:u w:val="single"/>
        </w:rPr>
        <w:t>年</w:t>
      </w:r>
      <w:r>
        <w:rPr>
          <w:rFonts w:hint="eastAsia" w:eastAsia="楷体_GB2312"/>
          <w:bCs/>
          <w:sz w:val="24"/>
          <w:u w:val="single"/>
        </w:rPr>
        <w:t>1</w:t>
      </w:r>
      <w:r>
        <w:rPr>
          <w:rFonts w:hint="eastAsia" w:eastAsia="楷体_GB2312"/>
          <w:bCs/>
          <w:sz w:val="24"/>
          <w:u w:val="single"/>
          <w:lang w:val="en-US" w:eastAsia="zh-CN"/>
        </w:rPr>
        <w:t>1</w:t>
      </w:r>
      <w:r>
        <w:rPr>
          <w:rFonts w:eastAsia="楷体_GB2312"/>
          <w:bCs/>
          <w:sz w:val="24"/>
          <w:u w:val="single"/>
        </w:rPr>
        <w:t>月</w:t>
      </w:r>
      <w:r>
        <w:rPr>
          <w:rFonts w:hint="eastAsia" w:eastAsia="楷体_GB2312"/>
          <w:bCs/>
          <w:sz w:val="24"/>
          <w:u w:val="single"/>
          <w:lang w:val="en-US" w:eastAsia="zh-CN"/>
        </w:rPr>
        <w:t>3</w:t>
      </w:r>
      <w:r>
        <w:rPr>
          <w:rFonts w:eastAsia="楷体_GB2312"/>
          <w:bCs/>
          <w:sz w:val="24"/>
          <w:u w:val="single"/>
        </w:rPr>
        <w:t>日</w:t>
      </w:r>
      <w:r>
        <w:rPr>
          <w:rFonts w:hint="eastAsia" w:eastAsia="楷体_GB2312"/>
          <w:bCs/>
          <w:sz w:val="24"/>
          <w:u w:val="single"/>
        </w:rPr>
        <w:t>13</w:t>
      </w:r>
      <w:r>
        <w:rPr>
          <w:rFonts w:eastAsia="楷体_GB2312"/>
          <w:bCs/>
          <w:sz w:val="24"/>
          <w:u w:val="single"/>
        </w:rPr>
        <w:t>点</w:t>
      </w:r>
      <w:r>
        <w:rPr>
          <w:rFonts w:hint="eastAsia" w:eastAsia="楷体_GB2312"/>
          <w:bCs/>
          <w:sz w:val="24"/>
          <w:u w:val="single"/>
        </w:rPr>
        <w:t>30</w:t>
      </w:r>
      <w:r>
        <w:rPr>
          <w:rFonts w:eastAsia="楷体_GB2312"/>
          <w:bCs/>
          <w:sz w:val="24"/>
          <w:u w:val="single"/>
        </w:rPr>
        <w:t>分；</w:t>
      </w:r>
      <w:r>
        <w:rPr>
          <w:rFonts w:eastAsia="楷体_GB2312"/>
          <w:sz w:val="24"/>
        </w:rPr>
        <w:t>地点：</w:t>
      </w:r>
      <w:r>
        <w:rPr>
          <w:rFonts w:eastAsia="楷体_GB2312"/>
          <w:sz w:val="24"/>
          <w:u w:val="single"/>
        </w:rPr>
        <w:t>浙江大学紫金港校区东四117室</w:t>
      </w:r>
      <w:r>
        <w:rPr>
          <w:rFonts w:hint="eastAsia" w:eastAsia="楷体_GB2312"/>
          <w:sz w:val="24"/>
          <w:u w:val="single"/>
        </w:rPr>
        <w:t>.</w:t>
      </w:r>
    </w:p>
    <w:p>
      <w:pPr>
        <w:widowControl/>
        <w:adjustRightInd w:val="0"/>
        <w:spacing w:line="360" w:lineRule="auto"/>
        <w:ind w:firstLine="480" w:firstLineChars="200"/>
        <w:rPr>
          <w:rFonts w:eastAsia="楷体_GB2312"/>
          <w:color w:val="000000"/>
          <w:sz w:val="24"/>
        </w:rPr>
      </w:pPr>
      <w:r>
        <w:rPr>
          <w:rFonts w:eastAsia="楷体_GB2312"/>
          <w:color w:val="000000"/>
          <w:sz w:val="24"/>
        </w:rPr>
        <w:t>供应商授权代表应在响应文件递交截止时间前一天中午12点前，用微信报名时填写的手机号码添加采购中心钉钉号zjdxcgzx以便后续参加视频会议协商。添加时请说明公司全称，加好友后请保持真实姓名显示直至协商结束。协商当天请各供应商授权代表保持报名手机号的短信、电话、钉钉的在线畅通，如因无法及时联系导致供应商不能顺利参与，其后果由供应商自行承担。另，</w:t>
      </w:r>
      <w:r>
        <w:rPr>
          <w:rFonts w:eastAsia="楷体_GB2312"/>
          <w:b/>
          <w:bCs/>
          <w:color w:val="000000"/>
          <w:sz w:val="24"/>
        </w:rPr>
        <w:t>微信报名人、响应文件邮寄人、协商当天参与人，应为同一人</w:t>
      </w:r>
      <w:r>
        <w:rPr>
          <w:rFonts w:eastAsia="楷体_GB2312"/>
          <w:color w:val="000000"/>
          <w:sz w:val="24"/>
        </w:rPr>
        <w:t>，如有特殊情况提前钉钉联系。</w:t>
      </w:r>
    </w:p>
    <w:p>
      <w:pPr>
        <w:widowControl/>
        <w:adjustRightInd w:val="0"/>
        <w:spacing w:line="360" w:lineRule="auto"/>
        <w:ind w:firstLine="480" w:firstLineChars="200"/>
        <w:rPr>
          <w:rFonts w:eastAsia="楷体_GB2312"/>
          <w:sz w:val="24"/>
          <w:u w:val="single"/>
        </w:rPr>
      </w:pPr>
      <w:r>
        <w:rPr>
          <w:rFonts w:eastAsia="楷体_GB2312"/>
          <w:color w:val="000000"/>
          <w:sz w:val="24"/>
        </w:rPr>
        <w:t>本项目协商</w:t>
      </w:r>
      <w:r>
        <w:rPr>
          <w:rFonts w:eastAsia="楷体_GB2312"/>
          <w:b/>
          <w:bCs/>
          <w:color w:val="000000"/>
          <w:sz w:val="24"/>
        </w:rPr>
        <w:t>现场不接收响应文件，供应商授权</w:t>
      </w:r>
      <w:r>
        <w:rPr>
          <w:rFonts w:eastAsia="楷体_GB2312"/>
          <w:b/>
          <w:bCs/>
          <w:sz w:val="24"/>
        </w:rPr>
        <w:t>代表一律不现场出席协商会议</w:t>
      </w:r>
      <w:r>
        <w:rPr>
          <w:rFonts w:eastAsia="楷体_GB2312"/>
          <w:color w:val="000000"/>
          <w:sz w:val="24"/>
        </w:rPr>
        <w:t>。项目采用钉钉视频会议方式协商，需要协商时将向供应商授权代表发起远程视频通话，通过视频会议方式进行协商。若过程中需要供应商对响应文件作出澄清、说明等的，采购小组将要求供应商作出书面澄清、说明，并在规定时间内将扫描件通过钉钉发送给采购中心钉钉账号。</w:t>
      </w:r>
    </w:p>
    <w:p>
      <w:pPr>
        <w:pStyle w:val="5"/>
        <w:numPr>
          <w:ilvl w:val="0"/>
          <w:numId w:val="0"/>
        </w:numPr>
        <w:spacing w:line="360" w:lineRule="auto"/>
        <w:rPr>
          <w:rFonts w:ascii="Times New Roman" w:hAnsi="Times New Roman" w:eastAsia="楷体_GB2312"/>
          <w:b w:val="0"/>
          <w:sz w:val="24"/>
          <w:szCs w:val="24"/>
        </w:rPr>
      </w:pPr>
      <w:r>
        <w:rPr>
          <w:rFonts w:ascii="Times New Roman" w:hAnsi="Times New Roman" w:eastAsia="楷体_GB2312"/>
          <w:b w:val="0"/>
          <w:sz w:val="24"/>
          <w:szCs w:val="24"/>
        </w:rPr>
        <w:t>六、公告期限</w:t>
      </w:r>
    </w:p>
    <w:p>
      <w:pPr>
        <w:spacing w:line="360" w:lineRule="auto"/>
        <w:ind w:firstLine="480" w:firstLineChars="200"/>
        <w:rPr>
          <w:rFonts w:eastAsia="楷体_GB2312"/>
          <w:kern w:val="0"/>
          <w:sz w:val="24"/>
        </w:rPr>
      </w:pPr>
      <w:r>
        <w:rPr>
          <w:rFonts w:eastAsia="楷体_GB2312"/>
          <w:kern w:val="0"/>
          <w:sz w:val="24"/>
        </w:rPr>
        <w:t>自本公告发布之日起3个工作日。</w:t>
      </w:r>
    </w:p>
    <w:p>
      <w:pPr>
        <w:pStyle w:val="5"/>
        <w:numPr>
          <w:ilvl w:val="1"/>
          <w:numId w:val="0"/>
        </w:numPr>
        <w:spacing w:line="360" w:lineRule="auto"/>
        <w:rPr>
          <w:rFonts w:ascii="Times New Roman" w:hAnsi="Times New Roman" w:eastAsia="楷体_GB2312"/>
          <w:b w:val="0"/>
          <w:sz w:val="24"/>
          <w:szCs w:val="24"/>
        </w:rPr>
      </w:pPr>
      <w:r>
        <w:rPr>
          <w:rFonts w:ascii="Times New Roman" w:hAnsi="Times New Roman" w:eastAsia="楷体_GB2312"/>
          <w:b w:val="0"/>
          <w:sz w:val="24"/>
          <w:szCs w:val="24"/>
        </w:rPr>
        <w:t>七、其他补充事宜</w:t>
      </w:r>
    </w:p>
    <w:p>
      <w:pPr>
        <w:widowControl/>
        <w:numPr>
          <w:ilvl w:val="0"/>
          <w:numId w:val="2"/>
        </w:numPr>
        <w:adjustRightInd w:val="0"/>
        <w:spacing w:line="360" w:lineRule="auto"/>
        <w:rPr>
          <w:rFonts w:eastAsia="楷体_GB2312"/>
          <w:kern w:val="0"/>
          <w:sz w:val="24"/>
          <w:lang w:val="zh-CN"/>
        </w:rPr>
      </w:pPr>
      <w:r>
        <w:rPr>
          <w:rFonts w:eastAsia="楷体_GB2312"/>
          <w:kern w:val="0"/>
          <w:sz w:val="24"/>
          <w:lang w:val="zh-CN"/>
        </w:rPr>
        <w:t>信用记录：</w:t>
      </w:r>
    </w:p>
    <w:p>
      <w:pPr>
        <w:widowControl/>
        <w:adjustRightInd w:val="0"/>
        <w:spacing w:line="360" w:lineRule="auto"/>
        <w:ind w:firstLine="480" w:firstLineChars="200"/>
        <w:rPr>
          <w:rFonts w:eastAsia="楷体_GB2312"/>
          <w:kern w:val="0"/>
          <w:sz w:val="24"/>
          <w:lang w:val="zh-CN"/>
        </w:rPr>
      </w:pPr>
      <w:r>
        <w:rPr>
          <w:rFonts w:eastAsia="楷体_GB2312"/>
          <w:kern w:val="0"/>
          <w:sz w:val="24"/>
          <w:lang w:val="zh-CN"/>
        </w:rPr>
        <w:t>根据财库[2016]125号《关于在政府采购活动中查询及使用信用记录有关问题的通知》要求，采购中心会对供应商信用记录进行查询并甄别。</w:t>
      </w:r>
    </w:p>
    <w:p>
      <w:pPr>
        <w:widowControl/>
        <w:adjustRightInd w:val="0"/>
        <w:spacing w:line="360" w:lineRule="auto"/>
        <w:ind w:firstLine="480" w:firstLineChars="200"/>
        <w:rPr>
          <w:rFonts w:eastAsia="楷体_GB2312"/>
          <w:kern w:val="0"/>
          <w:sz w:val="24"/>
          <w:lang w:val="zh-CN"/>
        </w:rPr>
      </w:pPr>
      <w:r>
        <w:rPr>
          <w:rFonts w:eastAsia="楷体_GB2312"/>
          <w:kern w:val="0"/>
          <w:sz w:val="24"/>
          <w:lang w:val="zh-CN"/>
        </w:rPr>
        <w:t>信用信息查询的截止时点：</w:t>
      </w:r>
      <w:r>
        <w:rPr>
          <w:rFonts w:eastAsia="楷体_GB2312"/>
          <w:kern w:val="0"/>
          <w:sz w:val="24"/>
        </w:rPr>
        <w:t>响应</w:t>
      </w:r>
      <w:r>
        <w:rPr>
          <w:rFonts w:eastAsia="楷体_GB2312"/>
          <w:kern w:val="0"/>
          <w:sz w:val="24"/>
          <w:lang w:val="zh-CN"/>
        </w:rPr>
        <w:t>文件签署之日；查询渠道：“信用中国”（</w:t>
      </w:r>
      <w:r>
        <w:fldChar w:fldCharType="begin"/>
      </w:r>
      <w:r>
        <w:instrText xml:space="preserve"> HYPERLINK "http://www.creditchina.gov.cn" </w:instrText>
      </w:r>
      <w:r>
        <w:fldChar w:fldCharType="separate"/>
      </w:r>
      <w:r>
        <w:rPr>
          <w:rFonts w:eastAsia="楷体_GB2312"/>
          <w:kern w:val="0"/>
          <w:sz w:val="24"/>
          <w:lang w:val="zh-CN"/>
        </w:rPr>
        <w:t>www.creditchina.gov.cn</w:t>
      </w:r>
      <w:r>
        <w:rPr>
          <w:rFonts w:eastAsia="楷体_GB2312"/>
          <w:kern w:val="0"/>
          <w:sz w:val="24"/>
          <w:lang w:val="zh-CN"/>
        </w:rPr>
        <w:fldChar w:fldCharType="end"/>
      </w:r>
      <w:r>
        <w:rPr>
          <w:rFonts w:eastAsia="楷体_GB2312"/>
          <w:kern w:val="0"/>
          <w:sz w:val="24"/>
          <w:lang w:val="zh-CN"/>
        </w:rPr>
        <w:t>）、“中国政府采购网”（</w:t>
      </w:r>
      <w:r>
        <w:fldChar w:fldCharType="begin"/>
      </w:r>
      <w:r>
        <w:instrText xml:space="preserve"> HYPERLINK "http://www.ccgp.gov.cn" </w:instrText>
      </w:r>
      <w:r>
        <w:fldChar w:fldCharType="separate"/>
      </w:r>
      <w:r>
        <w:rPr>
          <w:rFonts w:eastAsia="楷体_GB2312"/>
          <w:kern w:val="0"/>
          <w:sz w:val="24"/>
          <w:lang w:val="zh-CN"/>
        </w:rPr>
        <w:t>www.ccgp.gov.cn</w:t>
      </w:r>
      <w:r>
        <w:rPr>
          <w:rFonts w:eastAsia="楷体_GB2312"/>
          <w:kern w:val="0"/>
          <w:sz w:val="24"/>
          <w:lang w:val="zh-CN"/>
        </w:rPr>
        <w:fldChar w:fldCharType="end"/>
      </w:r>
      <w:r>
        <w:rPr>
          <w:rFonts w:eastAsia="楷体_GB2312"/>
          <w:kern w:val="0"/>
          <w:sz w:val="24"/>
          <w:lang w:val="zh-CN"/>
        </w:rPr>
        <w:t>）、“浙江政府采购网</w:t>
      </w:r>
      <w:r>
        <w:rPr>
          <w:szCs w:val="21"/>
        </w:rPr>
        <w:t>（</w:t>
      </w:r>
      <w:r>
        <w:t>http://zfcg.czt.zj.gov.cn/</w:t>
      </w:r>
      <w:r>
        <w:rPr>
          <w:szCs w:val="21"/>
        </w:rPr>
        <w:t>）</w:t>
      </w:r>
      <w:r>
        <w:rPr>
          <w:rFonts w:eastAsia="楷体_GB2312"/>
          <w:kern w:val="0"/>
          <w:sz w:val="24"/>
          <w:lang w:val="zh-CN"/>
        </w:rPr>
        <w:t>；</w:t>
      </w:r>
      <w:r>
        <w:rPr>
          <w:rFonts w:eastAsia="楷体_GB2312"/>
          <w:kern w:val="0"/>
          <w:sz w:val="24"/>
        </w:rPr>
        <w:t>供应商</w:t>
      </w:r>
      <w:r>
        <w:rPr>
          <w:rFonts w:eastAsia="楷体_GB2312"/>
          <w:kern w:val="0"/>
          <w:sz w:val="24"/>
          <w:lang w:val="zh-CN"/>
        </w:rPr>
        <w:t>存在不良信用记录的，其</w:t>
      </w:r>
      <w:r>
        <w:rPr>
          <w:rFonts w:eastAsia="楷体_GB2312"/>
          <w:kern w:val="0"/>
          <w:sz w:val="24"/>
        </w:rPr>
        <w:t>响应文件</w:t>
      </w:r>
      <w:r>
        <w:rPr>
          <w:rFonts w:eastAsia="楷体_GB2312"/>
          <w:kern w:val="0"/>
          <w:sz w:val="24"/>
          <w:lang w:val="zh-CN"/>
        </w:rPr>
        <w:t>将被作为无效</w:t>
      </w:r>
      <w:r>
        <w:rPr>
          <w:rFonts w:eastAsia="楷体_GB2312"/>
          <w:kern w:val="0"/>
          <w:sz w:val="24"/>
        </w:rPr>
        <w:t>文件</w:t>
      </w:r>
      <w:r>
        <w:rPr>
          <w:rFonts w:eastAsia="楷体_GB2312"/>
          <w:kern w:val="0"/>
          <w:sz w:val="24"/>
          <w:lang w:val="zh-CN"/>
        </w:rPr>
        <w:t>被拒绝。</w:t>
      </w:r>
    </w:p>
    <w:p>
      <w:pPr>
        <w:widowControl/>
        <w:adjustRightInd w:val="0"/>
        <w:spacing w:line="360" w:lineRule="auto"/>
        <w:ind w:firstLine="480" w:firstLineChars="200"/>
        <w:rPr>
          <w:rFonts w:eastAsia="楷体_GB2312"/>
          <w:kern w:val="0"/>
          <w:sz w:val="24"/>
          <w:lang w:val="zh-CN"/>
        </w:rPr>
      </w:pPr>
      <w:r>
        <w:rPr>
          <w:rFonts w:eastAsia="楷体_GB2312"/>
          <w:kern w:val="0"/>
          <w:sz w:val="24"/>
          <w:lang w:val="zh-CN"/>
        </w:rPr>
        <w:t>不良信用记录指：“信用中国”被列入失信被执行人和重大税收违法案件当事人名单或存在 《中华人民共和国政府采购法实施条例》 第十九条规定的行政处罚记录（三万元以上（含三万）罚款金额视为较大数额罚款）；中国政府采购网被列入政府采购严重违法失信行为记录名单；浙江政府采购网曝光台中尚在行政处罚期内的；在参与浙江大学的项目中存在缔约过失且未按要求承担缔约过失责任的。</w:t>
      </w:r>
    </w:p>
    <w:p>
      <w:pPr>
        <w:widowControl/>
        <w:numPr>
          <w:ilvl w:val="0"/>
          <w:numId w:val="2"/>
        </w:numPr>
        <w:adjustRightInd w:val="0"/>
        <w:spacing w:line="360" w:lineRule="auto"/>
        <w:rPr>
          <w:rFonts w:eastAsia="楷体_GB2312"/>
          <w:color w:val="010101"/>
          <w:sz w:val="24"/>
        </w:rPr>
      </w:pPr>
      <w:r>
        <w:rPr>
          <w:rFonts w:eastAsia="楷体_GB2312"/>
          <w:color w:val="333333"/>
          <w:sz w:val="24"/>
        </w:rPr>
        <w:t>质疑和投诉：</w:t>
      </w:r>
    </w:p>
    <w:p>
      <w:pPr>
        <w:widowControl/>
        <w:adjustRightInd w:val="0"/>
        <w:spacing w:line="360" w:lineRule="auto"/>
        <w:ind w:firstLine="480" w:firstLineChars="200"/>
        <w:rPr>
          <w:rFonts w:eastAsia="楷体_GB2312"/>
          <w:color w:val="010101"/>
          <w:sz w:val="24"/>
        </w:rPr>
      </w:pPr>
      <w:r>
        <w:rPr>
          <w:rFonts w:eastAsia="楷体_GB2312"/>
          <w:color w:val="010101"/>
          <w:sz w:val="24"/>
        </w:rPr>
        <w:t>供应商应依据《政府采购法》、《政府采购质疑和投诉办法》等法律法规进行质疑和投诉。供应商如认为采购文件、协商过程或者成交结果使自己的权益受到损害的，可以在知道或者应知其权益受到损害之日起7个工作日内向浙江大学采购中心提出质疑。质疑函应现场提交或通过快递方式交邮，现场提交时须同时提交递交人的身份证明和法定代表人授权书，快递提交时建议采用邮政EMS或其他可靠的快递方式。不接受其他方式提交的质疑函。供应商应在法定质疑期内一次性提出针对同一采购程序环节的所有质疑。对质疑答复不满意或者采购中心未在规定时间内作出答复的，质疑供应商可以在答复期满后15个工作日内向本级财政部门提起投诉。</w:t>
      </w:r>
    </w:p>
    <w:p>
      <w:pPr>
        <w:widowControl/>
        <w:adjustRightInd w:val="0"/>
        <w:spacing w:line="360" w:lineRule="auto"/>
        <w:ind w:firstLine="480" w:firstLineChars="200"/>
        <w:rPr>
          <w:rFonts w:eastAsia="楷体_GB2312"/>
          <w:color w:val="010101"/>
          <w:sz w:val="24"/>
        </w:rPr>
      </w:pPr>
      <w:r>
        <w:rPr>
          <w:rFonts w:eastAsia="楷体_GB2312"/>
          <w:color w:val="010101"/>
          <w:sz w:val="24"/>
        </w:rPr>
        <w:t>非政府采购项目，可参照以上要求向浙江大学采购中心提出质疑。</w:t>
      </w:r>
    </w:p>
    <w:p>
      <w:pPr>
        <w:pStyle w:val="61"/>
        <w:numPr>
          <w:ilvl w:val="0"/>
          <w:numId w:val="2"/>
        </w:numPr>
        <w:spacing w:line="360" w:lineRule="auto"/>
        <w:ind w:firstLineChars="0"/>
        <w:rPr>
          <w:rFonts w:eastAsia="楷体_GB2312"/>
          <w:sz w:val="24"/>
          <w:szCs w:val="24"/>
        </w:rPr>
      </w:pPr>
      <w:r>
        <w:rPr>
          <w:rFonts w:eastAsia="楷体_GB2312"/>
          <w:sz w:val="24"/>
          <w:szCs w:val="24"/>
        </w:rPr>
        <w:t>账户信息：</w:t>
      </w:r>
    </w:p>
    <w:p>
      <w:pPr>
        <w:widowControl/>
        <w:spacing w:line="360" w:lineRule="auto"/>
        <w:ind w:firstLine="480" w:firstLineChars="200"/>
        <w:jc w:val="left"/>
        <w:rPr>
          <w:rFonts w:eastAsia="楷体_GB2312"/>
          <w:b/>
          <w:color w:val="010101"/>
          <w:sz w:val="24"/>
        </w:rPr>
      </w:pPr>
      <w:r>
        <w:rPr>
          <w:rFonts w:eastAsia="楷体_GB2312"/>
          <w:b/>
          <w:color w:val="010101"/>
          <w:sz w:val="24"/>
        </w:rPr>
        <w:t>浙江大学帐户</w:t>
      </w:r>
    </w:p>
    <w:p>
      <w:pPr>
        <w:widowControl/>
        <w:spacing w:line="360" w:lineRule="auto"/>
        <w:ind w:firstLine="480" w:firstLineChars="200"/>
        <w:jc w:val="left"/>
        <w:rPr>
          <w:rFonts w:eastAsia="楷体_GB2312"/>
          <w:color w:val="010101"/>
          <w:sz w:val="24"/>
        </w:rPr>
      </w:pPr>
      <w:r>
        <w:rPr>
          <w:rFonts w:eastAsia="楷体_GB2312"/>
          <w:color w:val="010101"/>
          <w:sz w:val="24"/>
        </w:rPr>
        <w:t>帐户名称：浙江大学</w:t>
      </w:r>
    </w:p>
    <w:p>
      <w:pPr>
        <w:widowControl/>
        <w:spacing w:line="360" w:lineRule="auto"/>
        <w:ind w:firstLine="480" w:firstLineChars="200"/>
        <w:jc w:val="left"/>
        <w:rPr>
          <w:rFonts w:eastAsia="楷体_GB2312"/>
          <w:color w:val="010101"/>
          <w:sz w:val="24"/>
        </w:rPr>
      </w:pPr>
      <w:r>
        <w:rPr>
          <w:rFonts w:eastAsia="楷体_GB2312"/>
          <w:color w:val="010101"/>
          <w:sz w:val="24"/>
        </w:rPr>
        <w:t>开户银行：中国农业银行杭州市浙大支行紫金港支行</w:t>
      </w:r>
    </w:p>
    <w:p>
      <w:pPr>
        <w:widowControl/>
        <w:spacing w:line="360" w:lineRule="auto"/>
        <w:ind w:firstLine="480" w:firstLineChars="200"/>
        <w:jc w:val="left"/>
        <w:rPr>
          <w:rFonts w:eastAsia="楷体_GB2312"/>
          <w:sz w:val="24"/>
        </w:rPr>
      </w:pPr>
      <w:r>
        <w:rPr>
          <w:rFonts w:eastAsia="楷体_GB2312"/>
          <w:color w:val="010101"/>
          <w:sz w:val="24"/>
        </w:rPr>
        <w:t>银行账号：19 0422 0104 0000 014</w:t>
      </w:r>
    </w:p>
    <w:p>
      <w:pPr>
        <w:pStyle w:val="61"/>
        <w:numPr>
          <w:ilvl w:val="0"/>
          <w:numId w:val="2"/>
        </w:numPr>
        <w:spacing w:line="360" w:lineRule="auto"/>
        <w:ind w:firstLineChars="0"/>
        <w:rPr>
          <w:rFonts w:eastAsia="楷体_GB2312"/>
          <w:sz w:val="24"/>
          <w:szCs w:val="24"/>
        </w:rPr>
      </w:pPr>
      <w:r>
        <w:rPr>
          <w:rFonts w:eastAsia="楷体_GB2312"/>
          <w:sz w:val="24"/>
          <w:szCs w:val="24"/>
        </w:rPr>
        <w:t>其他</w:t>
      </w:r>
    </w:p>
    <w:p>
      <w:pPr>
        <w:widowControl/>
        <w:adjustRightInd w:val="0"/>
        <w:spacing w:line="360" w:lineRule="auto"/>
        <w:ind w:firstLine="480" w:firstLineChars="200"/>
        <w:rPr>
          <w:rFonts w:eastAsia="楷体_GB2312"/>
          <w:color w:val="010101"/>
          <w:sz w:val="24"/>
        </w:rPr>
      </w:pPr>
      <w:r>
        <w:rPr>
          <w:rFonts w:hint="eastAsia" w:eastAsia="楷体_GB2312"/>
          <w:color w:val="010101"/>
          <w:sz w:val="24"/>
        </w:rPr>
        <w:t>（1）</w:t>
      </w:r>
      <w:r>
        <w:rPr>
          <w:rFonts w:eastAsia="楷体_GB2312"/>
          <w:color w:val="010101"/>
          <w:sz w:val="24"/>
        </w:rPr>
        <w:t>采购方相关公示、公告及其他信息通过浙江大学采购网（http://zupc.zju.edu.cn）外网站发布或通过电子邮件方式发送供应商在报名时提供的电子邮箱，即视为供应商“知道或者应知”此事。供应商应确保报名时提供的邮箱在本次协商活动期间能正常可靠使用。</w:t>
      </w:r>
    </w:p>
    <w:p>
      <w:pPr>
        <w:widowControl/>
        <w:adjustRightInd w:val="0"/>
        <w:spacing w:line="360" w:lineRule="auto"/>
        <w:ind w:firstLine="480" w:firstLineChars="200"/>
        <w:rPr>
          <w:rFonts w:eastAsia="楷体_GB2312"/>
          <w:color w:val="010101"/>
          <w:sz w:val="24"/>
        </w:rPr>
      </w:pPr>
      <w:r>
        <w:rPr>
          <w:rFonts w:hint="eastAsia" w:eastAsia="楷体_GB2312"/>
          <w:color w:val="010101"/>
          <w:sz w:val="24"/>
        </w:rPr>
        <w:t>（2）</w:t>
      </w:r>
      <w:r>
        <w:rPr>
          <w:rFonts w:eastAsia="楷体_GB2312"/>
          <w:color w:val="010101"/>
          <w:sz w:val="24"/>
        </w:rPr>
        <w:t>本次协商活动期间前来采购中心办理相关事宜的供应商代表均须出具公司有效授权。</w:t>
      </w:r>
    </w:p>
    <w:p>
      <w:pPr>
        <w:pStyle w:val="61"/>
        <w:spacing w:line="360" w:lineRule="auto"/>
        <w:ind w:firstLine="0" w:firstLineChars="0"/>
        <w:rPr>
          <w:rFonts w:eastAsia="楷体_GB2312"/>
          <w:sz w:val="24"/>
          <w:szCs w:val="24"/>
        </w:rPr>
      </w:pPr>
    </w:p>
    <w:p>
      <w:pPr>
        <w:pStyle w:val="5"/>
        <w:numPr>
          <w:ilvl w:val="0"/>
          <w:numId w:val="0"/>
        </w:numPr>
        <w:spacing w:line="360" w:lineRule="auto"/>
        <w:rPr>
          <w:rFonts w:ascii="Times New Roman" w:hAnsi="Times New Roman" w:eastAsia="楷体_GB2312"/>
          <w:b w:val="0"/>
          <w:sz w:val="24"/>
          <w:szCs w:val="24"/>
        </w:rPr>
      </w:pPr>
      <w:r>
        <w:rPr>
          <w:rFonts w:ascii="Times New Roman" w:hAnsi="Times New Roman" w:eastAsia="楷体_GB2312"/>
          <w:b w:val="0"/>
          <w:sz w:val="24"/>
          <w:szCs w:val="24"/>
        </w:rPr>
        <w:t>八、凡对本次采购提出询问，请按以下方式联系。</w:t>
      </w:r>
    </w:p>
    <w:p>
      <w:pPr>
        <w:spacing w:line="360" w:lineRule="auto"/>
        <w:ind w:firstLine="720" w:firstLineChars="300"/>
        <w:rPr>
          <w:rFonts w:eastAsia="楷体_GB2312"/>
          <w:sz w:val="24"/>
        </w:rPr>
      </w:pPr>
      <w:r>
        <w:rPr>
          <w:rFonts w:eastAsia="楷体_GB2312"/>
          <w:sz w:val="24"/>
        </w:rPr>
        <w:t>　1.采购人信息</w:t>
      </w:r>
    </w:p>
    <w:p>
      <w:pPr>
        <w:spacing w:line="360" w:lineRule="auto"/>
        <w:ind w:firstLine="720" w:firstLineChars="300"/>
        <w:rPr>
          <w:rFonts w:eastAsia="楷体_GB2312"/>
          <w:sz w:val="24"/>
        </w:rPr>
      </w:pPr>
      <w:r>
        <w:rPr>
          <w:rFonts w:eastAsia="楷体_GB2312"/>
          <w:sz w:val="24"/>
        </w:rPr>
        <w:t>名 称：　浙江大学　　　　　          　　</w:t>
      </w:r>
    </w:p>
    <w:p>
      <w:pPr>
        <w:spacing w:line="360" w:lineRule="auto"/>
        <w:ind w:firstLine="720" w:firstLineChars="300"/>
        <w:rPr>
          <w:rFonts w:eastAsia="楷体_GB2312"/>
          <w:sz w:val="24"/>
        </w:rPr>
      </w:pPr>
      <w:r>
        <w:rPr>
          <w:rFonts w:eastAsia="楷体_GB2312"/>
          <w:sz w:val="24"/>
        </w:rPr>
        <w:t>地址：　杭州市西湖区余杭塘路866号　　 　</w:t>
      </w:r>
    </w:p>
    <w:p>
      <w:pPr>
        <w:spacing w:line="360" w:lineRule="auto"/>
        <w:ind w:firstLine="720" w:firstLineChars="300"/>
        <w:rPr>
          <w:rFonts w:eastAsia="楷体_GB2312"/>
          <w:sz w:val="24"/>
        </w:rPr>
      </w:pPr>
      <w:r>
        <w:rPr>
          <w:rFonts w:eastAsia="楷体_GB2312"/>
          <w:sz w:val="24"/>
        </w:rPr>
        <w:t>联系方式：　</w:t>
      </w:r>
      <w:r>
        <w:fldChar w:fldCharType="begin"/>
      </w:r>
      <w:r>
        <w:instrText xml:space="preserve"> HYPERLINK "mailto:zupc@zju.edu.cn" </w:instrText>
      </w:r>
      <w:r>
        <w:fldChar w:fldCharType="separate"/>
      </w:r>
      <w:r>
        <w:rPr>
          <w:rFonts w:eastAsia="楷体_GB2312"/>
          <w:sz w:val="24"/>
        </w:rPr>
        <w:t>zupc@zju.edu.cn</w:t>
      </w:r>
      <w:r>
        <w:rPr>
          <w:rFonts w:eastAsia="楷体_GB2312"/>
          <w:sz w:val="24"/>
        </w:rPr>
        <w:fldChar w:fldCharType="end"/>
      </w:r>
      <w:r>
        <w:rPr>
          <w:rFonts w:eastAsia="楷体_GB2312"/>
          <w:sz w:val="24"/>
        </w:rPr>
        <w:t xml:space="preserve">　　　　 　　 </w:t>
      </w:r>
    </w:p>
    <w:p>
      <w:pPr>
        <w:spacing w:line="360" w:lineRule="auto"/>
        <w:ind w:firstLine="720" w:firstLineChars="300"/>
        <w:rPr>
          <w:rFonts w:eastAsia="楷体_GB2312"/>
          <w:sz w:val="24"/>
        </w:rPr>
      </w:pPr>
      <w:r>
        <w:rPr>
          <w:rFonts w:eastAsia="楷体_GB2312"/>
          <w:sz w:val="24"/>
        </w:rPr>
        <w:t>2.采购执行机构信息</w:t>
      </w:r>
    </w:p>
    <w:p>
      <w:pPr>
        <w:spacing w:line="360" w:lineRule="auto"/>
        <w:ind w:firstLine="720" w:firstLineChars="300"/>
        <w:rPr>
          <w:rFonts w:eastAsia="楷体_GB2312"/>
          <w:sz w:val="24"/>
        </w:rPr>
      </w:pPr>
      <w:r>
        <w:rPr>
          <w:rFonts w:eastAsia="楷体_GB2312"/>
          <w:sz w:val="24"/>
        </w:rPr>
        <w:t>名 称：　浙江大学采购中心　　　　　　　　　</w:t>
      </w:r>
    </w:p>
    <w:p>
      <w:pPr>
        <w:spacing w:line="360" w:lineRule="auto"/>
        <w:ind w:firstLine="720" w:firstLineChars="300"/>
        <w:rPr>
          <w:rFonts w:eastAsia="楷体_GB2312"/>
          <w:sz w:val="24"/>
        </w:rPr>
      </w:pPr>
      <w:r>
        <w:rPr>
          <w:rFonts w:eastAsia="楷体_GB2312"/>
          <w:sz w:val="24"/>
        </w:rPr>
        <w:t>地　址：　浙江大学紫金港校区东四118室　　　</w:t>
      </w:r>
    </w:p>
    <w:p>
      <w:pPr>
        <w:spacing w:line="360" w:lineRule="auto"/>
        <w:ind w:firstLine="720" w:firstLineChars="300"/>
        <w:rPr>
          <w:rFonts w:eastAsia="楷体_GB2312"/>
          <w:sz w:val="24"/>
        </w:rPr>
      </w:pPr>
      <w:r>
        <w:rPr>
          <w:rFonts w:eastAsia="楷体_GB2312"/>
          <w:sz w:val="24"/>
        </w:rPr>
        <w:t>联系方式：　　</w:t>
      </w:r>
      <w:r>
        <w:fldChar w:fldCharType="begin"/>
      </w:r>
      <w:r>
        <w:instrText xml:space="preserve"> HYPERLINK "mailto:caigou@zju.edu.cn" </w:instrText>
      </w:r>
      <w:r>
        <w:fldChar w:fldCharType="separate"/>
      </w:r>
      <w:r>
        <w:rPr>
          <w:rFonts w:eastAsia="楷体_GB2312"/>
          <w:sz w:val="24"/>
        </w:rPr>
        <w:t>caigou@zju.edu.cn</w:t>
      </w:r>
      <w:r>
        <w:rPr>
          <w:rFonts w:eastAsia="楷体_GB2312"/>
          <w:sz w:val="24"/>
        </w:rPr>
        <w:fldChar w:fldCharType="end"/>
      </w:r>
      <w:r>
        <w:rPr>
          <w:rFonts w:eastAsia="楷体_GB2312"/>
          <w:sz w:val="24"/>
        </w:rPr>
        <w:t>　　　　　 　</w:t>
      </w:r>
    </w:p>
    <w:p>
      <w:pPr>
        <w:spacing w:line="360" w:lineRule="auto"/>
        <w:ind w:firstLine="720" w:firstLineChars="300"/>
        <w:rPr>
          <w:rFonts w:eastAsia="楷体_GB2312"/>
          <w:sz w:val="24"/>
        </w:rPr>
      </w:pPr>
      <w:r>
        <w:rPr>
          <w:rFonts w:eastAsia="楷体_GB2312"/>
          <w:sz w:val="24"/>
        </w:rPr>
        <w:t>3.项目联系方式</w:t>
      </w:r>
    </w:p>
    <w:p>
      <w:pPr>
        <w:spacing w:line="360" w:lineRule="auto"/>
        <w:ind w:firstLine="720" w:firstLineChars="300"/>
        <w:rPr>
          <w:rFonts w:eastAsia="楷体_GB2312"/>
          <w:sz w:val="24"/>
        </w:rPr>
      </w:pPr>
      <w:r>
        <w:rPr>
          <w:rFonts w:eastAsia="楷体_GB2312"/>
          <w:sz w:val="24"/>
        </w:rPr>
        <w:t xml:space="preserve">项目联系人： 杨老师、谢老师    </w:t>
      </w:r>
    </w:p>
    <w:p>
      <w:pPr>
        <w:spacing w:line="360" w:lineRule="auto"/>
        <w:ind w:firstLine="720" w:firstLineChars="300"/>
        <w:rPr>
          <w:rFonts w:eastAsia="楷体_GB2312"/>
          <w:sz w:val="24"/>
        </w:rPr>
      </w:pPr>
      <w:r>
        <w:rPr>
          <w:rFonts w:eastAsia="楷体_GB2312"/>
          <w:sz w:val="24"/>
        </w:rPr>
        <w:t>电　话：　　　0571-88206325　　　　　　　　　</w:t>
      </w:r>
    </w:p>
    <w:p>
      <w:pPr>
        <w:spacing w:line="360" w:lineRule="auto"/>
        <w:ind w:firstLine="720" w:firstLineChars="300"/>
        <w:rPr>
          <w:rFonts w:eastAsia="楷体_GB2312"/>
          <w:sz w:val="24"/>
        </w:rPr>
      </w:pPr>
      <w:r>
        <w:rPr>
          <w:rFonts w:eastAsia="楷体_GB2312"/>
          <w:sz w:val="24"/>
        </w:rPr>
        <w:t>邮  箱：　　　</w:t>
      </w:r>
      <w:r>
        <w:fldChar w:fldCharType="begin"/>
      </w:r>
      <w:r>
        <w:instrText xml:space="preserve"> HYPERLINK "mailto:caigou@zju.edu.cn" </w:instrText>
      </w:r>
      <w:r>
        <w:fldChar w:fldCharType="separate"/>
      </w:r>
      <w:r>
        <w:rPr>
          <w:rFonts w:eastAsia="楷体_GB2312"/>
          <w:sz w:val="24"/>
        </w:rPr>
        <w:t>caigou@zju.edu.cn</w:t>
      </w:r>
      <w:r>
        <w:rPr>
          <w:rFonts w:eastAsia="楷体_GB2312"/>
          <w:sz w:val="24"/>
        </w:rPr>
        <w:fldChar w:fldCharType="end"/>
      </w:r>
      <w:r>
        <w:rPr>
          <w:rFonts w:eastAsia="楷体_GB2312"/>
          <w:sz w:val="24"/>
        </w:rPr>
        <w:t>　　　　　　　</w:t>
      </w:r>
    </w:p>
    <w:p>
      <w:pPr>
        <w:spacing w:line="360" w:lineRule="auto"/>
        <w:ind w:firstLine="720" w:firstLineChars="300"/>
        <w:rPr>
          <w:rFonts w:eastAsia="楷体_GB2312"/>
          <w:sz w:val="24"/>
        </w:rPr>
      </w:pPr>
      <w:r>
        <w:rPr>
          <w:rFonts w:eastAsia="楷体_GB2312"/>
          <w:sz w:val="24"/>
        </w:rPr>
        <w:t>4.书面质疑提交方式</w:t>
      </w:r>
    </w:p>
    <w:p>
      <w:pPr>
        <w:spacing w:line="360" w:lineRule="auto"/>
        <w:ind w:firstLine="720" w:firstLineChars="300"/>
        <w:rPr>
          <w:rFonts w:eastAsia="楷体_GB2312"/>
          <w:sz w:val="24"/>
        </w:rPr>
      </w:pPr>
      <w:r>
        <w:rPr>
          <w:rFonts w:eastAsia="楷体_GB2312"/>
          <w:sz w:val="24"/>
        </w:rPr>
        <w:t>方  式：邮寄或现场（携带授权书及身份证）提交</w:t>
      </w:r>
    </w:p>
    <w:p>
      <w:pPr>
        <w:spacing w:line="360" w:lineRule="auto"/>
        <w:ind w:firstLine="720" w:firstLineChars="300"/>
        <w:rPr>
          <w:rFonts w:eastAsia="楷体_GB2312"/>
          <w:sz w:val="24"/>
        </w:rPr>
      </w:pPr>
      <w:r>
        <w:rPr>
          <w:rFonts w:eastAsia="楷体_GB2312"/>
          <w:sz w:val="24"/>
        </w:rPr>
        <w:t>地　址：　浙江大学紫金港校区东四118B室　　　</w:t>
      </w:r>
    </w:p>
    <w:p>
      <w:pPr>
        <w:spacing w:line="360" w:lineRule="auto"/>
        <w:ind w:firstLine="720" w:firstLineChars="300"/>
        <w:rPr>
          <w:rFonts w:eastAsia="楷体_GB2312"/>
          <w:sz w:val="24"/>
        </w:rPr>
      </w:pPr>
      <w:r>
        <w:rPr>
          <w:rFonts w:eastAsia="楷体_GB2312"/>
          <w:sz w:val="24"/>
        </w:rPr>
        <w:t xml:space="preserve">收件人：     杭老师    </w:t>
      </w:r>
    </w:p>
    <w:p>
      <w:pPr>
        <w:sectPr>
          <w:headerReference r:id="rId5" w:type="default"/>
          <w:footerReference r:id="rId6" w:type="default"/>
          <w:type w:val="continuous"/>
          <w:pgSz w:w="11906" w:h="16838"/>
          <w:pgMar w:top="907" w:right="1418" w:bottom="567" w:left="1418" w:header="851" w:footer="992" w:gutter="0"/>
          <w:pgNumType w:start="1"/>
          <w:cols w:space="720" w:num="1"/>
          <w:docGrid w:type="linesAndChars" w:linePitch="312" w:charSpace="0"/>
        </w:sectPr>
      </w:pPr>
    </w:p>
    <w:p>
      <w:pPr>
        <w:pStyle w:val="6"/>
        <w:numPr>
          <w:ilvl w:val="0"/>
          <w:numId w:val="0"/>
        </w:numPr>
        <w:spacing w:line="460" w:lineRule="exact"/>
        <w:jc w:val="center"/>
        <w:rPr>
          <w:rFonts w:ascii="Times New Roman"/>
          <w:sz w:val="36"/>
        </w:rPr>
      </w:pPr>
      <w:bookmarkStart w:id="7" w:name="_Toc322331140"/>
      <w:bookmarkStart w:id="8" w:name="_Toc322331219"/>
      <w:bookmarkStart w:id="9" w:name="_Toc39049588"/>
      <w:r>
        <w:rPr>
          <w:rFonts w:ascii="Times New Roman"/>
          <w:sz w:val="36"/>
        </w:rPr>
        <w:t>二、单 一 来 源 谈 判 须 知</w:t>
      </w:r>
      <w:bookmarkEnd w:id="7"/>
      <w:bookmarkEnd w:id="8"/>
      <w:bookmarkEnd w:id="9"/>
    </w:p>
    <w:p>
      <w:pPr>
        <w:spacing w:line="500" w:lineRule="exact"/>
        <w:ind w:firstLine="482" w:firstLineChars="200"/>
        <w:jc w:val="left"/>
        <w:rPr>
          <w:rFonts w:eastAsia="楷体_GB2312"/>
          <w:b/>
          <w:bCs/>
          <w:sz w:val="24"/>
        </w:rPr>
      </w:pPr>
      <w:r>
        <w:rPr>
          <w:rFonts w:eastAsia="楷体_GB2312"/>
          <w:b/>
          <w:bCs/>
          <w:sz w:val="24"/>
        </w:rPr>
        <w:t>1、适用范围</w:t>
      </w:r>
    </w:p>
    <w:p>
      <w:pPr>
        <w:spacing w:line="500" w:lineRule="exact"/>
        <w:ind w:firstLine="960" w:firstLineChars="400"/>
        <w:jc w:val="left"/>
        <w:rPr>
          <w:rFonts w:eastAsia="楷体_GB2312"/>
          <w:sz w:val="24"/>
        </w:rPr>
      </w:pPr>
      <w:r>
        <w:rPr>
          <w:rFonts w:eastAsia="楷体_GB2312"/>
          <w:sz w:val="24"/>
        </w:rPr>
        <w:t>本谈判文件仅适用于本次单一来源谈判采购所叙述的采购项目。</w:t>
      </w:r>
    </w:p>
    <w:p>
      <w:pPr>
        <w:spacing w:line="500" w:lineRule="exact"/>
        <w:ind w:firstLine="482" w:firstLineChars="200"/>
        <w:jc w:val="left"/>
        <w:rPr>
          <w:rFonts w:eastAsia="黑体"/>
          <w:b/>
          <w:bCs/>
          <w:sz w:val="24"/>
        </w:rPr>
      </w:pPr>
      <w:r>
        <w:rPr>
          <w:rFonts w:eastAsia="楷体_GB2312"/>
          <w:b/>
          <w:bCs/>
          <w:sz w:val="24"/>
        </w:rPr>
        <w:t>2、定义</w:t>
      </w:r>
    </w:p>
    <w:p>
      <w:pPr>
        <w:spacing w:line="500" w:lineRule="exact"/>
        <w:ind w:left="718" w:leftChars="342"/>
        <w:jc w:val="left"/>
        <w:rPr>
          <w:sz w:val="24"/>
        </w:rPr>
      </w:pPr>
      <w:r>
        <w:rPr>
          <w:rFonts w:eastAsia="楷体_GB2312"/>
          <w:sz w:val="24"/>
        </w:rPr>
        <w:t>（1）“采购方”系指按学校采购有关规定，受使用单位委托，组织本次谈判的浙江大学采购中心</w:t>
      </w:r>
      <w:r>
        <w:rPr>
          <w:sz w:val="24"/>
        </w:rPr>
        <w:t>。</w:t>
      </w:r>
    </w:p>
    <w:p>
      <w:pPr>
        <w:spacing w:line="500" w:lineRule="exact"/>
        <w:ind w:firstLine="720" w:firstLineChars="300"/>
        <w:jc w:val="left"/>
        <w:rPr>
          <w:rFonts w:eastAsia="楷体_GB2312"/>
          <w:sz w:val="24"/>
        </w:rPr>
      </w:pPr>
      <w:r>
        <w:rPr>
          <w:rFonts w:eastAsia="楷体_GB2312"/>
          <w:sz w:val="24"/>
        </w:rPr>
        <w:t>（2）“谈判响应方”系指向需方递交谈判响应文件的供应商。</w:t>
      </w:r>
    </w:p>
    <w:p>
      <w:pPr>
        <w:spacing w:line="500" w:lineRule="exact"/>
        <w:ind w:firstLine="720" w:firstLineChars="300"/>
        <w:jc w:val="left"/>
        <w:rPr>
          <w:rFonts w:eastAsia="楷体_GB2312"/>
          <w:sz w:val="24"/>
        </w:rPr>
      </w:pPr>
      <w:r>
        <w:rPr>
          <w:rFonts w:eastAsia="楷体_GB2312"/>
          <w:sz w:val="24"/>
        </w:rPr>
        <w:t>（3）“采购项目”系指按谈判文件要求的采购项目。</w:t>
      </w:r>
    </w:p>
    <w:p>
      <w:pPr>
        <w:spacing w:line="500" w:lineRule="exact"/>
        <w:ind w:firstLine="482" w:firstLineChars="200"/>
        <w:jc w:val="left"/>
        <w:rPr>
          <w:rFonts w:eastAsia="楷体_GB2312"/>
          <w:b/>
          <w:bCs/>
          <w:sz w:val="24"/>
        </w:rPr>
      </w:pPr>
      <w:r>
        <w:rPr>
          <w:rFonts w:eastAsia="楷体_GB2312"/>
          <w:b/>
          <w:bCs/>
          <w:sz w:val="24"/>
        </w:rPr>
        <w:t>3、谈判响应方资格要求</w:t>
      </w:r>
    </w:p>
    <w:p>
      <w:pPr>
        <w:widowControl/>
        <w:adjustRightInd w:val="0"/>
        <w:spacing w:line="360" w:lineRule="auto"/>
        <w:ind w:firstLine="560"/>
        <w:jc w:val="left"/>
        <w:rPr>
          <w:rFonts w:eastAsia="楷体_GB2312"/>
          <w:sz w:val="24"/>
        </w:rPr>
      </w:pPr>
      <w:r>
        <w:rPr>
          <w:rFonts w:eastAsia="楷体_GB2312"/>
          <w:sz w:val="24"/>
          <w:szCs w:val="18"/>
        </w:rPr>
        <w:t>符合《中华人民共和国政府采购法》对投标主体的要求</w:t>
      </w:r>
      <w:r>
        <w:rPr>
          <w:rFonts w:eastAsia="楷体_GB2312"/>
          <w:sz w:val="24"/>
        </w:rPr>
        <w:t>。</w:t>
      </w:r>
    </w:p>
    <w:p>
      <w:pPr>
        <w:spacing w:line="500" w:lineRule="exact"/>
        <w:ind w:firstLine="482" w:firstLineChars="200"/>
        <w:jc w:val="left"/>
        <w:rPr>
          <w:rFonts w:eastAsia="楷体_GB2312"/>
          <w:b/>
          <w:bCs/>
          <w:sz w:val="24"/>
        </w:rPr>
      </w:pPr>
      <w:r>
        <w:rPr>
          <w:rFonts w:eastAsia="楷体_GB2312"/>
          <w:b/>
          <w:bCs/>
          <w:sz w:val="24"/>
        </w:rPr>
        <w:t>4、谈判内容</w:t>
      </w:r>
    </w:p>
    <w:p>
      <w:pPr>
        <w:spacing w:line="500" w:lineRule="exact"/>
        <w:ind w:firstLine="1200" w:firstLineChars="500"/>
        <w:rPr>
          <w:b/>
          <w:bCs/>
          <w:sz w:val="28"/>
        </w:rPr>
      </w:pPr>
      <w:r>
        <w:rPr>
          <w:rFonts w:eastAsia="楷体_GB2312"/>
          <w:sz w:val="24"/>
        </w:rPr>
        <w:t xml:space="preserve"> 详见</w:t>
      </w:r>
      <w:r>
        <w:rPr>
          <w:rFonts w:eastAsia="楷体_GB2312"/>
          <w:bCs/>
          <w:sz w:val="24"/>
        </w:rPr>
        <w:t>设备数量和技术要求（</w:t>
      </w:r>
      <w:r>
        <w:rPr>
          <w:rFonts w:eastAsia="楷体_GB2312"/>
          <w:sz w:val="24"/>
        </w:rPr>
        <w:t>附件一）。</w:t>
      </w:r>
    </w:p>
    <w:p>
      <w:pPr>
        <w:spacing w:line="500" w:lineRule="exact"/>
        <w:ind w:firstLine="482" w:firstLineChars="200"/>
        <w:jc w:val="left"/>
        <w:rPr>
          <w:rFonts w:eastAsia="楷体_GB2312"/>
          <w:b/>
          <w:bCs/>
          <w:sz w:val="24"/>
        </w:rPr>
      </w:pPr>
      <w:r>
        <w:rPr>
          <w:rFonts w:eastAsia="楷体_GB2312"/>
          <w:b/>
          <w:bCs/>
          <w:sz w:val="24"/>
        </w:rPr>
        <w:t>5、谈判费用</w:t>
      </w:r>
    </w:p>
    <w:p>
      <w:pPr>
        <w:spacing w:line="500" w:lineRule="exact"/>
        <w:ind w:left="779" w:leftChars="371" w:firstLine="120" w:firstLineChars="50"/>
        <w:jc w:val="left"/>
        <w:rPr>
          <w:sz w:val="24"/>
        </w:rPr>
      </w:pPr>
      <w:r>
        <w:rPr>
          <w:rFonts w:eastAsia="楷体_GB2312"/>
          <w:sz w:val="24"/>
        </w:rPr>
        <w:t xml:space="preserve">   无论谈判过程和结果如何，谈判响应方均自行承担与本次谈判有关的全部费用。</w:t>
      </w:r>
    </w:p>
    <w:p>
      <w:pPr>
        <w:spacing w:line="500" w:lineRule="exact"/>
        <w:ind w:firstLine="482" w:firstLineChars="200"/>
        <w:jc w:val="left"/>
        <w:rPr>
          <w:rFonts w:eastAsia="楷体_GB2312"/>
          <w:b/>
          <w:bCs/>
          <w:sz w:val="24"/>
        </w:rPr>
      </w:pPr>
      <w:r>
        <w:rPr>
          <w:rFonts w:eastAsia="楷体_GB2312"/>
          <w:b/>
          <w:bCs/>
          <w:sz w:val="24"/>
        </w:rPr>
        <w:t>6、</w:t>
      </w:r>
      <w:r>
        <w:rPr>
          <w:rFonts w:hint="eastAsia" w:eastAsia="楷体_GB2312"/>
          <w:b/>
          <w:bCs/>
          <w:sz w:val="24"/>
        </w:rPr>
        <w:t>谈判报价说明</w:t>
      </w:r>
    </w:p>
    <w:p>
      <w:pPr>
        <w:spacing w:line="500" w:lineRule="exact"/>
        <w:ind w:firstLine="480" w:firstLineChars="200"/>
        <w:jc w:val="left"/>
        <w:rPr>
          <w:rFonts w:eastAsia="楷体_GB2312"/>
          <w:sz w:val="24"/>
        </w:rPr>
      </w:pPr>
      <w:r>
        <w:rPr>
          <w:rFonts w:hint="eastAsia" w:eastAsia="楷体_GB2312"/>
          <w:sz w:val="24"/>
        </w:rPr>
        <w:t xml:space="preserve"> </w:t>
      </w:r>
      <w:r>
        <w:rPr>
          <w:rFonts w:eastAsia="楷体_GB2312"/>
          <w:sz w:val="24"/>
        </w:rPr>
        <w:t>本项目预</w:t>
      </w:r>
      <w:r>
        <w:rPr>
          <w:rFonts w:eastAsia="楷体_GB2312"/>
          <w:color w:val="FF0000"/>
          <w:sz w:val="24"/>
        </w:rPr>
        <w:t>算</w:t>
      </w:r>
      <w:r>
        <w:rPr>
          <w:rFonts w:hint="eastAsia" w:eastAsia="楷体_GB2312"/>
          <w:color w:val="FF0000"/>
          <w:sz w:val="24"/>
        </w:rPr>
        <w:t>199万</w:t>
      </w:r>
      <w:r>
        <w:rPr>
          <w:rFonts w:eastAsia="楷体_GB2312"/>
          <w:color w:val="FF0000"/>
          <w:sz w:val="24"/>
        </w:rPr>
        <w:t>元人民币</w:t>
      </w:r>
      <w:r>
        <w:rPr>
          <w:rFonts w:eastAsia="楷体_GB2312"/>
          <w:sz w:val="24"/>
        </w:rPr>
        <w:t>，</w:t>
      </w:r>
      <w:r>
        <w:rPr>
          <w:rFonts w:hint="eastAsia" w:eastAsia="楷体_GB2312"/>
          <w:sz w:val="24"/>
        </w:rPr>
        <w:t>最终谈判</w:t>
      </w:r>
      <w:r>
        <w:rPr>
          <w:rFonts w:eastAsia="楷体_GB2312"/>
          <w:sz w:val="24"/>
        </w:rPr>
        <w:t>报价应为人民币报价且应在项目预算之内，不符合此要求的</w:t>
      </w:r>
      <w:r>
        <w:rPr>
          <w:rFonts w:hint="eastAsia" w:eastAsia="楷体_GB2312"/>
          <w:sz w:val="24"/>
        </w:rPr>
        <w:t>投标</w:t>
      </w:r>
      <w:r>
        <w:rPr>
          <w:rFonts w:eastAsia="楷体_GB2312"/>
          <w:sz w:val="24"/>
        </w:rPr>
        <w:t>文件按无效标处理。</w:t>
      </w:r>
    </w:p>
    <w:p>
      <w:pPr>
        <w:spacing w:line="500" w:lineRule="exact"/>
        <w:ind w:left="779" w:leftChars="371" w:firstLine="120" w:firstLineChars="50"/>
        <w:jc w:val="left"/>
        <w:rPr>
          <w:rFonts w:eastAsia="楷体_GB2312"/>
          <w:sz w:val="24"/>
        </w:rPr>
      </w:pPr>
      <w:r>
        <w:rPr>
          <w:rFonts w:hint="eastAsia" w:eastAsia="楷体_GB2312"/>
          <w:sz w:val="24"/>
        </w:rPr>
        <w:t>6.</w:t>
      </w:r>
      <w:r>
        <w:rPr>
          <w:rFonts w:eastAsia="楷体_GB2312"/>
          <w:sz w:val="24"/>
        </w:rPr>
        <w:t xml:space="preserve">1、不管是否为进口产品，供应商均应以人民币报价，人民币报价直接作为价格分计算依据。 </w:t>
      </w:r>
    </w:p>
    <w:p>
      <w:pPr>
        <w:spacing w:line="500" w:lineRule="exact"/>
        <w:ind w:left="779" w:leftChars="371" w:firstLine="120" w:firstLineChars="50"/>
        <w:jc w:val="left"/>
        <w:rPr>
          <w:rFonts w:eastAsia="楷体_GB2312"/>
          <w:sz w:val="24"/>
        </w:rPr>
      </w:pPr>
      <w:r>
        <w:rPr>
          <w:rFonts w:hint="eastAsia" w:eastAsia="楷体_GB2312"/>
          <w:sz w:val="24"/>
        </w:rPr>
        <w:t>6.</w:t>
      </w:r>
      <w:r>
        <w:rPr>
          <w:rFonts w:eastAsia="楷体_GB2312"/>
          <w:sz w:val="24"/>
        </w:rPr>
        <w:t>2、</w:t>
      </w:r>
      <w:r>
        <w:rPr>
          <w:rFonts w:hint="eastAsia" w:eastAsia="楷体_GB2312"/>
          <w:sz w:val="24"/>
        </w:rPr>
        <w:t>成交供应</w:t>
      </w:r>
      <w:r>
        <w:rPr>
          <w:rFonts w:eastAsia="楷体_GB2312"/>
          <w:sz w:val="24"/>
        </w:rPr>
        <w:t>商如与境外供应商约定外币计价的，汇率风险由</w:t>
      </w:r>
      <w:r>
        <w:rPr>
          <w:rFonts w:hint="eastAsia" w:eastAsia="楷体_GB2312"/>
          <w:sz w:val="24"/>
        </w:rPr>
        <w:t>成交供应商自行</w:t>
      </w:r>
      <w:r>
        <w:rPr>
          <w:rFonts w:eastAsia="楷体_GB2312"/>
          <w:sz w:val="24"/>
        </w:rPr>
        <w:t xml:space="preserve">承担。 </w:t>
      </w:r>
    </w:p>
    <w:p>
      <w:pPr>
        <w:spacing w:line="500" w:lineRule="exact"/>
        <w:ind w:left="779" w:leftChars="371" w:firstLine="120" w:firstLineChars="50"/>
        <w:jc w:val="left"/>
        <w:rPr>
          <w:rFonts w:eastAsia="楷体_GB2312"/>
          <w:sz w:val="24"/>
        </w:rPr>
      </w:pPr>
      <w:r>
        <w:rPr>
          <w:rFonts w:hint="eastAsia" w:eastAsia="楷体_GB2312"/>
          <w:sz w:val="24"/>
        </w:rPr>
        <w:t>6.</w:t>
      </w:r>
      <w:r>
        <w:rPr>
          <w:rFonts w:eastAsia="楷体_GB2312"/>
          <w:sz w:val="24"/>
        </w:rPr>
        <w:t>3、如需</w:t>
      </w:r>
      <w:r>
        <w:rPr>
          <w:rFonts w:hint="eastAsia" w:eastAsia="楷体_GB2312"/>
          <w:sz w:val="24"/>
        </w:rPr>
        <w:t>采购方</w:t>
      </w:r>
      <w:r>
        <w:rPr>
          <w:rFonts w:eastAsia="楷体_GB2312"/>
          <w:sz w:val="24"/>
        </w:rPr>
        <w:t>办理进口（减免税）手续，由采购</w:t>
      </w:r>
      <w:r>
        <w:rPr>
          <w:rFonts w:hint="eastAsia" w:eastAsia="楷体_GB2312"/>
          <w:sz w:val="24"/>
        </w:rPr>
        <w:t>方</w:t>
      </w:r>
      <w:r>
        <w:rPr>
          <w:rFonts w:eastAsia="楷体_GB2312"/>
          <w:sz w:val="24"/>
        </w:rPr>
        <w:t>指定外贸代理机构</w:t>
      </w:r>
      <w:r>
        <w:rPr>
          <w:rFonts w:hint="eastAsia" w:eastAsia="楷体_GB2312"/>
          <w:sz w:val="24"/>
        </w:rPr>
        <w:t>办理</w:t>
      </w:r>
      <w:r>
        <w:rPr>
          <w:rFonts w:eastAsia="楷体_GB2312"/>
          <w:sz w:val="24"/>
        </w:rPr>
        <w:t>。</w:t>
      </w:r>
      <w:r>
        <w:rPr>
          <w:rFonts w:hint="eastAsia" w:eastAsia="楷体_GB2312"/>
          <w:sz w:val="24"/>
        </w:rPr>
        <w:t>代理费由成交供应商支付。代理费相关事宜详细见下述《外贸代理费说明》。</w:t>
      </w:r>
    </w:p>
    <w:p>
      <w:pPr>
        <w:spacing w:line="500" w:lineRule="exact"/>
        <w:ind w:left="779" w:leftChars="371" w:firstLine="120" w:firstLineChars="50"/>
        <w:jc w:val="left"/>
        <w:rPr>
          <w:rFonts w:eastAsia="楷体_GB2312"/>
          <w:sz w:val="24"/>
        </w:rPr>
      </w:pPr>
      <w:r>
        <w:rPr>
          <w:rFonts w:hint="eastAsia" w:eastAsia="楷体_GB2312"/>
          <w:sz w:val="24"/>
        </w:rPr>
        <w:t>6.4 外贸代理费说明:</w:t>
      </w:r>
    </w:p>
    <w:p>
      <w:pPr>
        <w:autoSpaceDE w:val="0"/>
        <w:autoSpaceDN w:val="0"/>
        <w:adjustRightInd w:val="0"/>
        <w:spacing w:line="480" w:lineRule="exact"/>
        <w:ind w:right="72" w:firstLine="364" w:firstLineChars="152"/>
        <w:rPr>
          <w:rFonts w:ascii="楷体" w:hAnsi="楷体" w:eastAsia="楷体"/>
          <w:sz w:val="24"/>
        </w:rPr>
      </w:pPr>
      <w:r>
        <w:rPr>
          <w:rFonts w:hint="eastAsia" w:ascii="楷体" w:hAnsi="楷体" w:eastAsia="楷体" w:cs="楷体"/>
          <w:color w:val="000000"/>
          <w:kern w:val="0"/>
          <w:sz w:val="24"/>
        </w:rPr>
        <w:t>外贸代理费用包括外贸代理公司的服务费和代收费用，均由成交供应商（中标方）承担。为规范计费，将代收费用分为常规代收费和额外代收费两类。杭州进港杭州地区安装及约定的常规方式产生的代收费特指为常规代收费，服务费和常规代收费根据单个外贸合同的金额(人民币金额)按下表费率包干计算：</w:t>
      </w:r>
    </w:p>
    <w:tbl>
      <w:tblPr>
        <w:tblStyle w:val="26"/>
        <w:tblW w:w="7248" w:type="dxa"/>
        <w:tblInd w:w="633"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535"/>
        <w:gridCol w:w="2520"/>
        <w:gridCol w:w="2193"/>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535" w:type="dxa"/>
            <w:tcBorders>
              <w:bottom w:val="single" w:color="auto" w:sz="4" w:space="0"/>
            </w:tcBorders>
            <w:vAlign w:val="center"/>
          </w:tcPr>
          <w:p>
            <w:pPr>
              <w:spacing w:line="480" w:lineRule="exact"/>
              <w:jc w:val="center"/>
              <w:rPr>
                <w:rFonts w:ascii="楷体" w:hAnsi="楷体" w:eastAsia="楷体"/>
                <w:sz w:val="24"/>
              </w:rPr>
            </w:pPr>
            <w:r>
              <w:rPr>
                <w:rFonts w:hint="eastAsia" w:ascii="楷体" w:hAnsi="楷体" w:eastAsia="楷体"/>
                <w:sz w:val="24"/>
              </w:rPr>
              <w:t>外贸合同</w:t>
            </w:r>
            <w:r>
              <w:rPr>
                <w:rFonts w:ascii="楷体" w:hAnsi="楷体" w:eastAsia="楷体"/>
                <w:sz w:val="24"/>
              </w:rPr>
              <w:t>金额</w:t>
            </w:r>
          </w:p>
        </w:tc>
        <w:tc>
          <w:tcPr>
            <w:tcW w:w="2520" w:type="dxa"/>
            <w:tcBorders>
              <w:bottom w:val="single" w:color="auto" w:sz="4" w:space="0"/>
            </w:tcBorders>
            <w:vAlign w:val="center"/>
          </w:tcPr>
          <w:p>
            <w:pPr>
              <w:spacing w:line="480" w:lineRule="exact"/>
              <w:jc w:val="center"/>
              <w:rPr>
                <w:rFonts w:ascii="楷体" w:hAnsi="楷体" w:eastAsia="楷体"/>
                <w:sz w:val="24"/>
              </w:rPr>
            </w:pPr>
            <w:r>
              <w:rPr>
                <w:rFonts w:hint="eastAsia" w:ascii="楷体" w:hAnsi="楷体" w:eastAsia="楷体"/>
                <w:sz w:val="24"/>
              </w:rPr>
              <w:t>费</w:t>
            </w:r>
            <w:r>
              <w:rPr>
                <w:rFonts w:ascii="楷体" w:hAnsi="楷体" w:eastAsia="楷体"/>
                <w:sz w:val="24"/>
              </w:rPr>
              <w:t>率报价</w:t>
            </w:r>
          </w:p>
        </w:tc>
        <w:tc>
          <w:tcPr>
            <w:tcW w:w="2193" w:type="dxa"/>
            <w:tcBorders>
              <w:bottom w:val="single" w:color="auto" w:sz="4" w:space="0"/>
            </w:tcBorders>
            <w:vAlign w:val="center"/>
          </w:tcPr>
          <w:p>
            <w:pPr>
              <w:spacing w:line="480" w:lineRule="exact"/>
              <w:jc w:val="center"/>
              <w:rPr>
                <w:rFonts w:ascii="楷体" w:hAnsi="楷体" w:eastAsia="楷体"/>
                <w:sz w:val="24"/>
              </w:rPr>
            </w:pPr>
            <w:r>
              <w:rPr>
                <w:rFonts w:hint="eastAsia" w:ascii="楷体" w:hAnsi="楷体" w:eastAsia="楷体"/>
                <w:sz w:val="24"/>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535" w:type="dxa"/>
            <w:vAlign w:val="center"/>
          </w:tcPr>
          <w:p>
            <w:pPr>
              <w:spacing w:line="480" w:lineRule="exact"/>
              <w:jc w:val="center"/>
              <w:rPr>
                <w:rFonts w:ascii="楷体" w:hAnsi="楷体" w:eastAsia="楷体"/>
                <w:sz w:val="24"/>
              </w:rPr>
            </w:pPr>
            <w:r>
              <w:rPr>
                <w:rFonts w:ascii="楷体" w:hAnsi="楷体" w:eastAsia="楷体"/>
                <w:sz w:val="24"/>
              </w:rPr>
              <w:t>10万以下</w:t>
            </w:r>
          </w:p>
        </w:tc>
        <w:tc>
          <w:tcPr>
            <w:tcW w:w="2520" w:type="dxa"/>
            <w:vAlign w:val="center"/>
          </w:tcPr>
          <w:p>
            <w:pPr>
              <w:spacing w:line="480" w:lineRule="exact"/>
              <w:jc w:val="center"/>
              <w:rPr>
                <w:rFonts w:ascii="楷体" w:hAnsi="楷体" w:eastAsia="楷体"/>
                <w:sz w:val="24"/>
              </w:rPr>
            </w:pPr>
            <w:r>
              <w:rPr>
                <w:rFonts w:hint="eastAsia" w:ascii="楷体" w:hAnsi="楷体" w:eastAsia="楷体"/>
                <w:sz w:val="24"/>
              </w:rPr>
              <w:t>2450人民币元</w:t>
            </w:r>
          </w:p>
        </w:tc>
        <w:tc>
          <w:tcPr>
            <w:tcW w:w="2193" w:type="dxa"/>
            <w:vAlign w:val="center"/>
          </w:tcPr>
          <w:p>
            <w:pPr>
              <w:spacing w:line="480" w:lineRule="exact"/>
              <w:jc w:val="center"/>
              <w:rPr>
                <w:rFonts w:ascii="楷体" w:hAnsi="楷体" w:eastAsia="楷体"/>
                <w:sz w:val="24"/>
              </w:rPr>
            </w:pPr>
            <w:r>
              <w:rPr>
                <w:rFonts w:hint="eastAsia" w:ascii="楷体" w:hAnsi="楷体" w:eastAsia="楷体"/>
                <w:sz w:val="24"/>
              </w:rPr>
              <w:t>固定金额收费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535" w:type="dxa"/>
            <w:vAlign w:val="center"/>
          </w:tcPr>
          <w:p>
            <w:pPr>
              <w:spacing w:line="480" w:lineRule="exact"/>
              <w:jc w:val="center"/>
              <w:rPr>
                <w:rFonts w:ascii="楷体" w:hAnsi="楷体" w:eastAsia="楷体"/>
                <w:sz w:val="24"/>
              </w:rPr>
            </w:pPr>
            <w:r>
              <w:rPr>
                <w:rFonts w:ascii="楷体" w:hAnsi="楷体" w:eastAsia="楷体"/>
                <w:sz w:val="24"/>
              </w:rPr>
              <w:t>［10-35)万</w:t>
            </w:r>
          </w:p>
        </w:tc>
        <w:tc>
          <w:tcPr>
            <w:tcW w:w="2520" w:type="dxa"/>
            <w:vAlign w:val="center"/>
          </w:tcPr>
          <w:p>
            <w:pPr>
              <w:spacing w:line="480" w:lineRule="exact"/>
              <w:jc w:val="center"/>
              <w:rPr>
                <w:rFonts w:ascii="楷体" w:hAnsi="楷体" w:eastAsia="楷体"/>
                <w:sz w:val="24"/>
              </w:rPr>
            </w:pPr>
            <w:r>
              <w:rPr>
                <w:rFonts w:hint="eastAsia" w:ascii="楷体" w:hAnsi="楷体" w:eastAsia="楷体"/>
                <w:sz w:val="24"/>
              </w:rPr>
              <w:t>1.</w:t>
            </w:r>
            <w:r>
              <w:rPr>
                <w:rFonts w:hint="eastAsia" w:ascii="楷体" w:hAnsi="楷体" w:eastAsia="楷体"/>
                <w:sz w:val="24"/>
                <w:lang w:val="en-US" w:eastAsia="zh-CN"/>
              </w:rPr>
              <w:t>9</w:t>
            </w:r>
            <w:r>
              <w:rPr>
                <w:rFonts w:hint="eastAsia" w:ascii="楷体" w:hAnsi="楷体" w:eastAsia="楷体"/>
                <w:sz w:val="24"/>
              </w:rPr>
              <w:t>%</w:t>
            </w:r>
          </w:p>
        </w:tc>
        <w:tc>
          <w:tcPr>
            <w:tcW w:w="2193" w:type="dxa"/>
            <w:vAlign w:val="center"/>
          </w:tcPr>
          <w:p>
            <w:pPr>
              <w:spacing w:line="480" w:lineRule="exact"/>
              <w:jc w:val="center"/>
              <w:rPr>
                <w:rFonts w:ascii="楷体" w:hAnsi="楷体" w:eastAsia="楷体"/>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535" w:type="dxa"/>
            <w:vAlign w:val="center"/>
          </w:tcPr>
          <w:p>
            <w:pPr>
              <w:spacing w:line="480" w:lineRule="exact"/>
              <w:jc w:val="center"/>
              <w:rPr>
                <w:rFonts w:ascii="楷体" w:hAnsi="楷体" w:eastAsia="楷体"/>
                <w:sz w:val="24"/>
              </w:rPr>
            </w:pPr>
            <w:r>
              <w:rPr>
                <w:rFonts w:ascii="楷体" w:hAnsi="楷体" w:eastAsia="楷体"/>
                <w:sz w:val="24"/>
              </w:rPr>
              <w:t>［35-70)万</w:t>
            </w:r>
          </w:p>
        </w:tc>
        <w:tc>
          <w:tcPr>
            <w:tcW w:w="2520" w:type="dxa"/>
            <w:vAlign w:val="center"/>
          </w:tcPr>
          <w:p>
            <w:pPr>
              <w:spacing w:line="480" w:lineRule="exact"/>
              <w:jc w:val="center"/>
              <w:rPr>
                <w:rFonts w:ascii="楷体" w:hAnsi="楷体" w:eastAsia="楷体"/>
                <w:sz w:val="24"/>
              </w:rPr>
            </w:pPr>
            <w:r>
              <w:rPr>
                <w:rFonts w:hint="eastAsia" w:ascii="楷体" w:hAnsi="楷体" w:eastAsia="楷体"/>
                <w:sz w:val="24"/>
              </w:rPr>
              <w:t>1.</w:t>
            </w:r>
            <w:r>
              <w:rPr>
                <w:rFonts w:hint="eastAsia" w:ascii="楷体" w:hAnsi="楷体" w:eastAsia="楷体"/>
                <w:sz w:val="24"/>
                <w:lang w:val="en-US" w:eastAsia="zh-CN"/>
              </w:rPr>
              <w:t>3</w:t>
            </w:r>
            <w:r>
              <w:rPr>
                <w:rFonts w:hint="eastAsia" w:ascii="楷体" w:hAnsi="楷体" w:eastAsia="楷体"/>
                <w:sz w:val="24"/>
              </w:rPr>
              <w:t>%</w:t>
            </w:r>
          </w:p>
        </w:tc>
        <w:tc>
          <w:tcPr>
            <w:tcW w:w="2193" w:type="dxa"/>
            <w:vAlign w:val="center"/>
          </w:tcPr>
          <w:p>
            <w:pPr>
              <w:spacing w:line="480" w:lineRule="exact"/>
              <w:jc w:val="center"/>
              <w:rPr>
                <w:rFonts w:ascii="楷体" w:hAnsi="楷体" w:eastAsia="楷体"/>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535" w:type="dxa"/>
            <w:vAlign w:val="center"/>
          </w:tcPr>
          <w:p>
            <w:pPr>
              <w:spacing w:line="480" w:lineRule="exact"/>
              <w:jc w:val="center"/>
              <w:rPr>
                <w:rFonts w:ascii="楷体" w:hAnsi="楷体" w:eastAsia="楷体"/>
                <w:sz w:val="24"/>
              </w:rPr>
            </w:pPr>
            <w:r>
              <w:rPr>
                <w:rFonts w:ascii="楷体" w:hAnsi="楷体" w:eastAsia="楷体"/>
                <w:sz w:val="24"/>
              </w:rPr>
              <w:t>［70-140)万</w:t>
            </w:r>
          </w:p>
        </w:tc>
        <w:tc>
          <w:tcPr>
            <w:tcW w:w="2520" w:type="dxa"/>
            <w:vAlign w:val="center"/>
          </w:tcPr>
          <w:p>
            <w:pPr>
              <w:spacing w:line="480" w:lineRule="exact"/>
              <w:jc w:val="center"/>
              <w:rPr>
                <w:rFonts w:ascii="楷体" w:hAnsi="楷体" w:eastAsia="楷体"/>
                <w:sz w:val="24"/>
              </w:rPr>
            </w:pPr>
            <w:r>
              <w:rPr>
                <w:rFonts w:hint="eastAsia" w:ascii="楷体" w:hAnsi="楷体" w:eastAsia="楷体"/>
                <w:sz w:val="24"/>
                <w:lang w:val="en-US" w:eastAsia="zh-CN"/>
              </w:rPr>
              <w:t>0.8</w:t>
            </w:r>
            <w:r>
              <w:rPr>
                <w:rFonts w:hint="eastAsia" w:ascii="楷体" w:hAnsi="楷体" w:eastAsia="楷体"/>
                <w:sz w:val="24"/>
              </w:rPr>
              <w:t>%</w:t>
            </w:r>
          </w:p>
        </w:tc>
        <w:tc>
          <w:tcPr>
            <w:tcW w:w="2193" w:type="dxa"/>
            <w:vAlign w:val="center"/>
          </w:tcPr>
          <w:p>
            <w:pPr>
              <w:spacing w:line="480" w:lineRule="exact"/>
              <w:jc w:val="center"/>
              <w:rPr>
                <w:rFonts w:ascii="楷体" w:hAnsi="楷体" w:eastAsia="楷体"/>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535" w:type="dxa"/>
            <w:vAlign w:val="center"/>
          </w:tcPr>
          <w:p>
            <w:pPr>
              <w:spacing w:line="480" w:lineRule="exact"/>
              <w:jc w:val="center"/>
              <w:rPr>
                <w:rFonts w:ascii="楷体" w:hAnsi="楷体" w:eastAsia="楷体"/>
                <w:sz w:val="24"/>
              </w:rPr>
            </w:pPr>
            <w:r>
              <w:rPr>
                <w:rFonts w:ascii="楷体" w:hAnsi="楷体" w:eastAsia="楷体"/>
                <w:sz w:val="24"/>
              </w:rPr>
              <w:t>［140-350)万</w:t>
            </w:r>
          </w:p>
        </w:tc>
        <w:tc>
          <w:tcPr>
            <w:tcW w:w="2520" w:type="dxa"/>
            <w:vAlign w:val="center"/>
          </w:tcPr>
          <w:p>
            <w:pPr>
              <w:spacing w:line="480" w:lineRule="exact"/>
              <w:jc w:val="center"/>
              <w:rPr>
                <w:rFonts w:ascii="楷体" w:hAnsi="楷体" w:eastAsia="楷体"/>
                <w:sz w:val="24"/>
              </w:rPr>
            </w:pPr>
            <w:r>
              <w:rPr>
                <w:rFonts w:hint="eastAsia" w:ascii="楷体" w:hAnsi="楷体" w:eastAsia="楷体"/>
                <w:sz w:val="24"/>
              </w:rPr>
              <w:t>0.</w:t>
            </w:r>
            <w:r>
              <w:rPr>
                <w:rFonts w:hint="eastAsia" w:ascii="楷体" w:hAnsi="楷体" w:eastAsia="楷体"/>
                <w:sz w:val="24"/>
                <w:lang w:val="en-US" w:eastAsia="zh-CN"/>
              </w:rPr>
              <w:t>7</w:t>
            </w:r>
            <w:r>
              <w:rPr>
                <w:rFonts w:hint="eastAsia" w:ascii="楷体" w:hAnsi="楷体" w:eastAsia="楷体"/>
                <w:sz w:val="24"/>
              </w:rPr>
              <w:t>%</w:t>
            </w:r>
          </w:p>
        </w:tc>
        <w:tc>
          <w:tcPr>
            <w:tcW w:w="2193" w:type="dxa"/>
            <w:vAlign w:val="center"/>
          </w:tcPr>
          <w:p>
            <w:pPr>
              <w:spacing w:line="480" w:lineRule="exact"/>
              <w:jc w:val="center"/>
              <w:rPr>
                <w:rFonts w:ascii="楷体" w:hAnsi="楷体" w:eastAsia="楷体"/>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535" w:type="dxa"/>
            <w:vAlign w:val="center"/>
          </w:tcPr>
          <w:p>
            <w:pPr>
              <w:spacing w:line="480" w:lineRule="exact"/>
              <w:jc w:val="center"/>
              <w:rPr>
                <w:rFonts w:ascii="楷体" w:hAnsi="楷体" w:eastAsia="楷体"/>
                <w:sz w:val="24"/>
              </w:rPr>
            </w:pPr>
            <w:r>
              <w:rPr>
                <w:rFonts w:ascii="楷体" w:hAnsi="楷体" w:eastAsia="楷体"/>
                <w:sz w:val="24"/>
              </w:rPr>
              <w:t>350万及以上</w:t>
            </w:r>
          </w:p>
        </w:tc>
        <w:tc>
          <w:tcPr>
            <w:tcW w:w="2520" w:type="dxa"/>
            <w:vAlign w:val="center"/>
          </w:tcPr>
          <w:p>
            <w:pPr>
              <w:spacing w:line="480" w:lineRule="exact"/>
              <w:jc w:val="center"/>
              <w:rPr>
                <w:rFonts w:ascii="楷体" w:hAnsi="楷体" w:eastAsia="楷体"/>
                <w:sz w:val="24"/>
              </w:rPr>
            </w:pPr>
            <w:r>
              <w:rPr>
                <w:rFonts w:hint="eastAsia" w:ascii="楷体" w:hAnsi="楷体" w:eastAsia="楷体"/>
                <w:sz w:val="24"/>
              </w:rPr>
              <w:t>0.</w:t>
            </w:r>
            <w:r>
              <w:rPr>
                <w:rFonts w:hint="eastAsia" w:ascii="楷体" w:hAnsi="楷体" w:eastAsia="楷体"/>
                <w:sz w:val="24"/>
                <w:lang w:val="en-US" w:eastAsia="zh-CN"/>
              </w:rPr>
              <w:t>6</w:t>
            </w:r>
            <w:r>
              <w:rPr>
                <w:rFonts w:hint="eastAsia" w:ascii="楷体" w:hAnsi="楷体" w:eastAsia="楷体"/>
                <w:sz w:val="24"/>
              </w:rPr>
              <w:t>%</w:t>
            </w:r>
          </w:p>
        </w:tc>
        <w:tc>
          <w:tcPr>
            <w:tcW w:w="2193" w:type="dxa"/>
            <w:vAlign w:val="center"/>
          </w:tcPr>
          <w:p>
            <w:pPr>
              <w:spacing w:line="480" w:lineRule="exact"/>
              <w:jc w:val="center"/>
              <w:rPr>
                <w:rFonts w:ascii="楷体" w:hAnsi="楷体" w:eastAsia="楷体"/>
                <w:sz w:val="24"/>
              </w:rPr>
            </w:pPr>
          </w:p>
        </w:tc>
      </w:tr>
    </w:tbl>
    <w:p>
      <w:pPr>
        <w:autoSpaceDE w:val="0"/>
        <w:autoSpaceDN w:val="0"/>
        <w:adjustRightInd w:val="0"/>
        <w:spacing w:line="480" w:lineRule="exact"/>
        <w:ind w:right="72" w:firstLine="364" w:firstLineChars="152"/>
        <w:rPr>
          <w:rFonts w:ascii="楷体" w:hAnsi="楷体" w:eastAsia="楷体" w:cs="楷体"/>
          <w:color w:val="000000"/>
          <w:kern w:val="0"/>
          <w:sz w:val="24"/>
        </w:rPr>
      </w:pPr>
      <w:r>
        <w:rPr>
          <w:rFonts w:hint="eastAsia" w:ascii="楷体" w:hAnsi="楷体" w:eastAsia="楷体" w:cs="楷体"/>
          <w:color w:val="000000"/>
          <w:kern w:val="0"/>
          <w:sz w:val="24"/>
        </w:rPr>
        <w:t>额外代收费指在办理进口及减免税过程中因故不能按约定的常规方式办理导致的额外支出，如以下费用：</w:t>
      </w:r>
    </w:p>
    <w:p>
      <w:pPr>
        <w:autoSpaceDE w:val="0"/>
        <w:autoSpaceDN w:val="0"/>
        <w:adjustRightInd w:val="0"/>
        <w:spacing w:line="480" w:lineRule="exact"/>
        <w:ind w:right="72" w:firstLine="364" w:firstLineChars="152"/>
        <w:rPr>
          <w:rFonts w:ascii="楷体" w:hAnsi="楷体" w:eastAsia="楷体" w:cs="楷体"/>
          <w:color w:val="000000"/>
          <w:kern w:val="0"/>
          <w:sz w:val="24"/>
        </w:rPr>
      </w:pPr>
      <w:r>
        <w:rPr>
          <w:rFonts w:hint="eastAsia" w:ascii="楷体" w:hAnsi="楷体" w:eastAsia="楷体" w:cs="楷体"/>
          <w:color w:val="000000"/>
          <w:kern w:val="0"/>
          <w:sz w:val="24"/>
        </w:rPr>
        <w:t>1）、将一次性支付变更为多次付费的，由提出方承担增加的银行费用。如一个成交项目需要分开签署多份外贸合同的，每个合同根据合同金额所处区间确定代理费率。</w:t>
      </w:r>
    </w:p>
    <w:p>
      <w:pPr>
        <w:autoSpaceDE w:val="0"/>
        <w:autoSpaceDN w:val="0"/>
        <w:adjustRightInd w:val="0"/>
        <w:spacing w:line="480" w:lineRule="exact"/>
        <w:ind w:right="72" w:firstLine="364" w:firstLineChars="152"/>
        <w:rPr>
          <w:rFonts w:ascii="楷体" w:hAnsi="楷体" w:eastAsia="楷体" w:cs="楷体"/>
          <w:color w:val="000000"/>
          <w:kern w:val="0"/>
          <w:sz w:val="24"/>
        </w:rPr>
      </w:pPr>
      <w:r>
        <w:rPr>
          <w:rFonts w:hint="eastAsia" w:ascii="楷体" w:hAnsi="楷体" w:eastAsia="楷体" w:cs="楷体"/>
          <w:color w:val="000000"/>
          <w:kern w:val="0"/>
          <w:sz w:val="24"/>
        </w:rPr>
        <w:t>2）、货物到港地为杭州以外的异地目的港，或者货物最终目的地为杭州以外的异地地点时，需要产生的额外运费、保险费和搬卸费。</w:t>
      </w:r>
    </w:p>
    <w:p>
      <w:pPr>
        <w:autoSpaceDE w:val="0"/>
        <w:autoSpaceDN w:val="0"/>
        <w:adjustRightInd w:val="0"/>
        <w:spacing w:line="480" w:lineRule="exact"/>
        <w:ind w:right="72" w:firstLine="364" w:firstLineChars="152"/>
        <w:rPr>
          <w:rFonts w:ascii="楷体" w:hAnsi="楷体" w:eastAsia="楷体" w:cs="楷体"/>
          <w:color w:val="000000"/>
          <w:kern w:val="0"/>
          <w:sz w:val="24"/>
        </w:rPr>
      </w:pPr>
      <w:r>
        <w:rPr>
          <w:rFonts w:hint="eastAsia" w:ascii="楷体" w:hAnsi="楷体" w:eastAsia="楷体" w:cs="楷体"/>
          <w:color w:val="000000"/>
          <w:kern w:val="0"/>
          <w:sz w:val="24"/>
        </w:rPr>
        <w:t xml:space="preserve">3）、海运进口换单费超出 300元/票的部分 (此条款针对个别海运进口的供应商，在发货当地选择价格特别低廉甚至0成本运费的方式，从而把物流成本转嫁到国内段，以换单费等形式向国内客户收取的情况)。 </w:t>
      </w:r>
    </w:p>
    <w:p>
      <w:pPr>
        <w:autoSpaceDE w:val="0"/>
        <w:autoSpaceDN w:val="0"/>
        <w:adjustRightInd w:val="0"/>
        <w:spacing w:line="480" w:lineRule="exact"/>
        <w:ind w:right="72" w:firstLine="364" w:firstLineChars="152"/>
        <w:rPr>
          <w:rFonts w:ascii="楷体" w:hAnsi="楷体" w:eastAsia="楷体" w:cs="楷体"/>
          <w:color w:val="000000"/>
          <w:kern w:val="0"/>
          <w:sz w:val="24"/>
        </w:rPr>
      </w:pPr>
      <w:r>
        <w:rPr>
          <w:rFonts w:hint="eastAsia" w:ascii="楷体" w:hAnsi="楷体" w:eastAsia="楷体" w:cs="楷体"/>
          <w:color w:val="000000"/>
          <w:kern w:val="0"/>
          <w:sz w:val="24"/>
        </w:rPr>
        <w:t>4）、特种设备检测费、能效检测费、最终用户和最终用途说明办理费用；特殊物品生物卫生检验备案费等其它特殊收费；因特殊原因导致额外增加的仓储费，如入冷冻仓库和危险品仓库的仓储费；需要使用特殊运输车辆（如避震车、冷链运输等）的费用；试剂类产品额外增加费用。</w:t>
      </w:r>
    </w:p>
    <w:p>
      <w:pPr>
        <w:autoSpaceDE w:val="0"/>
        <w:autoSpaceDN w:val="0"/>
        <w:adjustRightInd w:val="0"/>
        <w:spacing w:line="480" w:lineRule="exact"/>
        <w:ind w:right="72" w:firstLine="364" w:firstLineChars="152"/>
        <w:rPr>
          <w:rFonts w:ascii="楷体" w:hAnsi="楷体" w:eastAsia="楷体" w:cs="楷体"/>
          <w:color w:val="000000"/>
          <w:kern w:val="0"/>
          <w:sz w:val="24"/>
        </w:rPr>
      </w:pPr>
      <w:r>
        <w:rPr>
          <w:rFonts w:hint="eastAsia" w:ascii="楷体" w:hAnsi="楷体" w:eastAsia="楷体" w:cs="楷体"/>
          <w:color w:val="000000"/>
          <w:kern w:val="0"/>
          <w:sz w:val="24"/>
        </w:rPr>
        <w:t>5）、因供应商指定货代导致的额外费用。</w:t>
      </w:r>
    </w:p>
    <w:p>
      <w:pPr>
        <w:autoSpaceDE w:val="0"/>
        <w:autoSpaceDN w:val="0"/>
        <w:adjustRightInd w:val="0"/>
        <w:spacing w:line="480" w:lineRule="exact"/>
        <w:ind w:right="72" w:firstLine="364" w:firstLineChars="152"/>
        <w:rPr>
          <w:rFonts w:ascii="楷体" w:hAnsi="楷体" w:eastAsia="楷体" w:cs="楷体"/>
          <w:color w:val="000000"/>
          <w:kern w:val="0"/>
          <w:sz w:val="24"/>
        </w:rPr>
      </w:pPr>
      <w:r>
        <w:rPr>
          <w:rFonts w:hint="eastAsia" w:ascii="楷体" w:hAnsi="楷体" w:eastAsia="楷体" w:cs="楷体"/>
          <w:color w:val="000000"/>
          <w:kern w:val="0"/>
          <w:sz w:val="24"/>
        </w:rPr>
        <w:t>如遇以上未涉及的收费，参照以上协商处理。</w:t>
      </w:r>
    </w:p>
    <w:p>
      <w:pPr>
        <w:autoSpaceDE w:val="0"/>
        <w:autoSpaceDN w:val="0"/>
        <w:adjustRightInd w:val="0"/>
        <w:spacing w:line="480" w:lineRule="exact"/>
        <w:ind w:right="72" w:firstLine="364" w:firstLineChars="152"/>
        <w:rPr>
          <w:rFonts w:ascii="楷体" w:hAnsi="楷体" w:eastAsia="楷体" w:cs="楷体"/>
          <w:color w:val="000000"/>
          <w:kern w:val="0"/>
          <w:sz w:val="24"/>
        </w:rPr>
      </w:pPr>
      <w:r>
        <w:rPr>
          <w:rFonts w:hint="eastAsia" w:ascii="楷体" w:hAnsi="楷体" w:eastAsia="楷体" w:cs="楷体"/>
          <w:color w:val="000000"/>
          <w:kern w:val="0"/>
          <w:sz w:val="24"/>
        </w:rPr>
        <w:t>额外代收费用由成交供应商（中标方）承担，外贸代理公司在结算时需向收费人列出明细及单据，并接受浙江大学采购中心的监督。</w:t>
      </w:r>
    </w:p>
    <w:p>
      <w:pPr>
        <w:spacing w:line="500" w:lineRule="exact"/>
        <w:ind w:left="779" w:leftChars="371" w:firstLine="120" w:firstLineChars="50"/>
        <w:jc w:val="left"/>
        <w:rPr>
          <w:rFonts w:eastAsia="楷体_GB2312"/>
          <w:sz w:val="24"/>
        </w:rPr>
      </w:pPr>
    </w:p>
    <w:p>
      <w:pPr>
        <w:spacing w:line="500" w:lineRule="exact"/>
        <w:ind w:firstLine="560" w:firstLineChars="200"/>
        <w:jc w:val="left"/>
        <w:rPr>
          <w:rFonts w:eastAsia="楷体"/>
          <w:color w:val="333333"/>
          <w:kern w:val="0"/>
          <w:sz w:val="28"/>
          <w:szCs w:val="28"/>
        </w:rPr>
      </w:pPr>
    </w:p>
    <w:p>
      <w:pPr>
        <w:spacing w:line="500" w:lineRule="exact"/>
        <w:ind w:firstLine="482" w:firstLineChars="200"/>
        <w:jc w:val="left"/>
        <w:rPr>
          <w:rFonts w:eastAsia="楷体_GB2312"/>
          <w:b/>
          <w:bCs/>
          <w:sz w:val="24"/>
        </w:rPr>
      </w:pPr>
      <w:r>
        <w:rPr>
          <w:rFonts w:hint="eastAsia" w:eastAsia="楷体_GB2312"/>
          <w:b/>
          <w:bCs/>
          <w:sz w:val="24"/>
        </w:rPr>
        <w:t>7、</w:t>
      </w:r>
      <w:r>
        <w:rPr>
          <w:rFonts w:eastAsia="楷体_GB2312"/>
          <w:b/>
          <w:bCs/>
          <w:sz w:val="24"/>
        </w:rPr>
        <w:t>参加谈判的保证金</w:t>
      </w:r>
    </w:p>
    <w:p>
      <w:pPr>
        <w:spacing w:line="500" w:lineRule="exact"/>
        <w:ind w:firstLine="480" w:firstLineChars="200"/>
        <w:jc w:val="left"/>
        <w:rPr>
          <w:rFonts w:eastAsia="楷体_GB2312"/>
          <w:b/>
          <w:bCs/>
          <w:sz w:val="24"/>
        </w:rPr>
      </w:pPr>
      <w:r>
        <w:rPr>
          <w:rFonts w:eastAsia="楷体_GB2312"/>
          <w:sz w:val="24"/>
        </w:rPr>
        <w:t xml:space="preserve">  本项目无需缴纳投标保证金</w:t>
      </w:r>
      <w:r>
        <w:rPr>
          <w:color w:val="000000"/>
          <w:sz w:val="24"/>
        </w:rPr>
        <w:t>。</w:t>
      </w:r>
    </w:p>
    <w:p>
      <w:pPr>
        <w:spacing w:line="500" w:lineRule="exact"/>
        <w:ind w:firstLine="482" w:firstLineChars="200"/>
        <w:jc w:val="left"/>
        <w:rPr>
          <w:rFonts w:eastAsia="楷体_GB2312"/>
          <w:b/>
          <w:bCs/>
          <w:sz w:val="24"/>
        </w:rPr>
      </w:pPr>
    </w:p>
    <w:p>
      <w:pPr>
        <w:tabs>
          <w:tab w:val="left" w:pos="900"/>
        </w:tabs>
        <w:spacing w:line="500" w:lineRule="exact"/>
        <w:ind w:firstLine="482" w:firstLineChars="200"/>
        <w:jc w:val="left"/>
        <w:rPr>
          <w:rFonts w:eastAsia="楷体_GB2312"/>
          <w:b/>
          <w:bCs/>
          <w:sz w:val="24"/>
        </w:rPr>
      </w:pPr>
      <w:r>
        <w:rPr>
          <w:rFonts w:hint="eastAsia" w:eastAsia="楷体_GB2312"/>
          <w:b/>
          <w:bCs/>
          <w:sz w:val="24"/>
        </w:rPr>
        <w:t>8</w:t>
      </w:r>
      <w:r>
        <w:rPr>
          <w:rFonts w:eastAsia="楷体_GB2312"/>
          <w:b/>
          <w:bCs/>
          <w:sz w:val="24"/>
        </w:rPr>
        <w:t>、货款支付</w:t>
      </w:r>
    </w:p>
    <w:p>
      <w:pPr>
        <w:spacing w:line="500" w:lineRule="exact"/>
        <w:ind w:left="718" w:leftChars="342"/>
        <w:jc w:val="left"/>
        <w:rPr>
          <w:rFonts w:eastAsia="楷体_GB2312"/>
          <w:color w:val="000000"/>
          <w:sz w:val="24"/>
        </w:rPr>
      </w:pPr>
      <w:r>
        <w:rPr>
          <w:rFonts w:eastAsia="楷体_GB2312"/>
          <w:color w:val="000000"/>
          <w:sz w:val="24"/>
        </w:rPr>
        <w:t>（1）国产设备及境内直接供货的进口设备：</w:t>
      </w:r>
      <w:r>
        <w:rPr>
          <w:rFonts w:hint="eastAsia" w:eastAsia="楷体_GB2312"/>
          <w:color w:val="000000"/>
          <w:sz w:val="24"/>
        </w:rPr>
        <w:t>货到经安装调试，用户认定合格后，凭用户出具的安装调试报告支付90%货款（如供应商支付10%质量保证金，付全款。质保金在验收后无息退还）；验收合格后凭用户出具的验收报告支付10%</w:t>
      </w:r>
      <w:r>
        <w:rPr>
          <w:rFonts w:eastAsia="楷体_GB2312"/>
          <w:color w:val="000000"/>
          <w:sz w:val="24"/>
        </w:rPr>
        <w:t>。</w:t>
      </w:r>
    </w:p>
    <w:p>
      <w:pPr>
        <w:spacing w:line="360" w:lineRule="auto"/>
        <w:ind w:firstLine="480" w:firstLineChars="200"/>
        <w:rPr>
          <w:rFonts w:eastAsia="楷体_GB2312"/>
          <w:color w:val="000000"/>
          <w:sz w:val="24"/>
        </w:rPr>
      </w:pPr>
      <w:r>
        <w:rPr>
          <w:rFonts w:eastAsia="楷体_GB2312"/>
          <w:color w:val="000000"/>
          <w:sz w:val="24"/>
        </w:rPr>
        <w:t>（2）</w:t>
      </w:r>
      <w:r>
        <w:rPr>
          <w:rFonts w:ascii="楷体_GB2312" w:eastAsia="楷体_GB2312"/>
          <w:color w:val="000000"/>
          <w:sz w:val="24"/>
        </w:rPr>
        <w:t>境外</w:t>
      </w:r>
      <w:r>
        <w:rPr>
          <w:rFonts w:ascii="楷体_GB2312" w:eastAsia="楷体_GB2312"/>
          <w:color w:val="auto"/>
          <w:sz w:val="24"/>
          <w:highlight w:val="none"/>
        </w:rPr>
        <w:t>供货的设备：</w:t>
      </w:r>
      <w:r>
        <w:rPr>
          <w:rFonts w:hint="eastAsia" w:ascii="楷体_GB2312" w:eastAsia="楷体_GB2312"/>
          <w:color w:val="auto"/>
          <w:sz w:val="24"/>
          <w:highlight w:val="none"/>
        </w:rPr>
        <w:t>签订合同</w:t>
      </w:r>
      <w:r>
        <w:rPr>
          <w:rFonts w:eastAsia="楷体_GB2312"/>
          <w:color w:val="auto"/>
          <w:sz w:val="24"/>
          <w:highlight w:val="none"/>
        </w:rPr>
        <w:t>时交纳5%履约保证金</w:t>
      </w:r>
      <w:r>
        <w:rPr>
          <w:rFonts w:hint="eastAsia" w:eastAsia="楷体_GB2312"/>
          <w:color w:val="auto"/>
          <w:sz w:val="24"/>
          <w:highlight w:val="none"/>
          <w:lang w:eastAsia="zh-CN"/>
        </w:rPr>
        <w:t>，</w:t>
      </w:r>
      <w:r>
        <w:rPr>
          <w:rFonts w:eastAsia="楷体_GB2312"/>
          <w:color w:val="auto"/>
          <w:sz w:val="24"/>
          <w:highlight w:val="none"/>
        </w:rPr>
        <w:t>履约保证金在</w:t>
      </w:r>
      <w:r>
        <w:rPr>
          <w:rFonts w:hint="eastAsia" w:eastAsia="楷体_GB2312"/>
          <w:color w:val="auto"/>
          <w:sz w:val="24"/>
          <w:highlight w:val="none"/>
          <w:lang w:eastAsia="zh-CN"/>
        </w:rPr>
        <w:t>货物</w:t>
      </w:r>
      <w:r>
        <w:rPr>
          <w:rFonts w:eastAsia="楷体_GB2312"/>
          <w:color w:val="auto"/>
          <w:sz w:val="24"/>
          <w:highlight w:val="none"/>
        </w:rPr>
        <w:t>验收合格后无息退回。</w:t>
      </w:r>
      <w:r>
        <w:rPr>
          <w:rFonts w:hint="eastAsia" w:eastAsia="楷体_GB2312"/>
          <w:color w:val="auto"/>
          <w:sz w:val="24"/>
          <w:highlight w:val="none"/>
        </w:rPr>
        <w:t>合同签订后</w:t>
      </w:r>
      <w:r>
        <w:rPr>
          <w:rFonts w:hint="eastAsia" w:eastAsia="楷体_GB2312"/>
          <w:color w:val="auto"/>
          <w:sz w:val="24"/>
          <w:highlight w:val="none"/>
          <w:lang w:eastAsia="zh-CN"/>
        </w:rPr>
        <w:t>支付</w:t>
      </w:r>
      <w:r>
        <w:rPr>
          <w:rFonts w:hint="eastAsia" w:eastAsia="楷体_GB2312"/>
          <w:color w:val="auto"/>
          <w:sz w:val="24"/>
          <w:highlight w:val="none"/>
        </w:rPr>
        <w:t>30%的货款，</w:t>
      </w:r>
      <w:r>
        <w:rPr>
          <w:rFonts w:eastAsia="楷体_GB2312"/>
          <w:color w:val="000000"/>
          <w:sz w:val="24"/>
        </w:rPr>
        <w:t>凭装运单据支付</w:t>
      </w:r>
      <w:r>
        <w:rPr>
          <w:rFonts w:hint="eastAsia" w:eastAsia="楷体_GB2312"/>
          <w:color w:val="000000"/>
          <w:sz w:val="24"/>
        </w:rPr>
        <w:t>70</w:t>
      </w:r>
      <w:r>
        <w:rPr>
          <w:rFonts w:eastAsia="楷体_GB2312"/>
          <w:color w:val="000000"/>
          <w:sz w:val="24"/>
        </w:rPr>
        <w:t>%的货款</w:t>
      </w:r>
      <w:r>
        <w:rPr>
          <w:rFonts w:hint="eastAsia" w:eastAsia="楷体_GB2312"/>
          <w:color w:val="000000"/>
          <w:sz w:val="24"/>
          <w:lang w:eastAsia="zh-CN"/>
        </w:rPr>
        <w:t>。</w:t>
      </w:r>
      <w:r>
        <w:rPr>
          <w:rFonts w:eastAsia="楷体_GB2312"/>
          <w:color w:val="000000"/>
          <w:sz w:val="24"/>
        </w:rPr>
        <w:t xml:space="preserve">  </w:t>
      </w:r>
    </w:p>
    <w:p>
      <w:pPr>
        <w:spacing w:line="360" w:lineRule="auto"/>
        <w:ind w:firstLine="480" w:firstLineChars="200"/>
        <w:rPr>
          <w:rFonts w:ascii="楷体_GB2312" w:eastAsia="楷体_GB2312"/>
          <w:color w:val="000000"/>
          <w:sz w:val="24"/>
        </w:rPr>
      </w:pPr>
      <w:r>
        <w:rPr>
          <w:rFonts w:hint="eastAsia" w:ascii="楷体_GB2312" w:eastAsia="楷体_GB2312"/>
          <w:color w:val="000000"/>
          <w:sz w:val="24"/>
        </w:rPr>
        <w:t>（3）货款由需方负责支付。</w:t>
      </w:r>
    </w:p>
    <w:p>
      <w:pPr>
        <w:spacing w:line="360" w:lineRule="auto"/>
        <w:ind w:left="622" w:leftChars="296"/>
        <w:rPr>
          <w:rFonts w:eastAsia="楷体_GB2312"/>
          <w:color w:val="000000"/>
          <w:sz w:val="24"/>
        </w:rPr>
      </w:pPr>
      <w:r>
        <w:rPr>
          <w:rFonts w:hint="eastAsia" w:ascii="楷体_GB2312" w:eastAsia="楷体_GB2312"/>
          <w:color w:val="000000"/>
          <w:sz w:val="24"/>
        </w:rPr>
        <w:t xml:space="preserve"> （</w:t>
      </w:r>
      <w:r>
        <w:rPr>
          <w:rFonts w:ascii="楷体_GB2312" w:eastAsia="楷体_GB2312"/>
          <w:color w:val="000000"/>
          <w:sz w:val="24"/>
        </w:rPr>
        <w:t>4</w:t>
      </w:r>
      <w:r>
        <w:rPr>
          <w:rFonts w:hint="eastAsia" w:ascii="楷体_GB2312" w:eastAsia="楷体_GB2312"/>
          <w:color w:val="000000"/>
          <w:sz w:val="24"/>
        </w:rPr>
        <w:t>）开票信息：开具增值税专用发票；</w:t>
      </w:r>
      <w:r>
        <w:rPr>
          <w:rFonts w:eastAsia="楷体_GB2312"/>
          <w:color w:val="000000"/>
          <w:sz w:val="24"/>
        </w:rPr>
        <w:br w:type="textWrapping"/>
      </w:r>
      <w:r>
        <w:rPr>
          <w:rFonts w:hint="eastAsia" w:eastAsia="楷体_GB2312"/>
          <w:color w:val="000000"/>
          <w:sz w:val="24"/>
        </w:rPr>
        <w:t xml:space="preserve">   抬头：浙江大学</w:t>
      </w:r>
    </w:p>
    <w:p>
      <w:pPr>
        <w:spacing w:line="360" w:lineRule="auto"/>
        <w:ind w:left="1252" w:leftChars="596"/>
        <w:rPr>
          <w:rFonts w:eastAsia="楷体_GB2312"/>
          <w:color w:val="000000"/>
          <w:sz w:val="24"/>
        </w:rPr>
      </w:pPr>
      <w:r>
        <w:rPr>
          <w:rFonts w:hint="eastAsia" w:eastAsia="楷体_GB2312"/>
          <w:color w:val="000000"/>
          <w:sz w:val="24"/>
        </w:rPr>
        <w:t>纳税人识别号：</w:t>
      </w:r>
      <w:r>
        <w:rPr>
          <w:rFonts w:eastAsia="楷体_GB2312"/>
          <w:color w:val="000000"/>
          <w:sz w:val="24"/>
        </w:rPr>
        <w:t>12100000470095016Q</w:t>
      </w:r>
    </w:p>
    <w:p>
      <w:pPr>
        <w:spacing w:line="360" w:lineRule="auto"/>
        <w:ind w:left="1252" w:leftChars="596"/>
        <w:rPr>
          <w:rFonts w:eastAsia="楷体_GB2312"/>
          <w:color w:val="000000"/>
          <w:sz w:val="24"/>
        </w:rPr>
      </w:pPr>
      <w:r>
        <w:rPr>
          <w:rFonts w:hint="eastAsia" w:eastAsia="楷体_GB2312"/>
          <w:color w:val="000000"/>
          <w:sz w:val="24"/>
        </w:rPr>
        <w:t>地址：杭州市余杭塘路</w:t>
      </w:r>
      <w:r>
        <w:rPr>
          <w:rFonts w:eastAsia="楷体_GB2312"/>
          <w:color w:val="000000"/>
          <w:sz w:val="24"/>
        </w:rPr>
        <w:t>866</w:t>
      </w:r>
      <w:r>
        <w:rPr>
          <w:rFonts w:hint="eastAsia" w:eastAsia="楷体_GB2312"/>
          <w:color w:val="000000"/>
          <w:sz w:val="24"/>
        </w:rPr>
        <w:t>号，电话</w:t>
      </w:r>
      <w:r>
        <w:rPr>
          <w:rFonts w:eastAsia="楷体_GB2312"/>
          <w:color w:val="000000"/>
          <w:sz w:val="24"/>
        </w:rPr>
        <w:t>88981919</w:t>
      </w:r>
    </w:p>
    <w:p>
      <w:pPr>
        <w:spacing w:line="360" w:lineRule="auto"/>
        <w:ind w:left="1252" w:leftChars="596"/>
        <w:rPr>
          <w:rFonts w:eastAsia="楷体_GB2312"/>
          <w:color w:val="000000"/>
          <w:sz w:val="24"/>
        </w:rPr>
      </w:pPr>
      <w:r>
        <w:rPr>
          <w:rFonts w:hint="eastAsia" w:eastAsia="楷体_GB2312"/>
          <w:color w:val="000000"/>
          <w:sz w:val="24"/>
        </w:rPr>
        <w:t>开户行：农行杭州市浙大支行紫金港支行</w:t>
      </w:r>
    </w:p>
    <w:p>
      <w:pPr>
        <w:spacing w:line="360" w:lineRule="auto"/>
        <w:ind w:left="1252" w:leftChars="596"/>
        <w:rPr>
          <w:rFonts w:eastAsia="楷体_GB2312"/>
          <w:color w:val="000000"/>
          <w:sz w:val="24"/>
        </w:rPr>
      </w:pPr>
      <w:r>
        <w:rPr>
          <w:rFonts w:hint="eastAsia" w:eastAsia="楷体_GB2312"/>
          <w:color w:val="000000"/>
          <w:sz w:val="24"/>
        </w:rPr>
        <w:t>账号：19042201040000014</w:t>
      </w:r>
    </w:p>
    <w:p>
      <w:pPr>
        <w:spacing w:line="360" w:lineRule="auto"/>
        <w:ind w:left="1252" w:leftChars="596"/>
        <w:rPr>
          <w:rFonts w:eastAsia="楷体_GB2312"/>
          <w:color w:val="000000"/>
          <w:sz w:val="24"/>
        </w:rPr>
      </w:pPr>
      <w:r>
        <w:rPr>
          <w:rFonts w:hint="eastAsia" w:eastAsia="楷体_GB2312"/>
          <w:color w:val="000000"/>
          <w:sz w:val="24"/>
        </w:rPr>
        <w:t>行号：103331004223</w:t>
      </w:r>
    </w:p>
    <w:p>
      <w:pPr>
        <w:spacing w:line="360" w:lineRule="auto"/>
        <w:ind w:left="561" w:leftChars="267" w:firstLine="720" w:firstLineChars="300"/>
        <w:rPr>
          <w:rFonts w:eastAsia="楷体_GB2312"/>
          <w:color w:val="000000"/>
          <w:sz w:val="24"/>
        </w:rPr>
      </w:pPr>
      <w:r>
        <w:rPr>
          <w:rFonts w:eastAsia="楷体_GB2312"/>
          <w:color w:val="000000"/>
          <w:sz w:val="24"/>
        </w:rPr>
        <w:t xml:space="preserve"> </w:t>
      </w:r>
    </w:p>
    <w:p>
      <w:pPr>
        <w:tabs>
          <w:tab w:val="left" w:pos="900"/>
        </w:tabs>
        <w:spacing w:line="500" w:lineRule="exact"/>
        <w:ind w:firstLine="482" w:firstLineChars="200"/>
        <w:jc w:val="left"/>
        <w:rPr>
          <w:rFonts w:eastAsia="楷体_GB2312"/>
          <w:b/>
          <w:bCs/>
          <w:sz w:val="24"/>
        </w:rPr>
      </w:pPr>
      <w:r>
        <w:rPr>
          <w:rFonts w:hint="eastAsia" w:eastAsia="楷体_GB2312"/>
          <w:b/>
          <w:bCs/>
          <w:sz w:val="24"/>
        </w:rPr>
        <w:t>9</w:t>
      </w:r>
      <w:r>
        <w:rPr>
          <w:rFonts w:eastAsia="楷体_GB2312"/>
          <w:b/>
          <w:bCs/>
          <w:sz w:val="24"/>
        </w:rPr>
        <w:t>、谈判有效期</w:t>
      </w:r>
    </w:p>
    <w:p>
      <w:pPr>
        <w:spacing w:line="500" w:lineRule="exact"/>
        <w:ind w:left="718" w:leftChars="342"/>
        <w:jc w:val="left"/>
        <w:rPr>
          <w:rFonts w:eastAsia="楷体_GB2312"/>
          <w:sz w:val="24"/>
        </w:rPr>
      </w:pPr>
      <w:r>
        <w:rPr>
          <w:rFonts w:eastAsia="楷体_GB2312"/>
          <w:sz w:val="24"/>
        </w:rPr>
        <w:t>（1）自开标日起50个工作日内，谈判响应文件应保持有效。有效期短于这个规定期限的谈判响应文件将被拒绝。</w:t>
      </w:r>
    </w:p>
    <w:p>
      <w:pPr>
        <w:spacing w:line="500" w:lineRule="exact"/>
        <w:ind w:left="718" w:leftChars="342"/>
        <w:jc w:val="left"/>
        <w:rPr>
          <w:rFonts w:eastAsia="楷体_GB2312"/>
          <w:sz w:val="24"/>
        </w:rPr>
      </w:pPr>
      <w:r>
        <w:rPr>
          <w:rFonts w:eastAsia="楷体_GB2312"/>
          <w:sz w:val="24"/>
        </w:rPr>
        <w:t>（2）特殊情况下，需方可与谈判响应方协商延缓采购响应的有效期，这种要求和答复均以书面形式进行。</w:t>
      </w:r>
    </w:p>
    <w:p>
      <w:pPr>
        <w:spacing w:line="500" w:lineRule="exact"/>
        <w:ind w:left="718" w:leftChars="342"/>
        <w:jc w:val="left"/>
        <w:rPr>
          <w:rFonts w:eastAsia="楷体_GB2312"/>
          <w:sz w:val="24"/>
        </w:rPr>
      </w:pPr>
      <w:r>
        <w:rPr>
          <w:rFonts w:eastAsia="楷体_GB2312"/>
          <w:sz w:val="24"/>
        </w:rPr>
        <w:t>（3）谈判响应方可拒绝接受延期要求。同意延长有效期的谈判响应方不能修改谈判响应文件。</w:t>
      </w:r>
    </w:p>
    <w:p>
      <w:pPr>
        <w:spacing w:line="500" w:lineRule="exact"/>
        <w:ind w:firstLine="482" w:firstLineChars="200"/>
        <w:jc w:val="left"/>
        <w:rPr>
          <w:rFonts w:eastAsia="楷体_GB2312"/>
          <w:sz w:val="18"/>
        </w:rPr>
      </w:pPr>
      <w:r>
        <w:rPr>
          <w:rFonts w:hint="eastAsia" w:eastAsia="楷体_GB2312"/>
          <w:b/>
          <w:bCs/>
          <w:sz w:val="24"/>
        </w:rPr>
        <w:t>10</w:t>
      </w:r>
      <w:r>
        <w:rPr>
          <w:rFonts w:eastAsia="楷体_GB2312"/>
          <w:b/>
          <w:bCs/>
          <w:sz w:val="24"/>
        </w:rPr>
        <w:t>、谈判响应文件包括：</w:t>
      </w:r>
      <w:r>
        <w:rPr>
          <w:rFonts w:eastAsia="楷体_GB2312"/>
          <w:sz w:val="24"/>
        </w:rPr>
        <w:t>谈判响应方资格证明文件及商务技术响应文件。</w:t>
      </w:r>
    </w:p>
    <w:p>
      <w:pPr>
        <w:spacing w:line="500" w:lineRule="exact"/>
        <w:ind w:firstLine="723" w:firstLineChars="300"/>
        <w:jc w:val="left"/>
        <w:rPr>
          <w:rFonts w:eastAsia="楷体_GB2312"/>
          <w:b/>
          <w:bCs/>
          <w:sz w:val="24"/>
        </w:rPr>
      </w:pPr>
      <w:r>
        <w:rPr>
          <w:rFonts w:hint="eastAsia" w:eastAsia="楷体_GB2312"/>
          <w:b/>
          <w:bCs/>
          <w:sz w:val="24"/>
        </w:rPr>
        <w:t>10</w:t>
      </w:r>
      <w:r>
        <w:rPr>
          <w:rFonts w:eastAsia="楷体_GB2312"/>
          <w:b/>
          <w:bCs/>
          <w:sz w:val="24"/>
        </w:rPr>
        <w:t>.1谈判响应方资格证明文件包括：</w:t>
      </w:r>
    </w:p>
    <w:p>
      <w:pPr>
        <w:spacing w:line="500" w:lineRule="exact"/>
        <w:ind w:left="720"/>
        <w:jc w:val="left"/>
        <w:rPr>
          <w:rFonts w:eastAsia="楷体_GB2312"/>
          <w:sz w:val="24"/>
        </w:rPr>
      </w:pPr>
      <w:r>
        <w:rPr>
          <w:rFonts w:eastAsia="楷体_GB2312"/>
          <w:sz w:val="24"/>
        </w:rPr>
        <w:t>（1）有效的营业执照复印件、税务登记证复印件（或提供三证合一、五证合一后的营业执照复印件）；</w:t>
      </w:r>
    </w:p>
    <w:p>
      <w:pPr>
        <w:spacing w:line="500" w:lineRule="exact"/>
        <w:ind w:left="720"/>
        <w:jc w:val="left"/>
        <w:rPr>
          <w:rFonts w:eastAsia="楷体_GB2312"/>
          <w:sz w:val="24"/>
        </w:rPr>
      </w:pPr>
      <w:r>
        <w:rPr>
          <w:rFonts w:eastAsia="楷体_GB2312"/>
          <w:sz w:val="24"/>
        </w:rPr>
        <w:t>（2）法定代表人授权书；</w:t>
      </w:r>
    </w:p>
    <w:p>
      <w:pPr>
        <w:spacing w:line="500" w:lineRule="exact"/>
        <w:ind w:left="720"/>
        <w:jc w:val="left"/>
        <w:rPr>
          <w:rFonts w:eastAsia="楷体_GB2312"/>
          <w:sz w:val="24"/>
        </w:rPr>
      </w:pPr>
      <w:r>
        <w:rPr>
          <w:rFonts w:eastAsia="楷体_GB2312"/>
          <w:sz w:val="24"/>
        </w:rPr>
        <w:t>（3）如参加谈判采购厂商为代理商，需提供原厂商针对本项目的授权书原件。</w:t>
      </w:r>
    </w:p>
    <w:p>
      <w:pPr>
        <w:autoSpaceDE w:val="0"/>
        <w:autoSpaceDN w:val="0"/>
        <w:adjustRightInd w:val="0"/>
        <w:spacing w:line="360" w:lineRule="auto"/>
        <w:ind w:left="735" w:leftChars="350"/>
        <w:rPr>
          <w:rFonts w:eastAsia="楷体_GB2312"/>
          <w:color w:val="000000"/>
          <w:sz w:val="24"/>
        </w:rPr>
      </w:pPr>
      <w:r>
        <w:rPr>
          <w:rFonts w:eastAsia="楷体_GB2312"/>
          <w:color w:val="000000"/>
          <w:sz w:val="24"/>
        </w:rPr>
        <w:t>（4）截止谈判响应文件签署之日前无不良信用记录的书面声明；</w:t>
      </w:r>
    </w:p>
    <w:p>
      <w:pPr>
        <w:autoSpaceDE w:val="0"/>
        <w:autoSpaceDN w:val="0"/>
        <w:adjustRightInd w:val="0"/>
        <w:spacing w:line="360" w:lineRule="auto"/>
        <w:ind w:left="735" w:leftChars="350"/>
        <w:rPr>
          <w:rFonts w:eastAsia="楷体_GB2312"/>
          <w:color w:val="000000"/>
          <w:sz w:val="24"/>
        </w:rPr>
      </w:pPr>
      <w:r>
        <w:rPr>
          <w:rFonts w:eastAsia="楷体_GB2312"/>
          <w:color w:val="000000"/>
          <w:sz w:val="24"/>
        </w:rPr>
        <w:t>（5）参加政府采购活动前三年内在经营活动中没有重大违法记录的书面声明；</w:t>
      </w:r>
    </w:p>
    <w:p>
      <w:pPr>
        <w:spacing w:line="500" w:lineRule="exact"/>
        <w:ind w:left="720"/>
        <w:jc w:val="left"/>
        <w:rPr>
          <w:rFonts w:eastAsia="楷体_GB2312"/>
          <w:color w:val="000000"/>
          <w:sz w:val="24"/>
        </w:rPr>
      </w:pPr>
      <w:r>
        <w:rPr>
          <w:rFonts w:eastAsia="楷体_GB2312"/>
          <w:color w:val="000000"/>
          <w:sz w:val="24"/>
        </w:rPr>
        <w:t>（6）法人代表及财务主管在本次采购活动前五年内没有刑事犯罪记录，没有行贿受贿或者偷税漏税等欺诈行为的书面声明；</w:t>
      </w:r>
    </w:p>
    <w:p>
      <w:pPr>
        <w:spacing w:line="500" w:lineRule="exact"/>
        <w:ind w:left="720"/>
        <w:jc w:val="left"/>
        <w:rPr>
          <w:rFonts w:eastAsia="楷体_GB2312"/>
          <w:sz w:val="24"/>
        </w:rPr>
      </w:pPr>
      <w:r>
        <w:rPr>
          <w:rFonts w:hint="eastAsia" w:eastAsia="楷体_GB2312"/>
          <w:color w:val="000000"/>
          <w:sz w:val="24"/>
        </w:rPr>
        <w:t>（7）质量体系认证证书、装备承制认证证书等证明材料（如有请提供）。</w:t>
      </w:r>
    </w:p>
    <w:p>
      <w:pPr>
        <w:spacing w:line="500" w:lineRule="exact"/>
        <w:ind w:firstLine="723" w:firstLineChars="300"/>
        <w:rPr>
          <w:rFonts w:eastAsia="楷体_GB2312"/>
          <w:b/>
          <w:bCs/>
          <w:sz w:val="24"/>
        </w:rPr>
      </w:pPr>
      <w:r>
        <w:rPr>
          <w:rFonts w:hint="eastAsia" w:eastAsia="楷体_GB2312"/>
          <w:b/>
          <w:bCs/>
          <w:sz w:val="24"/>
        </w:rPr>
        <w:t>10</w:t>
      </w:r>
      <w:r>
        <w:rPr>
          <w:rFonts w:eastAsia="楷体_GB2312"/>
          <w:b/>
          <w:bCs/>
          <w:sz w:val="24"/>
        </w:rPr>
        <w:t>.2商务技术响应文件包括：</w:t>
      </w:r>
    </w:p>
    <w:p>
      <w:pPr>
        <w:tabs>
          <w:tab w:val="left" w:pos="1260"/>
        </w:tabs>
        <w:spacing w:line="500" w:lineRule="exact"/>
        <w:ind w:firstLine="360"/>
        <w:rPr>
          <w:rFonts w:eastAsia="楷体_GB2312"/>
          <w:sz w:val="24"/>
        </w:rPr>
      </w:pPr>
      <w:r>
        <w:rPr>
          <w:rFonts w:eastAsia="楷体_GB2312"/>
          <w:sz w:val="24"/>
        </w:rPr>
        <w:t xml:space="preserve">   （1）谈判响应书（附件二）；</w:t>
      </w:r>
    </w:p>
    <w:p>
      <w:pPr>
        <w:spacing w:line="500" w:lineRule="exact"/>
        <w:ind w:firstLine="360"/>
        <w:rPr>
          <w:rFonts w:eastAsia="楷体_GB2312"/>
          <w:sz w:val="24"/>
        </w:rPr>
      </w:pPr>
      <w:r>
        <w:rPr>
          <w:rFonts w:eastAsia="楷体_GB2312"/>
          <w:sz w:val="24"/>
        </w:rPr>
        <w:t xml:space="preserve">   （2）初次报价表（注明到货日期，附件三）；</w:t>
      </w:r>
    </w:p>
    <w:p>
      <w:pPr>
        <w:spacing w:line="500" w:lineRule="exact"/>
        <w:ind w:firstLine="360"/>
        <w:rPr>
          <w:rFonts w:eastAsia="楷体_GB2312"/>
          <w:sz w:val="24"/>
        </w:rPr>
      </w:pPr>
      <w:r>
        <w:rPr>
          <w:rFonts w:eastAsia="楷体_GB2312"/>
          <w:sz w:val="24"/>
        </w:rPr>
        <w:t xml:space="preserve">   （3）技术实施方案及货物说明一览表（附件四）； </w:t>
      </w:r>
    </w:p>
    <w:p>
      <w:pPr>
        <w:spacing w:line="500" w:lineRule="exact"/>
        <w:ind w:left="837" w:leftChars="113" w:hanging="600" w:hangingChars="250"/>
        <w:rPr>
          <w:rFonts w:eastAsia="楷体_GB2312"/>
          <w:sz w:val="24"/>
        </w:rPr>
      </w:pPr>
      <w:r>
        <w:rPr>
          <w:rFonts w:eastAsia="楷体_GB2312"/>
          <w:sz w:val="24"/>
        </w:rPr>
        <w:t xml:space="preserve">    （4）响应谈判要求的计划和服务承诺书（包括实施计划安排及售后服务承诺等，格式自制）；</w:t>
      </w:r>
    </w:p>
    <w:p>
      <w:pPr>
        <w:tabs>
          <w:tab w:val="left" w:pos="840"/>
          <w:tab w:val="left" w:pos="1260"/>
        </w:tabs>
        <w:spacing w:line="500" w:lineRule="exact"/>
        <w:ind w:firstLine="360"/>
        <w:rPr>
          <w:rFonts w:eastAsia="楷体_GB2312"/>
          <w:sz w:val="24"/>
        </w:rPr>
      </w:pPr>
      <w:r>
        <w:rPr>
          <w:rFonts w:eastAsia="楷体_GB2312"/>
          <w:sz w:val="24"/>
        </w:rPr>
        <w:t xml:space="preserve">   （5）技术偏离表（附件五）；</w:t>
      </w:r>
    </w:p>
    <w:p>
      <w:pPr>
        <w:tabs>
          <w:tab w:val="left" w:pos="840"/>
        </w:tabs>
        <w:spacing w:line="500" w:lineRule="exact"/>
        <w:ind w:firstLine="360"/>
        <w:rPr>
          <w:rFonts w:eastAsia="楷体_GB2312"/>
          <w:sz w:val="24"/>
        </w:rPr>
      </w:pPr>
      <w:r>
        <w:rPr>
          <w:rFonts w:eastAsia="楷体_GB2312"/>
          <w:sz w:val="24"/>
        </w:rPr>
        <w:t xml:space="preserve">   （6）法定代表人授权书（附件六）；</w:t>
      </w:r>
    </w:p>
    <w:p>
      <w:pPr>
        <w:spacing w:line="500" w:lineRule="exact"/>
        <w:ind w:firstLine="360"/>
        <w:rPr>
          <w:rFonts w:eastAsia="楷体_GB2312"/>
          <w:sz w:val="24"/>
        </w:rPr>
      </w:pPr>
      <w:r>
        <w:rPr>
          <w:rFonts w:eastAsia="楷体_GB2312"/>
          <w:sz w:val="24"/>
        </w:rPr>
        <w:t xml:space="preserve">   （7）关于资格的声明函（附件七）；</w:t>
      </w:r>
    </w:p>
    <w:p>
      <w:pPr>
        <w:spacing w:line="500" w:lineRule="exact"/>
        <w:ind w:left="840" w:hanging="840" w:hangingChars="350"/>
        <w:rPr>
          <w:rFonts w:eastAsia="楷体_GB2312"/>
          <w:sz w:val="24"/>
        </w:rPr>
      </w:pPr>
      <w:r>
        <w:rPr>
          <w:rFonts w:eastAsia="楷体_GB2312"/>
          <w:sz w:val="24"/>
        </w:rPr>
        <w:t xml:space="preserve">      （8）公司的基本情况（包括公司的规模、设备、人员结构和经营状况及相关项目的经验证明[须提供用户清单及所承担的内容、公司对本项目的优势等介绍]）；</w:t>
      </w:r>
    </w:p>
    <w:p>
      <w:pPr>
        <w:tabs>
          <w:tab w:val="left" w:pos="1155"/>
        </w:tabs>
        <w:spacing w:line="500" w:lineRule="exact"/>
        <w:ind w:left="840" w:leftChars="-57" w:hanging="960" w:hangingChars="400"/>
        <w:rPr>
          <w:rFonts w:eastAsia="楷体_GB2312"/>
          <w:sz w:val="24"/>
        </w:rPr>
      </w:pPr>
      <w:r>
        <w:rPr>
          <w:rFonts w:eastAsia="楷体_GB2312"/>
          <w:sz w:val="24"/>
        </w:rPr>
        <w:t xml:space="preserve">       （9）提供截止</w:t>
      </w:r>
      <w:r>
        <w:rPr>
          <w:rFonts w:eastAsia="楷体_GB2312"/>
          <w:color w:val="FF0000"/>
          <w:sz w:val="24"/>
        </w:rPr>
        <w:t>201</w:t>
      </w:r>
      <w:r>
        <w:rPr>
          <w:rFonts w:hint="eastAsia" w:eastAsia="楷体_GB2312"/>
          <w:color w:val="FF0000"/>
          <w:sz w:val="24"/>
        </w:rPr>
        <w:t>9</w:t>
      </w:r>
      <w:r>
        <w:rPr>
          <w:rFonts w:eastAsia="楷体_GB2312"/>
          <w:color w:val="FF0000"/>
          <w:sz w:val="24"/>
        </w:rPr>
        <w:t>年</w:t>
      </w:r>
      <w:r>
        <w:rPr>
          <w:rFonts w:hint="eastAsia" w:eastAsia="楷体_GB2312"/>
          <w:color w:val="FF0000"/>
          <w:sz w:val="24"/>
        </w:rPr>
        <w:t>12</w:t>
      </w:r>
      <w:r>
        <w:rPr>
          <w:rFonts w:eastAsia="楷体_GB2312"/>
          <w:color w:val="FF0000"/>
          <w:sz w:val="24"/>
        </w:rPr>
        <w:t>月30日</w:t>
      </w:r>
      <w:r>
        <w:rPr>
          <w:rFonts w:eastAsia="楷体_GB2312"/>
          <w:sz w:val="24"/>
        </w:rPr>
        <w:t>的财务报表及</w:t>
      </w:r>
      <w:r>
        <w:rPr>
          <w:rFonts w:eastAsia="楷体_GB2312"/>
          <w:color w:val="FF0000"/>
          <w:sz w:val="24"/>
        </w:rPr>
        <w:t>201</w:t>
      </w:r>
      <w:r>
        <w:rPr>
          <w:rFonts w:hint="eastAsia" w:eastAsia="楷体_GB2312"/>
          <w:color w:val="FF0000"/>
          <w:sz w:val="24"/>
        </w:rPr>
        <w:t>9</w:t>
      </w:r>
      <w:r>
        <w:rPr>
          <w:rFonts w:eastAsia="楷体_GB2312"/>
          <w:color w:val="FF0000"/>
          <w:sz w:val="24"/>
        </w:rPr>
        <w:t>年</w:t>
      </w:r>
      <w:r>
        <w:rPr>
          <w:rFonts w:hint="eastAsia" w:eastAsia="楷体_GB2312"/>
          <w:color w:val="FF0000"/>
          <w:sz w:val="24"/>
        </w:rPr>
        <w:t>12</w:t>
      </w:r>
      <w:r>
        <w:rPr>
          <w:rFonts w:eastAsia="楷体_GB2312"/>
          <w:color w:val="FF0000"/>
          <w:sz w:val="24"/>
        </w:rPr>
        <w:t>月</w:t>
      </w:r>
      <w:r>
        <w:rPr>
          <w:rFonts w:eastAsia="楷体_GB2312"/>
          <w:sz w:val="24"/>
        </w:rPr>
        <w:t>的损益表（境外公司等如不能提供，请说明，并提供银行存款证明）；</w:t>
      </w:r>
    </w:p>
    <w:p>
      <w:pPr>
        <w:spacing w:line="500" w:lineRule="exact"/>
        <w:ind w:firstLine="720" w:firstLineChars="300"/>
        <w:rPr>
          <w:rFonts w:eastAsia="楷体_GB2312"/>
          <w:sz w:val="24"/>
        </w:rPr>
      </w:pPr>
      <w:r>
        <w:rPr>
          <w:rFonts w:eastAsia="楷体_GB2312"/>
          <w:sz w:val="24"/>
        </w:rPr>
        <w:t>（10）谈判项目要求提供产品彩页及详细的技术参数描述。</w:t>
      </w:r>
    </w:p>
    <w:p>
      <w:pPr>
        <w:spacing w:line="500" w:lineRule="exact"/>
        <w:ind w:left="720"/>
        <w:jc w:val="left"/>
        <w:rPr>
          <w:rFonts w:eastAsia="楷体_GB2312"/>
          <w:sz w:val="24"/>
        </w:rPr>
      </w:pPr>
      <w:r>
        <w:rPr>
          <w:rFonts w:hint="eastAsia" w:eastAsia="楷体_GB2312"/>
          <w:sz w:val="24"/>
        </w:rPr>
        <w:t>（11）</w:t>
      </w:r>
      <w:r>
        <w:rPr>
          <w:rFonts w:eastAsia="楷体_GB2312"/>
          <w:sz w:val="24"/>
        </w:rPr>
        <w:t>如参加谈判采购厂商为代理商，需提供原厂商针对本项目的授权书原件。</w:t>
      </w:r>
    </w:p>
    <w:p>
      <w:pPr>
        <w:spacing w:line="500" w:lineRule="exact"/>
        <w:ind w:firstLine="723" w:firstLineChars="300"/>
        <w:rPr>
          <w:rFonts w:eastAsia="楷体_GB2312"/>
          <w:b/>
          <w:bCs/>
          <w:sz w:val="24"/>
        </w:rPr>
      </w:pPr>
      <w:r>
        <w:rPr>
          <w:rFonts w:eastAsia="楷体_GB2312"/>
          <w:b/>
          <w:bCs/>
          <w:sz w:val="24"/>
        </w:rPr>
        <w:t>（1</w:t>
      </w:r>
      <w:r>
        <w:rPr>
          <w:rFonts w:hint="eastAsia" w:eastAsia="楷体_GB2312"/>
          <w:b/>
          <w:bCs/>
          <w:sz w:val="24"/>
        </w:rPr>
        <w:t>2</w:t>
      </w:r>
      <w:r>
        <w:rPr>
          <w:rFonts w:eastAsia="楷体_GB2312"/>
          <w:b/>
          <w:bCs/>
          <w:sz w:val="24"/>
        </w:rPr>
        <w:t>）请投标方将投标文件终稿电子版随同投标文件纸质版一同密封提交（U盘或光盘等形式）。电子稿除无投标人公章 、法人和全权代表签名外，其他应与实际的投标文件一致。</w:t>
      </w:r>
    </w:p>
    <w:p>
      <w:pPr>
        <w:spacing w:line="500" w:lineRule="exact"/>
        <w:ind w:firstLine="720" w:firstLineChars="300"/>
        <w:rPr>
          <w:rFonts w:eastAsia="楷体_GB2312"/>
          <w:sz w:val="24"/>
        </w:rPr>
      </w:pPr>
    </w:p>
    <w:p>
      <w:pPr>
        <w:tabs>
          <w:tab w:val="left" w:pos="540"/>
          <w:tab w:val="left" w:pos="720"/>
        </w:tabs>
        <w:spacing w:line="500" w:lineRule="exact"/>
        <w:ind w:firstLine="723" w:firstLineChars="300"/>
        <w:jc w:val="left"/>
        <w:rPr>
          <w:rFonts w:eastAsia="楷体_GB2312"/>
          <w:b/>
          <w:bCs/>
          <w:sz w:val="24"/>
        </w:rPr>
      </w:pPr>
      <w:r>
        <w:rPr>
          <w:rFonts w:hint="eastAsia" w:eastAsia="楷体_GB2312"/>
          <w:b/>
          <w:bCs/>
          <w:sz w:val="24"/>
        </w:rPr>
        <w:t>10</w:t>
      </w:r>
      <w:r>
        <w:rPr>
          <w:rFonts w:eastAsia="楷体_GB2312"/>
          <w:b/>
          <w:bCs/>
          <w:sz w:val="24"/>
        </w:rPr>
        <w:t>.3谈判响应文件的签署、份数及递交:</w:t>
      </w:r>
    </w:p>
    <w:p>
      <w:pPr>
        <w:tabs>
          <w:tab w:val="left" w:pos="540"/>
          <w:tab w:val="left" w:pos="945"/>
        </w:tabs>
        <w:spacing w:line="500" w:lineRule="exact"/>
        <w:ind w:left="835" w:leftChars="350" w:hanging="100" w:hangingChars="42"/>
        <w:jc w:val="left"/>
        <w:rPr>
          <w:rFonts w:eastAsia="楷体_GB2312"/>
          <w:b/>
          <w:sz w:val="24"/>
        </w:rPr>
      </w:pPr>
      <w:r>
        <w:rPr>
          <w:rFonts w:eastAsia="楷体_GB2312"/>
          <w:sz w:val="24"/>
        </w:rPr>
        <w:t>（1）谈判响应文件需打印或用不褪色的墨水填写。谈判响应文件的装订顺序应按单一来源谈判须知第9条所叙顺序装订成册；</w:t>
      </w:r>
      <w:r>
        <w:rPr>
          <w:rFonts w:eastAsia="楷体_GB2312"/>
          <w:b/>
          <w:sz w:val="24"/>
        </w:rPr>
        <w:t xml:space="preserve"> </w:t>
      </w:r>
    </w:p>
    <w:p>
      <w:pPr>
        <w:tabs>
          <w:tab w:val="left" w:pos="540"/>
          <w:tab w:val="left" w:pos="735"/>
        </w:tabs>
        <w:spacing w:line="500" w:lineRule="exact"/>
        <w:ind w:left="837" w:leftChars="351" w:hanging="100" w:hangingChars="42"/>
        <w:jc w:val="left"/>
        <w:rPr>
          <w:rFonts w:eastAsia="楷体_GB2312"/>
          <w:sz w:val="24"/>
        </w:rPr>
      </w:pPr>
      <w:r>
        <w:rPr>
          <w:rFonts w:eastAsia="楷体_GB2312"/>
          <w:sz w:val="24"/>
        </w:rPr>
        <w:t>（2）所有谈判响应文件均须由谈判响应方盖章，并由法定代表人或法定代表人授权代表签署。谈判响应方应写全称；</w:t>
      </w:r>
    </w:p>
    <w:p>
      <w:pPr>
        <w:tabs>
          <w:tab w:val="left" w:pos="540"/>
          <w:tab w:val="left" w:pos="720"/>
        </w:tabs>
        <w:spacing w:line="500" w:lineRule="exact"/>
        <w:ind w:left="838" w:leftChars="350" w:hanging="103" w:hangingChars="43"/>
        <w:jc w:val="left"/>
        <w:rPr>
          <w:rFonts w:eastAsia="楷体_GB2312"/>
          <w:sz w:val="24"/>
        </w:rPr>
      </w:pPr>
      <w:r>
        <w:rPr>
          <w:rFonts w:eastAsia="楷体_GB2312"/>
          <w:sz w:val="24"/>
        </w:rPr>
        <w:t>（3）谈判响应文件</w:t>
      </w:r>
      <w:r>
        <w:rPr>
          <w:rFonts w:eastAsia="楷体_GB2312"/>
          <w:color w:val="FF0000"/>
          <w:sz w:val="24"/>
        </w:rPr>
        <w:t>正本一份，副本五份</w:t>
      </w:r>
      <w:r>
        <w:rPr>
          <w:rFonts w:eastAsia="楷体_GB2312"/>
          <w:sz w:val="24"/>
        </w:rPr>
        <w:t>（建议采用双面打印）。谈判响应方应将谈判响应文件正本和副本分别用信封密封，并在封皮上标明采购编号、采购项目名称、谈判响应方名称及“正本”或“副本”字样。正本、副本同时提交给需方；</w:t>
      </w:r>
    </w:p>
    <w:p>
      <w:pPr>
        <w:tabs>
          <w:tab w:val="left" w:pos="540"/>
          <w:tab w:val="left" w:pos="720"/>
        </w:tabs>
        <w:spacing w:line="500" w:lineRule="exact"/>
        <w:ind w:left="835" w:leftChars="350" w:hanging="100" w:hangingChars="42"/>
        <w:jc w:val="left"/>
        <w:rPr>
          <w:rFonts w:eastAsia="楷体_GB2312"/>
          <w:sz w:val="24"/>
        </w:rPr>
      </w:pPr>
      <w:r>
        <w:rPr>
          <w:rFonts w:eastAsia="楷体_GB2312"/>
          <w:sz w:val="24"/>
        </w:rPr>
        <w:t>（4）若谈判响应方未加写标记，需方对谈判响应文件的误投和提前启封不负责任；</w:t>
      </w:r>
    </w:p>
    <w:p>
      <w:pPr>
        <w:tabs>
          <w:tab w:val="left" w:pos="540"/>
          <w:tab w:val="left" w:pos="720"/>
        </w:tabs>
        <w:spacing w:line="500" w:lineRule="exact"/>
        <w:ind w:firstLine="734" w:firstLineChars="306"/>
        <w:jc w:val="left"/>
        <w:rPr>
          <w:rFonts w:eastAsia="楷体_GB2312"/>
          <w:sz w:val="24"/>
        </w:rPr>
      </w:pPr>
      <w:r>
        <w:rPr>
          <w:rFonts w:eastAsia="楷体_GB2312"/>
          <w:sz w:val="24"/>
        </w:rPr>
        <w:t>（5）谈判响应文件的补充和修改：</w:t>
      </w:r>
    </w:p>
    <w:p>
      <w:pPr>
        <w:pStyle w:val="3"/>
        <w:spacing w:line="500" w:lineRule="exact"/>
        <w:ind w:left="840" w:leftChars="400" w:firstLine="523" w:firstLineChars="218"/>
        <w:rPr>
          <w:rFonts w:eastAsia="楷体_GB2312"/>
        </w:rPr>
      </w:pPr>
      <w:r>
        <w:rPr>
          <w:rFonts w:eastAsia="楷体_GB2312"/>
        </w:rPr>
        <w:t>谈判响应文件递交截止时间前，谈判响应方可以书面向需方已递交的谈判响应文件提出补充和修改，相应部分以最后的补充和修改为准。该书面材料应密封，由谈判响应方代表签字并加盖公章。</w:t>
      </w:r>
    </w:p>
    <w:p>
      <w:pPr>
        <w:spacing w:line="500" w:lineRule="exact"/>
        <w:ind w:left="838" w:leftChars="342" w:hanging="120" w:hangingChars="50"/>
        <w:jc w:val="left"/>
        <w:rPr>
          <w:rFonts w:eastAsia="楷体_GB2312"/>
          <w:sz w:val="24"/>
        </w:rPr>
      </w:pPr>
      <w:r>
        <w:rPr>
          <w:rFonts w:eastAsia="楷体_GB2312"/>
          <w:sz w:val="24"/>
        </w:rPr>
        <w:t>（6）谈判响应文件不得涂改和增删，如有错漏必须修改，修改处须由同一签署人签字或盖章；</w:t>
      </w:r>
    </w:p>
    <w:p>
      <w:pPr>
        <w:spacing w:line="500" w:lineRule="exact"/>
        <w:ind w:firstLine="720" w:firstLineChars="300"/>
        <w:jc w:val="left"/>
        <w:rPr>
          <w:rFonts w:eastAsia="楷体_GB2312"/>
          <w:sz w:val="24"/>
        </w:rPr>
      </w:pPr>
      <w:r>
        <w:rPr>
          <w:rFonts w:eastAsia="楷体_GB2312"/>
          <w:sz w:val="24"/>
        </w:rPr>
        <w:t>（7）由于字迹模糊或表达不清引起的后果由谈判响应方负责；</w:t>
      </w:r>
    </w:p>
    <w:p>
      <w:pPr>
        <w:spacing w:line="500" w:lineRule="exact"/>
        <w:ind w:firstLine="482" w:firstLineChars="200"/>
        <w:rPr>
          <w:rFonts w:eastAsia="楷体_GB2312"/>
          <w:b/>
          <w:bCs/>
          <w:sz w:val="24"/>
        </w:rPr>
      </w:pPr>
      <w:r>
        <w:rPr>
          <w:rFonts w:eastAsia="楷体_GB2312"/>
          <w:b/>
          <w:bCs/>
          <w:sz w:val="24"/>
        </w:rPr>
        <w:t>1</w:t>
      </w:r>
      <w:r>
        <w:rPr>
          <w:rFonts w:hint="eastAsia" w:eastAsia="楷体_GB2312"/>
          <w:b/>
          <w:bCs/>
          <w:sz w:val="24"/>
        </w:rPr>
        <w:t>1</w:t>
      </w:r>
      <w:r>
        <w:rPr>
          <w:rFonts w:eastAsia="楷体_GB2312"/>
          <w:b/>
          <w:bCs/>
          <w:sz w:val="24"/>
        </w:rPr>
        <w:t>、无效谈判响应文件</w:t>
      </w:r>
    </w:p>
    <w:p>
      <w:pPr>
        <w:spacing w:line="500" w:lineRule="exact"/>
        <w:ind w:firstLine="600" w:firstLineChars="250"/>
        <w:rPr>
          <w:rFonts w:eastAsia="楷体_GB2312"/>
          <w:sz w:val="24"/>
        </w:rPr>
      </w:pPr>
      <w:r>
        <w:rPr>
          <w:rFonts w:eastAsia="楷体_GB2312"/>
          <w:sz w:val="24"/>
        </w:rPr>
        <w:t>发生下列情况之一的谈判响应文件被视为无效：</w:t>
      </w:r>
    </w:p>
    <w:p>
      <w:pPr>
        <w:tabs>
          <w:tab w:val="left" w:pos="1260"/>
        </w:tabs>
        <w:spacing w:line="500" w:lineRule="exact"/>
        <w:ind w:firstLine="720" w:firstLineChars="300"/>
        <w:rPr>
          <w:rFonts w:eastAsia="楷体_GB2312"/>
          <w:sz w:val="24"/>
        </w:rPr>
      </w:pPr>
      <w:r>
        <w:rPr>
          <w:rFonts w:eastAsia="楷体_GB2312"/>
          <w:sz w:val="24"/>
        </w:rPr>
        <w:t>（1）在谈判响应文件递交截止时间以后邮寄到达或送达的谈判响应文件；</w:t>
      </w:r>
    </w:p>
    <w:p>
      <w:pPr>
        <w:spacing w:line="500" w:lineRule="exact"/>
        <w:ind w:firstLine="720" w:firstLineChars="300"/>
        <w:rPr>
          <w:rFonts w:eastAsia="楷体_GB2312"/>
          <w:b/>
          <w:sz w:val="24"/>
        </w:rPr>
      </w:pPr>
      <w:r>
        <w:rPr>
          <w:rFonts w:eastAsia="楷体_GB2312"/>
          <w:sz w:val="24"/>
        </w:rPr>
        <w:t>（2）</w:t>
      </w:r>
      <w:r>
        <w:rPr>
          <w:rFonts w:eastAsia="楷体_GB2312"/>
          <w:b/>
          <w:sz w:val="24"/>
        </w:rPr>
        <w:t>严重破损或失散的谈判响应文件；</w:t>
      </w:r>
    </w:p>
    <w:p>
      <w:pPr>
        <w:spacing w:line="500" w:lineRule="exact"/>
        <w:ind w:firstLine="720" w:firstLineChars="300"/>
        <w:rPr>
          <w:rFonts w:eastAsia="楷体_GB2312"/>
          <w:sz w:val="24"/>
        </w:rPr>
      </w:pPr>
      <w:r>
        <w:rPr>
          <w:rFonts w:eastAsia="楷体_GB2312"/>
          <w:sz w:val="24"/>
        </w:rPr>
        <w:t>（3）以电讯形式的谈判响应文件；</w:t>
      </w:r>
    </w:p>
    <w:p>
      <w:pPr>
        <w:spacing w:line="500" w:lineRule="exact"/>
        <w:ind w:firstLine="720" w:firstLineChars="300"/>
        <w:rPr>
          <w:rFonts w:eastAsia="楷体_GB2312"/>
          <w:sz w:val="24"/>
        </w:rPr>
      </w:pPr>
      <w:r>
        <w:rPr>
          <w:rFonts w:eastAsia="楷体_GB2312"/>
          <w:sz w:val="24"/>
        </w:rPr>
        <w:t>（4）与谈判文件有重大偏离的谈判响应文件；</w:t>
      </w:r>
    </w:p>
    <w:p>
      <w:pPr>
        <w:tabs>
          <w:tab w:val="left" w:pos="1365"/>
        </w:tabs>
        <w:spacing w:line="500" w:lineRule="exact"/>
        <w:ind w:left="838" w:leftChars="342" w:hanging="120" w:hangingChars="50"/>
        <w:rPr>
          <w:rFonts w:eastAsia="楷体_GB2312"/>
          <w:sz w:val="24"/>
        </w:rPr>
      </w:pPr>
      <w:r>
        <w:rPr>
          <w:rFonts w:eastAsia="楷体_GB2312"/>
          <w:sz w:val="24"/>
        </w:rPr>
        <w:t>（5）不按规定加盖公章的（必须为单位公章）或未经法定代表人或授权人签署的；</w:t>
      </w:r>
    </w:p>
    <w:p>
      <w:pPr>
        <w:tabs>
          <w:tab w:val="left" w:pos="1365"/>
        </w:tabs>
        <w:spacing w:line="500" w:lineRule="exact"/>
        <w:ind w:left="838" w:leftChars="342" w:hanging="120" w:hangingChars="50"/>
        <w:rPr>
          <w:rFonts w:eastAsia="楷体_GB2312"/>
          <w:b/>
          <w:sz w:val="24"/>
        </w:rPr>
      </w:pPr>
      <w:r>
        <w:rPr>
          <w:rFonts w:eastAsia="楷体_GB2312"/>
          <w:sz w:val="24"/>
        </w:rPr>
        <w:t>（6）</w:t>
      </w:r>
      <w:r>
        <w:rPr>
          <w:rFonts w:eastAsia="楷体_GB2312"/>
          <w:b/>
          <w:sz w:val="24"/>
        </w:rPr>
        <w:t>经查询存在不良信用记录的；</w:t>
      </w:r>
    </w:p>
    <w:p>
      <w:pPr>
        <w:autoSpaceDE w:val="0"/>
        <w:autoSpaceDN w:val="0"/>
        <w:adjustRightInd w:val="0"/>
        <w:spacing w:line="360" w:lineRule="auto"/>
        <w:ind w:firstLine="682" w:firstLineChars="283"/>
        <w:rPr>
          <w:rFonts w:eastAsia="楷体_GB2312"/>
          <w:b/>
          <w:sz w:val="24"/>
        </w:rPr>
      </w:pPr>
      <w:r>
        <w:rPr>
          <w:rFonts w:eastAsia="楷体_GB2312"/>
          <w:b/>
          <w:sz w:val="24"/>
        </w:rPr>
        <w:t>（</w:t>
      </w:r>
      <w:r>
        <w:rPr>
          <w:rFonts w:hint="eastAsia" w:eastAsia="楷体_GB2312"/>
          <w:b/>
          <w:sz w:val="24"/>
        </w:rPr>
        <w:t>7</w:t>
      </w:r>
      <w:r>
        <w:rPr>
          <w:rFonts w:eastAsia="楷体_GB2312"/>
          <w:b/>
          <w:sz w:val="24"/>
        </w:rPr>
        <w:t>）</w:t>
      </w:r>
      <w:r>
        <w:rPr>
          <w:rFonts w:hint="eastAsia" w:eastAsia="楷体_GB2312"/>
          <w:b/>
          <w:sz w:val="24"/>
        </w:rPr>
        <w:t>报价不符合采购文件要求或</w:t>
      </w:r>
      <w:r>
        <w:rPr>
          <w:rFonts w:eastAsia="楷体_GB2312"/>
          <w:b/>
          <w:sz w:val="24"/>
        </w:rPr>
        <w:t>最终投标报价超过预算金额的。</w:t>
      </w:r>
    </w:p>
    <w:p>
      <w:pPr>
        <w:tabs>
          <w:tab w:val="left" w:pos="1365"/>
        </w:tabs>
        <w:spacing w:line="500" w:lineRule="exact"/>
        <w:ind w:left="838" w:leftChars="342" w:hanging="120" w:hangingChars="50"/>
        <w:rPr>
          <w:rFonts w:eastAsia="楷体_GB2312"/>
          <w:sz w:val="24"/>
        </w:rPr>
      </w:pPr>
    </w:p>
    <w:p>
      <w:pPr>
        <w:spacing w:line="360" w:lineRule="auto"/>
        <w:ind w:firstLine="419" w:firstLineChars="174"/>
        <w:jc w:val="left"/>
        <w:rPr>
          <w:rFonts w:eastAsia="楷体_GB2312"/>
          <w:b/>
          <w:bCs/>
          <w:sz w:val="24"/>
        </w:rPr>
      </w:pPr>
      <w:r>
        <w:rPr>
          <w:rFonts w:eastAsia="楷体_GB2312"/>
          <w:b/>
          <w:bCs/>
          <w:sz w:val="24"/>
        </w:rPr>
        <w:t>1</w:t>
      </w:r>
      <w:r>
        <w:rPr>
          <w:rFonts w:hint="eastAsia" w:eastAsia="楷体_GB2312"/>
          <w:b/>
          <w:bCs/>
          <w:sz w:val="24"/>
        </w:rPr>
        <w:t>2</w:t>
      </w:r>
      <w:r>
        <w:rPr>
          <w:rFonts w:eastAsia="楷体_GB2312"/>
          <w:b/>
          <w:bCs/>
          <w:sz w:val="24"/>
        </w:rPr>
        <w:t>、谈判响应承诺书填写字迹必须清楚、工整，不得有加行，单价不得涂改。</w:t>
      </w:r>
    </w:p>
    <w:p>
      <w:pPr>
        <w:spacing w:line="360" w:lineRule="auto"/>
        <w:ind w:left="420" w:leftChars="200"/>
        <w:rPr>
          <w:rFonts w:eastAsia="楷体_GB2312"/>
          <w:b/>
          <w:bCs/>
          <w:sz w:val="24"/>
        </w:rPr>
      </w:pPr>
      <w:r>
        <w:rPr>
          <w:rFonts w:eastAsia="楷体_GB2312"/>
          <w:b/>
          <w:bCs/>
          <w:sz w:val="24"/>
        </w:rPr>
        <w:t>1</w:t>
      </w:r>
      <w:r>
        <w:rPr>
          <w:rFonts w:hint="eastAsia" w:eastAsia="楷体_GB2312"/>
          <w:b/>
          <w:bCs/>
          <w:sz w:val="24"/>
        </w:rPr>
        <w:t>3</w:t>
      </w:r>
      <w:r>
        <w:rPr>
          <w:rFonts w:eastAsia="楷体_GB2312"/>
          <w:b/>
          <w:bCs/>
          <w:sz w:val="24"/>
        </w:rPr>
        <w:t>、安全问题及责任</w:t>
      </w:r>
    </w:p>
    <w:p>
      <w:pPr>
        <w:spacing w:line="360" w:lineRule="auto"/>
        <w:ind w:left="420" w:leftChars="200"/>
        <w:rPr>
          <w:rFonts w:eastAsia="楷体_GB2312"/>
          <w:sz w:val="24"/>
        </w:rPr>
      </w:pPr>
      <w:r>
        <w:rPr>
          <w:rFonts w:eastAsia="楷体_GB2312"/>
          <w:sz w:val="24"/>
        </w:rPr>
        <w:t>凡浙江大学采购的设备、货物、服务等项目:</w:t>
      </w:r>
    </w:p>
    <w:p>
      <w:pPr>
        <w:spacing w:line="360" w:lineRule="auto"/>
        <w:ind w:left="735" w:leftChars="350"/>
        <w:rPr>
          <w:rFonts w:eastAsia="楷体_GB2312"/>
          <w:sz w:val="24"/>
        </w:rPr>
      </w:pPr>
      <w:r>
        <w:rPr>
          <w:rFonts w:eastAsia="楷体_GB2312"/>
          <w:sz w:val="24"/>
        </w:rPr>
        <w:t>（1）对于设备、货物类项目，供应商提供的设备、货物应符合国际有关标准及相关安全规定。在货到验收合格并交付使用前，所涉安全问题及责任由供应商负责；货到验收合格并交付使用后，由于货物仪器本身缺陷造成的安全问题及责任由供应商负责，由于用户违规使用造成的安全问题及责任由使用方负责。</w:t>
      </w:r>
    </w:p>
    <w:p>
      <w:pPr>
        <w:spacing w:line="360" w:lineRule="auto"/>
        <w:ind w:left="735" w:leftChars="350"/>
        <w:rPr>
          <w:rFonts w:eastAsia="楷体_GB2312"/>
          <w:sz w:val="24"/>
        </w:rPr>
      </w:pPr>
      <w:r>
        <w:rPr>
          <w:rFonts w:eastAsia="楷体_GB2312"/>
          <w:sz w:val="24"/>
        </w:rPr>
        <w:t>（2）对于服务类项目，在服务期满前，所涉安全问题及责任由供应商负责；在服务期满后，其中包含供应商提供的设备、货物的，设备和货物部分所涉安全问题及责任依照设备货物的相关规定。</w:t>
      </w:r>
    </w:p>
    <w:p>
      <w:pPr>
        <w:spacing w:line="360" w:lineRule="auto"/>
        <w:ind w:left="735" w:leftChars="350"/>
        <w:rPr>
          <w:rFonts w:eastAsia="楷体_GB2312"/>
          <w:sz w:val="24"/>
        </w:rPr>
      </w:pPr>
      <w:r>
        <w:rPr>
          <w:rFonts w:eastAsia="楷体_GB2312"/>
          <w:sz w:val="24"/>
        </w:rPr>
        <w:t>（3）涉及工程项目的成交方应通过相应的企业认证并取得相应的认证证书；在项目的实施过程中应建立健全安全生产的各项制度及措施，确保安全生产，如发生各类安全事故，所造成的各项损失及相关责任由成交方负责。</w:t>
      </w:r>
    </w:p>
    <w:p>
      <w:pPr>
        <w:tabs>
          <w:tab w:val="left" w:pos="840"/>
        </w:tabs>
        <w:spacing w:line="500" w:lineRule="exact"/>
        <w:ind w:left="181" w:leftChars="86" w:firstLine="241" w:firstLineChars="100"/>
        <w:jc w:val="left"/>
        <w:rPr>
          <w:rFonts w:eastAsia="楷体_GB2312"/>
          <w:b/>
          <w:bCs/>
          <w:sz w:val="24"/>
        </w:rPr>
      </w:pPr>
      <w:r>
        <w:rPr>
          <w:rFonts w:eastAsia="楷体_GB2312"/>
          <w:b/>
          <w:bCs/>
          <w:sz w:val="24"/>
        </w:rPr>
        <w:t>1</w:t>
      </w:r>
      <w:r>
        <w:rPr>
          <w:rFonts w:hint="eastAsia" w:eastAsia="楷体_GB2312"/>
          <w:b/>
          <w:bCs/>
          <w:sz w:val="24"/>
        </w:rPr>
        <w:t>4</w:t>
      </w:r>
      <w:r>
        <w:rPr>
          <w:rFonts w:eastAsia="楷体_GB2312"/>
          <w:b/>
          <w:bCs/>
          <w:sz w:val="24"/>
        </w:rPr>
        <w:t>、谈判文件递交截止时间及地点</w:t>
      </w:r>
      <w:r>
        <w:rPr>
          <w:rFonts w:eastAsia="楷体_GB2312"/>
          <w:b/>
          <w:bCs/>
          <w:sz w:val="24"/>
        </w:rPr>
        <w:tab/>
      </w:r>
    </w:p>
    <w:p>
      <w:pPr>
        <w:spacing w:line="500" w:lineRule="exact"/>
        <w:ind w:firstLine="720" w:firstLineChars="300"/>
        <w:jc w:val="left"/>
        <w:rPr>
          <w:rFonts w:eastAsia="楷体_GB2312"/>
          <w:sz w:val="24"/>
        </w:rPr>
      </w:pPr>
      <w:r>
        <w:rPr>
          <w:rFonts w:hint="eastAsia" w:eastAsia="楷体_GB2312"/>
          <w:sz w:val="24"/>
        </w:rPr>
        <w:t>详见采购公告。</w:t>
      </w:r>
    </w:p>
    <w:p>
      <w:pPr>
        <w:spacing w:line="500" w:lineRule="exact"/>
        <w:ind w:firstLine="482" w:firstLineChars="200"/>
        <w:jc w:val="left"/>
        <w:rPr>
          <w:rFonts w:eastAsia="楷体_GB2312"/>
          <w:b/>
          <w:bCs/>
          <w:sz w:val="24"/>
        </w:rPr>
      </w:pPr>
      <w:r>
        <w:rPr>
          <w:rFonts w:eastAsia="楷体_GB2312"/>
          <w:b/>
          <w:bCs/>
          <w:sz w:val="24"/>
        </w:rPr>
        <w:t>1</w:t>
      </w:r>
      <w:r>
        <w:rPr>
          <w:rFonts w:hint="eastAsia" w:eastAsia="楷体_GB2312"/>
          <w:b/>
          <w:bCs/>
          <w:sz w:val="24"/>
        </w:rPr>
        <w:t>5</w:t>
      </w:r>
      <w:r>
        <w:rPr>
          <w:rFonts w:eastAsia="楷体_GB2312"/>
          <w:b/>
          <w:bCs/>
          <w:sz w:val="24"/>
        </w:rPr>
        <w:t>、谈判地点和时间</w:t>
      </w:r>
    </w:p>
    <w:p>
      <w:pPr>
        <w:spacing w:line="500" w:lineRule="exact"/>
        <w:ind w:firstLine="720" w:firstLineChars="300"/>
        <w:jc w:val="left"/>
        <w:rPr>
          <w:rFonts w:eastAsia="楷体_GB2312"/>
          <w:sz w:val="24"/>
        </w:rPr>
        <w:sectPr>
          <w:headerReference r:id="rId7" w:type="default"/>
          <w:pgSz w:w="11906" w:h="16838"/>
          <w:pgMar w:top="1418" w:right="1406" w:bottom="1304" w:left="1800" w:header="851" w:footer="992" w:gutter="0"/>
          <w:cols w:space="720" w:num="1"/>
          <w:docGrid w:type="lines" w:linePitch="312" w:charSpace="0"/>
        </w:sectPr>
      </w:pPr>
      <w:r>
        <w:rPr>
          <w:rFonts w:hint="eastAsia" w:eastAsia="楷体_GB2312"/>
          <w:sz w:val="24"/>
        </w:rPr>
        <w:t>详见采购公告。</w:t>
      </w:r>
    </w:p>
    <w:p>
      <w:pPr>
        <w:pStyle w:val="6"/>
        <w:numPr>
          <w:ilvl w:val="0"/>
          <w:numId w:val="0"/>
        </w:numPr>
        <w:spacing w:line="460" w:lineRule="exact"/>
        <w:jc w:val="center"/>
        <w:rPr>
          <w:rFonts w:ascii="Times New Roman"/>
          <w:sz w:val="36"/>
          <w:szCs w:val="36"/>
        </w:rPr>
      </w:pPr>
      <w:bookmarkStart w:id="10" w:name="_Toc322331141"/>
      <w:bookmarkStart w:id="11" w:name="_Toc322331220"/>
      <w:bookmarkStart w:id="12" w:name="_Toc39049589"/>
      <w:r>
        <w:rPr>
          <w:rFonts w:ascii="Times New Roman"/>
          <w:sz w:val="36"/>
          <w:szCs w:val="36"/>
        </w:rPr>
        <w:t>三、附 件</w:t>
      </w:r>
      <w:bookmarkEnd w:id="10"/>
      <w:bookmarkEnd w:id="11"/>
      <w:r>
        <w:rPr>
          <w:rFonts w:ascii="Times New Roman"/>
          <w:sz w:val="36"/>
          <w:szCs w:val="36"/>
        </w:rPr>
        <w:t>：设 备 数 量 和 技 术 要 求</w:t>
      </w:r>
      <w:bookmarkEnd w:id="12"/>
    </w:p>
    <w:p>
      <w:pPr>
        <w:spacing w:line="360" w:lineRule="auto"/>
        <w:rPr>
          <w:rFonts w:eastAsia="楷体_GB2312"/>
          <w:b/>
          <w:sz w:val="24"/>
        </w:rPr>
      </w:pPr>
      <w:r>
        <w:rPr>
          <w:rFonts w:hint="eastAsia" w:eastAsia="楷体_GB2312"/>
          <w:b/>
          <w:bCs/>
          <w:sz w:val="24"/>
        </w:rPr>
        <w:t xml:space="preserve"> </w:t>
      </w:r>
    </w:p>
    <w:p>
      <w:pPr>
        <w:rPr>
          <w:rFonts w:ascii="宋体" w:hAnsi="宋体"/>
          <w:sz w:val="24"/>
        </w:rPr>
      </w:pPr>
      <w:r>
        <w:rPr>
          <w:rFonts w:eastAsia="楷体_GB2312"/>
          <w:b/>
          <w:sz w:val="24"/>
        </w:rPr>
        <w:t>标项</w:t>
      </w:r>
      <w:r>
        <w:rPr>
          <w:rFonts w:hint="eastAsia" w:eastAsia="楷体_GB2312"/>
          <w:b/>
          <w:sz w:val="24"/>
        </w:rPr>
        <w:t>：毫米波中频原型系统  一套</w:t>
      </w:r>
    </w:p>
    <w:p>
      <w:pPr>
        <w:spacing w:beforeLines="50" w:afterLines="50" w:line="360" w:lineRule="auto"/>
        <w:jc w:val="left"/>
        <w:rPr>
          <w:rFonts w:eastAsia="楷体_GB2312"/>
          <w:color w:val="FF0000"/>
          <w:sz w:val="24"/>
        </w:rPr>
      </w:pPr>
      <w:r>
        <w:rPr>
          <w:rFonts w:eastAsia="楷体_GB2312"/>
          <w:color w:val="FF0000"/>
          <w:sz w:val="24"/>
        </w:rPr>
        <w:t>主要参数与技术要求：</w:t>
      </w:r>
    </w:p>
    <w:p>
      <w:pPr>
        <w:spacing w:line="400" w:lineRule="exact"/>
        <w:ind w:firstLine="570"/>
        <w:rPr>
          <w:rFonts w:hAnsi="宋体"/>
          <w:sz w:val="24"/>
        </w:rPr>
      </w:pPr>
      <w:r>
        <w:rPr>
          <w:rFonts w:hint="eastAsia" w:hAnsi="宋体"/>
          <w:sz w:val="24"/>
        </w:rPr>
        <w:t xml:space="preserve"> </w:t>
      </w:r>
    </w:p>
    <w:p>
      <w:pPr>
        <w:spacing w:line="400" w:lineRule="exact"/>
        <w:ind w:firstLine="570"/>
        <w:rPr>
          <w:rFonts w:hint="default" w:ascii="Times New Roman" w:hAnsi="Times New Roman" w:eastAsia="楷体_GB2312" w:cs="Times New Roman"/>
          <w:color w:val="000000"/>
          <w:sz w:val="24"/>
        </w:rPr>
      </w:pPr>
      <w:r>
        <w:rPr>
          <w:rFonts w:hint="default" w:ascii="Times New Roman" w:hAnsi="Times New Roman" w:eastAsia="楷体_GB2312" w:cs="Times New Roman"/>
          <w:color w:val="000000"/>
          <w:sz w:val="24"/>
        </w:rPr>
        <w:t>1. 中频收发带宽2GHz，频点9GHz~12GHz</w:t>
      </w:r>
    </w:p>
    <w:p>
      <w:pPr>
        <w:spacing w:line="400" w:lineRule="exact"/>
        <w:ind w:firstLine="570"/>
        <w:rPr>
          <w:rFonts w:hint="default" w:ascii="Times New Roman" w:hAnsi="Times New Roman" w:eastAsia="楷体_GB2312" w:cs="Times New Roman"/>
          <w:color w:val="000000"/>
          <w:sz w:val="24"/>
        </w:rPr>
      </w:pPr>
      <w:r>
        <w:rPr>
          <w:rFonts w:hint="default" w:ascii="Times New Roman" w:hAnsi="Times New Roman" w:eastAsia="楷体_GB2312" w:cs="Times New Roman"/>
          <w:color w:val="000000"/>
          <w:sz w:val="24"/>
        </w:rPr>
        <w:t>2. 基带AD/DA采样率不低于2GS/s 12bit</w:t>
      </w:r>
    </w:p>
    <w:p>
      <w:pPr>
        <w:spacing w:line="400" w:lineRule="exact"/>
        <w:ind w:firstLine="570"/>
        <w:rPr>
          <w:rFonts w:hint="default" w:ascii="Times New Roman" w:hAnsi="Times New Roman" w:eastAsia="楷体_GB2312" w:cs="Times New Roman"/>
          <w:color w:val="000000"/>
          <w:sz w:val="24"/>
        </w:rPr>
      </w:pPr>
      <w:r>
        <w:rPr>
          <w:rFonts w:hint="default" w:ascii="Times New Roman" w:hAnsi="Times New Roman" w:eastAsia="楷体_GB2312" w:cs="Times New Roman"/>
          <w:color w:val="000000"/>
          <w:sz w:val="24"/>
        </w:rPr>
        <w:t>3. PXIe平台架构，支持PCIe-3.0数据传输模式，系统带宽不低于20GB/s</w:t>
      </w:r>
    </w:p>
    <w:p>
      <w:pPr>
        <w:spacing w:line="400" w:lineRule="exact"/>
        <w:ind w:firstLine="570"/>
        <w:rPr>
          <w:rFonts w:hint="default" w:ascii="Times New Roman" w:hAnsi="Times New Roman" w:eastAsia="楷体_GB2312" w:cs="Times New Roman"/>
          <w:color w:val="000000"/>
          <w:sz w:val="24"/>
        </w:rPr>
      </w:pPr>
      <w:r>
        <w:rPr>
          <w:rFonts w:hint="default" w:ascii="Times New Roman" w:hAnsi="Times New Roman" w:eastAsia="楷体_GB2312" w:cs="Times New Roman"/>
          <w:color w:val="000000"/>
          <w:sz w:val="24"/>
        </w:rPr>
        <w:t>4. 可匹配28GHz射频前端，通过高速数字接口控制</w:t>
      </w:r>
    </w:p>
    <w:p>
      <w:pPr>
        <w:spacing w:line="400" w:lineRule="exact"/>
        <w:ind w:firstLine="570"/>
        <w:rPr>
          <w:rFonts w:hint="default" w:ascii="Times New Roman" w:hAnsi="Times New Roman" w:eastAsia="楷体_GB2312" w:cs="Times New Roman"/>
          <w:color w:val="000000"/>
          <w:sz w:val="24"/>
        </w:rPr>
      </w:pPr>
      <w:r>
        <w:rPr>
          <w:rFonts w:hint="default" w:ascii="Times New Roman" w:hAnsi="Times New Roman" w:eastAsia="楷体_GB2312" w:cs="Times New Roman"/>
          <w:color w:val="000000"/>
          <w:sz w:val="24"/>
        </w:rPr>
        <w:t>5. 收发分开，发射一台PXIe机箱，接收一台PXIe机箱。收发均内置主控器，CPU 8核以上，内存不低于24GB</w:t>
      </w:r>
    </w:p>
    <w:p>
      <w:pPr>
        <w:spacing w:line="400" w:lineRule="exact"/>
        <w:ind w:firstLine="570"/>
        <w:rPr>
          <w:rFonts w:hint="default" w:ascii="Times New Roman" w:hAnsi="Times New Roman" w:eastAsia="楷体_GB2312" w:cs="Times New Roman"/>
          <w:color w:val="000000"/>
          <w:sz w:val="24"/>
        </w:rPr>
      </w:pPr>
      <w:r>
        <w:rPr>
          <w:rFonts w:hint="default" w:ascii="Times New Roman" w:hAnsi="Times New Roman" w:eastAsia="楷体_GB2312" w:cs="Times New Roman"/>
          <w:color w:val="000000"/>
          <w:sz w:val="24"/>
        </w:rPr>
        <w:t>6. 可进行实时信道编解码，提供PXIe板载FPGA，FPGA 逻辑资源不少于400k</w:t>
      </w:r>
    </w:p>
    <w:p>
      <w:pPr>
        <w:spacing w:line="400" w:lineRule="exact"/>
        <w:ind w:firstLine="600" w:firstLineChars="250"/>
        <w:rPr>
          <w:rFonts w:hint="default" w:ascii="Times New Roman" w:hAnsi="Times New Roman" w:eastAsia="楷体_GB2312" w:cs="Times New Roman"/>
          <w:sz w:val="24"/>
        </w:rPr>
      </w:pPr>
      <w:r>
        <w:rPr>
          <w:rFonts w:hint="default" w:ascii="Times New Roman" w:hAnsi="Times New Roman" w:eastAsia="楷体_GB2312" w:cs="Times New Roman"/>
          <w:sz w:val="24"/>
        </w:rPr>
        <w:t>7．交货及安装地点为浙江大学，设备的搬运、安装调试等均包含在投标报价内，需方不另行付费。</w:t>
      </w:r>
    </w:p>
    <w:p>
      <w:pPr>
        <w:spacing w:line="400" w:lineRule="exact"/>
        <w:ind w:firstLine="570"/>
        <w:rPr>
          <w:rFonts w:hint="default" w:ascii="Times New Roman" w:hAnsi="Times New Roman" w:eastAsia="楷体_GB2312" w:cs="Times New Roman"/>
          <w:color w:val="000000"/>
          <w:sz w:val="24"/>
        </w:rPr>
      </w:pPr>
      <w:r>
        <w:rPr>
          <w:rFonts w:hint="default" w:ascii="Times New Roman" w:hAnsi="Times New Roman" w:eastAsia="楷体_GB2312" w:cs="Times New Roman"/>
          <w:sz w:val="24"/>
        </w:rPr>
        <w:t>8．交货期：合同签订</w:t>
      </w:r>
      <w:r>
        <w:rPr>
          <w:rFonts w:hint="eastAsia" w:eastAsia="楷体_GB2312" w:cs="Times New Roman"/>
          <w:sz w:val="24"/>
          <w:lang w:eastAsia="zh-CN"/>
        </w:rPr>
        <w:t>免表办好</w:t>
      </w:r>
      <w:r>
        <w:rPr>
          <w:rFonts w:hint="default" w:ascii="Times New Roman" w:hAnsi="Times New Roman" w:eastAsia="楷体_GB2312" w:cs="Times New Roman"/>
          <w:sz w:val="24"/>
        </w:rPr>
        <w:t>后90个日历日</w:t>
      </w:r>
      <w:r>
        <w:rPr>
          <w:rFonts w:hint="default" w:ascii="Times New Roman" w:hAnsi="Times New Roman" w:eastAsia="楷体_GB2312" w:cs="Times New Roman"/>
          <w:color w:val="000000"/>
          <w:sz w:val="24"/>
        </w:rPr>
        <w:t>。</w:t>
      </w:r>
    </w:p>
    <w:p>
      <w:pPr>
        <w:spacing w:line="400" w:lineRule="exact"/>
        <w:ind w:firstLine="570"/>
        <w:rPr>
          <w:rFonts w:hint="default" w:ascii="Times New Roman" w:hAnsi="Times New Roman" w:eastAsia="楷体_GB2312" w:cs="Times New Roman"/>
          <w:color w:val="000000"/>
          <w:sz w:val="24"/>
        </w:rPr>
      </w:pPr>
      <w:r>
        <w:rPr>
          <w:rFonts w:hint="default" w:ascii="Times New Roman" w:hAnsi="Times New Roman" w:eastAsia="楷体_GB2312" w:cs="Times New Roman"/>
          <w:color w:val="000000"/>
          <w:sz w:val="24"/>
        </w:rPr>
        <w:t>9．投标公司需提供质量保证承诺及维修响应承诺，所有设备和配件质量保证期要求3年全免费上门质保，设备故障报修后24小时内响应，质保期后供货商应负责上门维修</w:t>
      </w:r>
      <w:r>
        <w:rPr>
          <w:rFonts w:hint="default" w:ascii="Times New Roman" w:hAnsi="Times New Roman" w:eastAsia="楷体_GB2312" w:cs="Times New Roman"/>
          <w:bCs/>
          <w:color w:val="000000"/>
          <w:sz w:val="24"/>
        </w:rPr>
        <w:t>。</w:t>
      </w:r>
    </w:p>
    <w:p>
      <w:pPr>
        <w:pStyle w:val="16"/>
        <w:spacing w:beforeLines="50" w:line="400" w:lineRule="exact"/>
        <w:ind w:firstLine="482" w:firstLineChars="200"/>
        <w:rPr>
          <w:b/>
          <w:bCs/>
          <w:sz w:val="24"/>
          <w:lang w:val="en-US" w:eastAsia="zh-CN"/>
        </w:rPr>
      </w:pPr>
    </w:p>
    <w:p>
      <w:pPr>
        <w:pStyle w:val="16"/>
        <w:spacing w:beforeLines="50" w:line="400" w:lineRule="exact"/>
        <w:ind w:firstLine="482" w:firstLineChars="200"/>
        <w:rPr>
          <w:b/>
          <w:bCs/>
          <w:sz w:val="24"/>
          <w:lang w:val="en-US" w:eastAsia="zh-CN"/>
        </w:rPr>
      </w:pPr>
    </w:p>
    <w:p>
      <w:pPr>
        <w:spacing w:line="400" w:lineRule="exact"/>
        <w:ind w:firstLine="570"/>
        <w:rPr>
          <w:b/>
          <w:color w:val="000000"/>
          <w:sz w:val="24"/>
        </w:rPr>
      </w:pPr>
    </w:p>
    <w:p>
      <w:pPr>
        <w:spacing w:line="400" w:lineRule="exact"/>
        <w:rPr>
          <w:rFonts w:hAnsi="宋体"/>
          <w:b/>
          <w:sz w:val="24"/>
        </w:rPr>
      </w:pPr>
    </w:p>
    <w:p>
      <w:pPr>
        <w:spacing w:line="400" w:lineRule="exact"/>
        <w:rPr>
          <w:rFonts w:hAnsi="宋体"/>
          <w:b/>
          <w:sz w:val="24"/>
        </w:rPr>
      </w:pPr>
    </w:p>
    <w:p>
      <w:pPr>
        <w:spacing w:line="360" w:lineRule="auto"/>
        <w:rPr>
          <w:rFonts w:eastAsia="楷体_GB2312"/>
          <w:sz w:val="24"/>
        </w:rPr>
      </w:pPr>
    </w:p>
    <w:p>
      <w:pPr>
        <w:pStyle w:val="2"/>
        <w:spacing w:line="360" w:lineRule="auto"/>
        <w:ind w:firstLine="480"/>
        <w:rPr>
          <w:rFonts w:eastAsia="楷体_GB2312"/>
        </w:rPr>
      </w:pPr>
    </w:p>
    <w:p>
      <w:pPr>
        <w:pStyle w:val="2"/>
        <w:ind w:firstLine="480"/>
        <w:sectPr>
          <w:headerReference r:id="rId8" w:type="default"/>
          <w:pgSz w:w="11906" w:h="16838"/>
          <w:pgMar w:top="1418" w:right="1406" w:bottom="1304" w:left="1797" w:header="851" w:footer="992" w:gutter="0"/>
          <w:cols w:space="720" w:num="1"/>
          <w:docGrid w:type="lines" w:linePitch="312" w:charSpace="0"/>
        </w:sectPr>
      </w:pPr>
    </w:p>
    <w:p>
      <w:pPr>
        <w:adjustRightInd w:val="0"/>
        <w:snapToGrid w:val="0"/>
        <w:spacing w:line="360" w:lineRule="auto"/>
        <w:jc w:val="left"/>
        <w:rPr>
          <w:rFonts w:eastAsia="楷体_GB2312"/>
          <w:sz w:val="24"/>
        </w:rPr>
      </w:pPr>
      <w:r>
        <w:rPr>
          <w:sz w:val="24"/>
        </w:rPr>
        <w:t>附件二：</w:t>
      </w:r>
    </w:p>
    <w:p>
      <w:pPr>
        <w:spacing w:line="0" w:lineRule="atLeast"/>
        <w:jc w:val="center"/>
        <w:rPr>
          <w:b/>
          <w:bCs/>
          <w:sz w:val="36"/>
          <w:szCs w:val="36"/>
        </w:rPr>
      </w:pPr>
      <w:bookmarkStart w:id="13" w:name="_谈_判_响"/>
      <w:bookmarkEnd w:id="13"/>
      <w:r>
        <w:rPr>
          <w:b/>
          <w:bCs/>
          <w:sz w:val="36"/>
          <w:szCs w:val="36"/>
        </w:rPr>
        <w:t>谈 判 响 应 书</w:t>
      </w:r>
    </w:p>
    <w:p>
      <w:pPr>
        <w:spacing w:line="500" w:lineRule="exact"/>
        <w:ind w:left="540" w:firstLine="30"/>
        <w:jc w:val="left"/>
        <w:rPr>
          <w:sz w:val="24"/>
        </w:rPr>
      </w:pPr>
    </w:p>
    <w:p>
      <w:pPr>
        <w:spacing w:line="500" w:lineRule="exact"/>
        <w:ind w:left="540" w:firstLine="30"/>
        <w:jc w:val="left"/>
        <w:rPr>
          <w:rFonts w:eastAsia="楷体_GB2312"/>
          <w:sz w:val="24"/>
        </w:rPr>
      </w:pPr>
      <w:r>
        <w:rPr>
          <w:rFonts w:eastAsia="楷体_GB2312"/>
          <w:sz w:val="24"/>
        </w:rPr>
        <w:t>致：浙江大学采购中心</w:t>
      </w:r>
    </w:p>
    <w:p>
      <w:pPr>
        <w:spacing w:line="500" w:lineRule="exact"/>
        <w:ind w:left="540" w:firstLine="30"/>
        <w:jc w:val="left"/>
        <w:rPr>
          <w:rFonts w:eastAsia="楷体_GB2312"/>
          <w:sz w:val="24"/>
        </w:rPr>
      </w:pPr>
    </w:p>
    <w:p>
      <w:pPr>
        <w:spacing w:line="500" w:lineRule="exact"/>
        <w:ind w:left="502"/>
        <w:rPr>
          <w:rFonts w:eastAsia="楷体_GB2312"/>
          <w:color w:val="FF0000"/>
          <w:sz w:val="24"/>
        </w:rPr>
      </w:pPr>
      <w:r>
        <w:rPr>
          <w:rFonts w:eastAsia="楷体_GB2312"/>
          <w:sz w:val="24"/>
        </w:rPr>
        <w:t xml:space="preserve">    </w:t>
      </w:r>
      <w:r>
        <w:rPr>
          <w:rFonts w:eastAsia="楷体_GB2312"/>
          <w:sz w:val="24"/>
          <w:u w:val="single"/>
        </w:rPr>
        <w:t xml:space="preserve">                      </w:t>
      </w:r>
      <w:r>
        <w:rPr>
          <w:rFonts w:eastAsia="楷体_GB2312"/>
          <w:sz w:val="24"/>
        </w:rPr>
        <w:t>(谈判响应方全称)授权</w:t>
      </w:r>
      <w:r>
        <w:rPr>
          <w:rFonts w:eastAsia="楷体_GB2312"/>
          <w:sz w:val="24"/>
          <w:u w:val="single"/>
        </w:rPr>
        <w:t xml:space="preserve">       </w:t>
      </w:r>
      <w:r>
        <w:rPr>
          <w:rFonts w:eastAsia="楷体_GB2312"/>
          <w:sz w:val="24"/>
        </w:rPr>
        <w:t>（全名、职务）为全权代表，参加贵方组织的</w:t>
      </w:r>
      <w:r>
        <w:rPr>
          <w:rFonts w:eastAsia="楷体_GB2312"/>
          <w:sz w:val="24"/>
          <w:u w:val="single"/>
        </w:rPr>
        <w:t xml:space="preserve">               </w:t>
      </w:r>
      <w:r>
        <w:rPr>
          <w:rFonts w:eastAsia="楷体_GB2312"/>
          <w:sz w:val="24"/>
        </w:rPr>
        <w:t>（采购项目名称）（编号为ZUPC-</w:t>
      </w:r>
      <w:r>
        <w:rPr>
          <w:rFonts w:eastAsia="楷体_GB2312"/>
          <w:color w:val="FF0000"/>
          <w:sz w:val="24"/>
        </w:rPr>
        <w:t>DY-</w:t>
      </w:r>
      <w:r>
        <w:rPr>
          <w:rFonts w:hint="eastAsia" w:eastAsia="楷体_GB2312"/>
          <w:color w:val="FF0000"/>
          <w:sz w:val="24"/>
        </w:rPr>
        <w:t>H</w:t>
      </w:r>
      <w:r>
        <w:rPr>
          <w:rFonts w:eastAsia="楷体_GB2312"/>
          <w:color w:val="FF0000"/>
          <w:sz w:val="24"/>
        </w:rPr>
        <w:t>W-20200</w:t>
      </w:r>
      <w:r>
        <w:rPr>
          <w:rFonts w:hint="eastAsia" w:eastAsia="楷体_GB2312"/>
          <w:color w:val="FF0000"/>
          <w:sz w:val="24"/>
        </w:rPr>
        <w:t>3</w:t>
      </w:r>
      <w:r>
        <w:rPr>
          <w:rFonts w:hint="eastAsia" w:eastAsia="楷体_GB2312"/>
          <w:color w:val="FF0000"/>
          <w:sz w:val="24"/>
          <w:lang w:val="en-US" w:eastAsia="zh-CN"/>
        </w:rPr>
        <w:t>5G</w:t>
      </w:r>
      <w:r>
        <w:rPr>
          <w:rFonts w:eastAsia="楷体_GB2312"/>
          <w:sz w:val="24"/>
        </w:rPr>
        <w:t>）采购有关活动，并进行单一来源谈判。为此：</w:t>
      </w:r>
    </w:p>
    <w:p>
      <w:pPr>
        <w:spacing w:line="500" w:lineRule="exact"/>
        <w:ind w:firstLine="480" w:firstLineChars="200"/>
        <w:jc w:val="left"/>
        <w:rPr>
          <w:rFonts w:eastAsia="楷体_GB2312"/>
          <w:sz w:val="24"/>
        </w:rPr>
      </w:pPr>
      <w:r>
        <w:rPr>
          <w:rFonts w:eastAsia="楷体_GB2312"/>
          <w:sz w:val="24"/>
        </w:rPr>
        <w:t>1、提供谈判须知规定的全部谈判响应文件。</w:t>
      </w:r>
    </w:p>
    <w:p>
      <w:pPr>
        <w:spacing w:line="500" w:lineRule="exact"/>
        <w:ind w:left="479" w:leftChars="228"/>
        <w:jc w:val="left"/>
        <w:rPr>
          <w:rFonts w:eastAsia="楷体_GB2312"/>
          <w:sz w:val="24"/>
        </w:rPr>
      </w:pPr>
      <w:r>
        <w:rPr>
          <w:rFonts w:eastAsia="楷体_GB2312"/>
          <w:sz w:val="24"/>
        </w:rPr>
        <w:t>2、所附初次报价表中规定的应提供和支付的总价为：</w:t>
      </w:r>
    </w:p>
    <w:p>
      <w:pPr>
        <w:spacing w:line="500" w:lineRule="exact"/>
        <w:ind w:firstLine="480" w:firstLineChars="200"/>
        <w:jc w:val="left"/>
        <w:rPr>
          <w:rFonts w:eastAsia="楷体_GB2312"/>
          <w:sz w:val="24"/>
        </w:rPr>
      </w:pPr>
      <w:r>
        <w:rPr>
          <w:rFonts w:hint="eastAsia" w:eastAsia="楷体_GB2312"/>
          <w:color w:val="FF0000"/>
          <w:sz w:val="24"/>
        </w:rPr>
        <w:t>人民币</w:t>
      </w:r>
      <w:r>
        <w:rPr>
          <w:rFonts w:eastAsia="楷体_GB2312"/>
          <w:sz w:val="24"/>
        </w:rPr>
        <w:t xml:space="preserve">（大写）  </w:t>
      </w:r>
      <w:r>
        <w:rPr>
          <w:rFonts w:eastAsia="楷体_GB2312"/>
          <w:sz w:val="24"/>
          <w:u w:val="single"/>
        </w:rPr>
        <w:t xml:space="preserve">                          </w:t>
      </w:r>
      <w:r>
        <w:rPr>
          <w:rFonts w:eastAsia="楷体_GB2312"/>
          <w:sz w:val="24"/>
        </w:rPr>
        <w:t>。</w:t>
      </w:r>
    </w:p>
    <w:p>
      <w:pPr>
        <w:spacing w:line="500" w:lineRule="exact"/>
        <w:ind w:firstLine="480" w:firstLineChars="200"/>
        <w:jc w:val="left"/>
        <w:rPr>
          <w:rFonts w:eastAsia="楷体_GB2312"/>
          <w:sz w:val="24"/>
        </w:rPr>
      </w:pPr>
      <w:r>
        <w:rPr>
          <w:rFonts w:eastAsia="楷体_GB2312"/>
          <w:sz w:val="24"/>
        </w:rPr>
        <w:t>3、谈判响应方已详细审查全部谈判文件，同意单一来源谈判须知的各项要求。</w:t>
      </w:r>
    </w:p>
    <w:p>
      <w:pPr>
        <w:spacing w:line="500" w:lineRule="exact"/>
        <w:ind w:firstLine="480" w:firstLineChars="200"/>
        <w:jc w:val="left"/>
        <w:rPr>
          <w:rFonts w:eastAsia="楷体_GB2312"/>
          <w:sz w:val="24"/>
        </w:rPr>
      </w:pPr>
      <w:r>
        <w:rPr>
          <w:rFonts w:eastAsia="楷体_GB2312"/>
          <w:sz w:val="24"/>
        </w:rPr>
        <w:t>4、若成交，谈判响应方将按谈判文件规定履行合同责任和义务。</w:t>
      </w:r>
    </w:p>
    <w:p>
      <w:pPr>
        <w:spacing w:line="500" w:lineRule="exact"/>
        <w:ind w:firstLine="480" w:firstLineChars="200"/>
        <w:jc w:val="left"/>
        <w:rPr>
          <w:sz w:val="24"/>
        </w:rPr>
      </w:pPr>
      <w:r>
        <w:rPr>
          <w:rFonts w:eastAsia="楷体_GB2312"/>
          <w:sz w:val="24"/>
        </w:rPr>
        <w:t>5、谈判响应承诺书自谈判当日起有效期为50个工作日。</w:t>
      </w:r>
    </w:p>
    <w:p>
      <w:pPr>
        <w:spacing w:line="500" w:lineRule="exact"/>
        <w:ind w:left="479" w:leftChars="228"/>
        <w:jc w:val="left"/>
        <w:rPr>
          <w:rFonts w:eastAsia="楷体_GB2312"/>
          <w:sz w:val="24"/>
        </w:rPr>
      </w:pPr>
      <w:r>
        <w:rPr>
          <w:rFonts w:eastAsia="楷体_GB2312"/>
          <w:sz w:val="24"/>
        </w:rPr>
        <w:t>6、供应商同意提供按照贵方可能要求的与其谈判有关的一切数据或资料，并保证其真实性、合法性。</w:t>
      </w:r>
    </w:p>
    <w:p>
      <w:pPr>
        <w:spacing w:line="500" w:lineRule="exact"/>
        <w:ind w:firstLine="480" w:firstLineChars="200"/>
        <w:jc w:val="left"/>
        <w:rPr>
          <w:rFonts w:eastAsia="楷体_GB2312"/>
          <w:sz w:val="24"/>
        </w:rPr>
      </w:pPr>
      <w:r>
        <w:rPr>
          <w:rFonts w:eastAsia="楷体_GB2312"/>
          <w:sz w:val="24"/>
        </w:rPr>
        <w:t>7、我方与本谈判有关的一切正式来往通讯请寄：</w:t>
      </w:r>
    </w:p>
    <w:p>
      <w:pPr>
        <w:tabs>
          <w:tab w:val="left" w:pos="840"/>
        </w:tabs>
        <w:spacing w:line="500" w:lineRule="exact"/>
        <w:ind w:left="540" w:firstLine="30"/>
        <w:jc w:val="left"/>
        <w:rPr>
          <w:rFonts w:eastAsia="楷体_GB2312"/>
          <w:sz w:val="24"/>
        </w:rPr>
      </w:pPr>
      <w:r>
        <w:rPr>
          <w:rFonts w:eastAsia="楷体_GB2312"/>
          <w:sz w:val="24"/>
        </w:rPr>
        <w:t xml:space="preserve">  地址：</w:t>
      </w:r>
      <w:r>
        <w:rPr>
          <w:rFonts w:eastAsia="楷体_GB2312"/>
          <w:sz w:val="24"/>
          <w:u w:val="single"/>
        </w:rPr>
        <w:t xml:space="preserve">                  </w:t>
      </w:r>
      <w:r>
        <w:rPr>
          <w:rFonts w:eastAsia="楷体_GB2312"/>
          <w:sz w:val="24"/>
        </w:rPr>
        <w:t>邮编：</w:t>
      </w:r>
      <w:r>
        <w:rPr>
          <w:rFonts w:eastAsia="楷体_GB2312"/>
          <w:sz w:val="24"/>
          <w:u w:val="single"/>
        </w:rPr>
        <w:t xml:space="preserve">               </w:t>
      </w:r>
    </w:p>
    <w:p>
      <w:pPr>
        <w:spacing w:line="500" w:lineRule="exact"/>
        <w:ind w:left="540" w:firstLine="30"/>
        <w:jc w:val="left"/>
        <w:rPr>
          <w:rFonts w:eastAsia="楷体_GB2312"/>
          <w:sz w:val="24"/>
        </w:rPr>
      </w:pPr>
      <w:r>
        <w:rPr>
          <w:rFonts w:eastAsia="楷体_GB2312"/>
          <w:sz w:val="24"/>
        </w:rPr>
        <w:t xml:space="preserve">  电话：</w:t>
      </w:r>
      <w:r>
        <w:rPr>
          <w:rFonts w:eastAsia="楷体_GB2312"/>
          <w:sz w:val="24"/>
          <w:u w:val="single"/>
        </w:rPr>
        <w:t xml:space="preserve">                  </w:t>
      </w:r>
      <w:r>
        <w:rPr>
          <w:rFonts w:eastAsia="楷体_GB2312"/>
          <w:sz w:val="24"/>
        </w:rPr>
        <w:t>传真：</w:t>
      </w:r>
      <w:r>
        <w:rPr>
          <w:rFonts w:eastAsia="楷体_GB2312"/>
          <w:sz w:val="24"/>
          <w:u w:val="single"/>
        </w:rPr>
        <w:t xml:space="preserve">               </w:t>
      </w:r>
      <w:r>
        <w:rPr>
          <w:rFonts w:eastAsia="楷体_GB2312"/>
          <w:sz w:val="24"/>
        </w:rPr>
        <w:t xml:space="preserve"> </w:t>
      </w:r>
    </w:p>
    <w:p>
      <w:pPr>
        <w:tabs>
          <w:tab w:val="left" w:pos="840"/>
        </w:tabs>
        <w:spacing w:line="500" w:lineRule="exact"/>
        <w:ind w:left="540" w:firstLine="30"/>
        <w:jc w:val="left"/>
        <w:rPr>
          <w:rFonts w:eastAsia="楷体_GB2312"/>
          <w:sz w:val="24"/>
        </w:rPr>
      </w:pPr>
      <w:r>
        <w:rPr>
          <w:rFonts w:eastAsia="楷体_GB2312"/>
          <w:sz w:val="24"/>
        </w:rPr>
        <w:t xml:space="preserve">  谈判响应方名称：</w:t>
      </w:r>
      <w:r>
        <w:rPr>
          <w:rFonts w:eastAsia="楷体_GB2312"/>
          <w:sz w:val="24"/>
          <w:u w:val="single"/>
        </w:rPr>
        <w:t xml:space="preserve">                             </w:t>
      </w:r>
      <w:r>
        <w:rPr>
          <w:rFonts w:eastAsia="楷体_GB2312"/>
          <w:sz w:val="24"/>
        </w:rPr>
        <w:t>（公章）</w:t>
      </w:r>
    </w:p>
    <w:p>
      <w:pPr>
        <w:spacing w:line="500" w:lineRule="exact"/>
        <w:ind w:firstLine="840" w:firstLineChars="350"/>
        <w:jc w:val="left"/>
        <w:rPr>
          <w:rFonts w:eastAsia="楷体_GB2312"/>
          <w:sz w:val="24"/>
        </w:rPr>
      </w:pPr>
      <w:r>
        <w:rPr>
          <w:rFonts w:eastAsia="楷体_GB2312"/>
          <w:sz w:val="24"/>
        </w:rPr>
        <w:t>全权代表签字：</w:t>
      </w:r>
      <w:r>
        <w:rPr>
          <w:rFonts w:eastAsia="楷体_GB2312"/>
          <w:sz w:val="24"/>
          <w:u w:val="single"/>
        </w:rPr>
        <w:t xml:space="preserve">                               </w:t>
      </w:r>
    </w:p>
    <w:p>
      <w:pPr>
        <w:tabs>
          <w:tab w:val="left" w:pos="735"/>
          <w:tab w:val="left" w:pos="840"/>
          <w:tab w:val="left" w:pos="6720"/>
        </w:tabs>
        <w:spacing w:line="500" w:lineRule="exact"/>
        <w:ind w:firstLine="840" w:firstLineChars="350"/>
        <w:jc w:val="left"/>
        <w:rPr>
          <w:rFonts w:eastAsia="楷体_GB2312"/>
          <w:sz w:val="24"/>
        </w:rPr>
        <w:sectPr>
          <w:pgSz w:w="11906" w:h="16838"/>
          <w:pgMar w:top="1418" w:right="1406" w:bottom="1304" w:left="1797" w:header="851" w:footer="992" w:gutter="0"/>
          <w:cols w:space="720" w:num="1"/>
          <w:docGrid w:type="lines" w:linePitch="312" w:charSpace="0"/>
        </w:sectPr>
      </w:pPr>
      <w:r>
        <w:rPr>
          <w:rFonts w:eastAsia="楷体_GB2312"/>
          <w:sz w:val="24"/>
        </w:rPr>
        <w:t>谈判响应文件递交日期：</w:t>
      </w:r>
      <w:r>
        <w:rPr>
          <w:rFonts w:eastAsia="楷体_GB2312"/>
          <w:sz w:val="24"/>
          <w:u w:val="single"/>
        </w:rPr>
        <w:t xml:space="preserve">        </w:t>
      </w:r>
      <w:r>
        <w:rPr>
          <w:rFonts w:eastAsia="楷体_GB2312"/>
          <w:sz w:val="24"/>
        </w:rPr>
        <w:t>年</w:t>
      </w:r>
      <w:r>
        <w:rPr>
          <w:rFonts w:eastAsia="楷体_GB2312"/>
          <w:sz w:val="24"/>
          <w:u w:val="single"/>
        </w:rPr>
        <w:t xml:space="preserve">     </w:t>
      </w:r>
      <w:r>
        <w:rPr>
          <w:rFonts w:eastAsia="楷体_GB2312"/>
          <w:sz w:val="24"/>
        </w:rPr>
        <w:t>月</w:t>
      </w:r>
      <w:r>
        <w:rPr>
          <w:rFonts w:eastAsia="楷体_GB2312"/>
          <w:sz w:val="24"/>
          <w:u w:val="single"/>
        </w:rPr>
        <w:t xml:space="preserve">      </w:t>
      </w:r>
      <w:r>
        <w:rPr>
          <w:rFonts w:eastAsia="楷体_GB2312"/>
          <w:sz w:val="24"/>
        </w:rPr>
        <w:t>日</w:t>
      </w:r>
    </w:p>
    <w:p>
      <w:pPr>
        <w:spacing w:line="500" w:lineRule="exact"/>
        <w:jc w:val="left"/>
        <w:rPr>
          <w:sz w:val="24"/>
        </w:rPr>
      </w:pPr>
      <w:r>
        <w:rPr>
          <w:sz w:val="24"/>
        </w:rPr>
        <w:t>附件三:</w:t>
      </w:r>
    </w:p>
    <w:p>
      <w:pPr>
        <w:spacing w:line="0" w:lineRule="atLeast"/>
        <w:jc w:val="center"/>
        <w:rPr>
          <w:b/>
          <w:bCs/>
          <w:sz w:val="36"/>
          <w:szCs w:val="36"/>
        </w:rPr>
      </w:pPr>
      <w:bookmarkStart w:id="14" w:name="_初_次_报"/>
      <w:bookmarkEnd w:id="14"/>
      <w:r>
        <w:rPr>
          <w:b/>
          <w:bCs/>
          <w:sz w:val="36"/>
          <w:szCs w:val="36"/>
        </w:rPr>
        <w:t>初 次 报 价 表</w:t>
      </w:r>
    </w:p>
    <w:p>
      <w:pPr>
        <w:spacing w:line="500" w:lineRule="exact"/>
        <w:ind w:left="540" w:firstLine="30"/>
        <w:jc w:val="center"/>
        <w:rPr>
          <w:sz w:val="24"/>
        </w:rPr>
      </w:pPr>
    </w:p>
    <w:p>
      <w:pPr>
        <w:spacing w:line="500" w:lineRule="exact"/>
        <w:rPr>
          <w:rFonts w:eastAsia="楷体_GB2312"/>
          <w:sz w:val="24"/>
        </w:rPr>
      </w:pPr>
      <w:r>
        <w:rPr>
          <w:rFonts w:eastAsia="楷体_GB2312"/>
          <w:sz w:val="24"/>
        </w:rPr>
        <w:t>谈判响应方名称：</w:t>
      </w:r>
      <w:r>
        <w:rPr>
          <w:rFonts w:eastAsia="楷体_GB2312"/>
          <w:sz w:val="24"/>
          <w:u w:val="single"/>
        </w:rPr>
        <w:t xml:space="preserve">                            </w:t>
      </w:r>
      <w:r>
        <w:rPr>
          <w:rFonts w:eastAsia="楷体_GB2312"/>
          <w:sz w:val="24"/>
        </w:rPr>
        <w:t>（公章）</w:t>
      </w:r>
    </w:p>
    <w:p>
      <w:pPr>
        <w:spacing w:line="500" w:lineRule="exact"/>
        <w:rPr>
          <w:rFonts w:eastAsia="楷体_GB2312"/>
          <w:sz w:val="24"/>
          <w:u w:val="single"/>
        </w:rPr>
      </w:pPr>
      <w:r>
        <w:rPr>
          <w:rFonts w:eastAsia="楷体_GB2312"/>
          <w:sz w:val="24"/>
        </w:rPr>
        <w:t>项目</w:t>
      </w:r>
      <w:r>
        <w:rPr>
          <w:rFonts w:eastAsia="楷体_GB2312"/>
          <w:sz w:val="24"/>
          <w:u w:val="single"/>
        </w:rPr>
        <w:t xml:space="preserve">                                        </w:t>
      </w:r>
    </w:p>
    <w:p>
      <w:pPr>
        <w:spacing w:line="500" w:lineRule="exact"/>
        <w:rPr>
          <w:rFonts w:eastAsia="楷体_GB2312"/>
          <w:sz w:val="24"/>
          <w:u w:val="single"/>
        </w:rPr>
      </w:pPr>
    </w:p>
    <w:tbl>
      <w:tblPr>
        <w:tblStyle w:val="26"/>
        <w:tblW w:w="0" w:type="auto"/>
        <w:tblInd w:w="108" w:type="dxa"/>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Layout w:type="fixed"/>
        <w:tblCellMar>
          <w:top w:w="0" w:type="dxa"/>
          <w:left w:w="108" w:type="dxa"/>
          <w:bottom w:w="0" w:type="dxa"/>
          <w:right w:w="108" w:type="dxa"/>
        </w:tblCellMar>
      </w:tblPr>
      <w:tblGrid>
        <w:gridCol w:w="1260"/>
        <w:gridCol w:w="900"/>
        <w:gridCol w:w="2160"/>
        <w:gridCol w:w="1440"/>
        <w:gridCol w:w="900"/>
        <w:gridCol w:w="900"/>
        <w:gridCol w:w="1800"/>
      </w:tblGrid>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613" w:hRule="atLeast"/>
        </w:trPr>
        <w:tc>
          <w:tcPr>
            <w:tcW w:w="1260" w:type="dxa"/>
          </w:tcPr>
          <w:p>
            <w:pPr>
              <w:spacing w:line="500" w:lineRule="exact"/>
              <w:jc w:val="center"/>
              <w:rPr>
                <w:rFonts w:eastAsia="楷体_GB2312"/>
                <w:sz w:val="24"/>
              </w:rPr>
            </w:pPr>
            <w:r>
              <w:rPr>
                <w:rFonts w:eastAsia="楷体_GB2312"/>
                <w:sz w:val="24"/>
              </w:rPr>
              <w:t>标项</w:t>
            </w:r>
          </w:p>
        </w:tc>
        <w:tc>
          <w:tcPr>
            <w:tcW w:w="900" w:type="dxa"/>
          </w:tcPr>
          <w:p>
            <w:pPr>
              <w:spacing w:line="500" w:lineRule="exact"/>
              <w:jc w:val="center"/>
              <w:rPr>
                <w:rFonts w:eastAsia="楷体_GB2312"/>
                <w:sz w:val="24"/>
              </w:rPr>
            </w:pPr>
            <w:r>
              <w:rPr>
                <w:rFonts w:eastAsia="楷体_GB2312"/>
                <w:sz w:val="24"/>
              </w:rPr>
              <w:t>名称</w:t>
            </w:r>
          </w:p>
        </w:tc>
        <w:tc>
          <w:tcPr>
            <w:tcW w:w="2160" w:type="dxa"/>
          </w:tcPr>
          <w:p>
            <w:pPr>
              <w:spacing w:line="500" w:lineRule="exact"/>
              <w:ind w:firstLine="240" w:firstLineChars="100"/>
              <w:jc w:val="center"/>
              <w:rPr>
                <w:rFonts w:eastAsia="楷体_GB2312"/>
                <w:sz w:val="24"/>
              </w:rPr>
            </w:pPr>
            <w:r>
              <w:rPr>
                <w:rFonts w:eastAsia="楷体_GB2312"/>
                <w:sz w:val="24"/>
              </w:rPr>
              <w:t>规格等</w:t>
            </w:r>
          </w:p>
        </w:tc>
        <w:tc>
          <w:tcPr>
            <w:tcW w:w="1440" w:type="dxa"/>
          </w:tcPr>
          <w:p>
            <w:pPr>
              <w:spacing w:line="500" w:lineRule="exact"/>
              <w:jc w:val="center"/>
              <w:rPr>
                <w:rFonts w:eastAsia="楷体_GB2312"/>
                <w:sz w:val="24"/>
              </w:rPr>
            </w:pPr>
            <w:r>
              <w:rPr>
                <w:rFonts w:eastAsia="楷体_GB2312"/>
                <w:sz w:val="24"/>
              </w:rPr>
              <w:t>数量</w:t>
            </w:r>
          </w:p>
        </w:tc>
        <w:tc>
          <w:tcPr>
            <w:tcW w:w="900" w:type="dxa"/>
          </w:tcPr>
          <w:p>
            <w:pPr>
              <w:spacing w:line="500" w:lineRule="exact"/>
              <w:jc w:val="center"/>
              <w:rPr>
                <w:rFonts w:eastAsia="楷体_GB2312"/>
                <w:sz w:val="24"/>
              </w:rPr>
            </w:pPr>
            <w:r>
              <w:rPr>
                <w:rFonts w:eastAsia="楷体_GB2312"/>
                <w:sz w:val="24"/>
              </w:rPr>
              <w:t>单价</w:t>
            </w:r>
          </w:p>
        </w:tc>
        <w:tc>
          <w:tcPr>
            <w:tcW w:w="900" w:type="dxa"/>
          </w:tcPr>
          <w:p>
            <w:pPr>
              <w:spacing w:line="500" w:lineRule="exact"/>
              <w:jc w:val="center"/>
              <w:rPr>
                <w:rFonts w:eastAsia="楷体_GB2312"/>
                <w:sz w:val="24"/>
              </w:rPr>
            </w:pPr>
            <w:r>
              <w:rPr>
                <w:rFonts w:eastAsia="楷体_GB2312"/>
                <w:sz w:val="24"/>
              </w:rPr>
              <w:t>总价</w:t>
            </w:r>
          </w:p>
        </w:tc>
        <w:tc>
          <w:tcPr>
            <w:tcW w:w="1800" w:type="dxa"/>
          </w:tcPr>
          <w:p>
            <w:pPr>
              <w:spacing w:line="500" w:lineRule="exact"/>
              <w:jc w:val="center"/>
              <w:rPr>
                <w:rFonts w:eastAsia="楷体_GB2312"/>
                <w:sz w:val="24"/>
              </w:rPr>
            </w:pPr>
            <w:r>
              <w:rPr>
                <w:rFonts w:eastAsia="楷体_GB2312"/>
                <w:sz w:val="24"/>
              </w:rPr>
              <w:t>维保服务期</w:t>
            </w:r>
          </w:p>
        </w:tc>
      </w:tr>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660" w:hRule="atLeast"/>
        </w:trPr>
        <w:tc>
          <w:tcPr>
            <w:tcW w:w="1260" w:type="dxa"/>
            <w:vAlign w:val="center"/>
          </w:tcPr>
          <w:p>
            <w:pPr>
              <w:spacing w:line="500" w:lineRule="exact"/>
              <w:jc w:val="center"/>
              <w:rPr>
                <w:rFonts w:eastAsia="楷体_GB2312"/>
                <w:sz w:val="24"/>
              </w:rPr>
            </w:pPr>
          </w:p>
        </w:tc>
        <w:tc>
          <w:tcPr>
            <w:tcW w:w="900" w:type="dxa"/>
            <w:vAlign w:val="center"/>
          </w:tcPr>
          <w:p>
            <w:pPr>
              <w:spacing w:line="500" w:lineRule="exact"/>
              <w:jc w:val="center"/>
              <w:rPr>
                <w:rFonts w:eastAsia="楷体_GB2312"/>
                <w:sz w:val="24"/>
              </w:rPr>
            </w:pPr>
          </w:p>
        </w:tc>
        <w:tc>
          <w:tcPr>
            <w:tcW w:w="2160" w:type="dxa"/>
            <w:vAlign w:val="center"/>
          </w:tcPr>
          <w:p>
            <w:pPr>
              <w:spacing w:line="500" w:lineRule="exact"/>
              <w:rPr>
                <w:rFonts w:eastAsia="楷体_GB2312"/>
                <w:sz w:val="24"/>
              </w:rPr>
            </w:pPr>
          </w:p>
        </w:tc>
        <w:tc>
          <w:tcPr>
            <w:tcW w:w="1440" w:type="dxa"/>
            <w:vAlign w:val="center"/>
          </w:tcPr>
          <w:p>
            <w:pPr>
              <w:spacing w:line="500" w:lineRule="exact"/>
              <w:jc w:val="center"/>
              <w:rPr>
                <w:rFonts w:eastAsia="楷体_GB2312"/>
                <w:sz w:val="24"/>
              </w:rPr>
            </w:pPr>
          </w:p>
        </w:tc>
        <w:tc>
          <w:tcPr>
            <w:tcW w:w="900" w:type="dxa"/>
            <w:vAlign w:val="center"/>
          </w:tcPr>
          <w:p>
            <w:pPr>
              <w:spacing w:line="500" w:lineRule="exact"/>
              <w:jc w:val="center"/>
              <w:rPr>
                <w:rFonts w:eastAsia="楷体_GB2312"/>
                <w:sz w:val="24"/>
              </w:rPr>
            </w:pPr>
          </w:p>
        </w:tc>
        <w:tc>
          <w:tcPr>
            <w:tcW w:w="900" w:type="dxa"/>
            <w:vAlign w:val="center"/>
          </w:tcPr>
          <w:p>
            <w:pPr>
              <w:spacing w:line="500" w:lineRule="exact"/>
              <w:jc w:val="center"/>
              <w:rPr>
                <w:rFonts w:eastAsia="楷体_GB2312"/>
                <w:sz w:val="24"/>
              </w:rPr>
            </w:pPr>
          </w:p>
        </w:tc>
        <w:tc>
          <w:tcPr>
            <w:tcW w:w="1800" w:type="dxa"/>
            <w:vAlign w:val="center"/>
          </w:tcPr>
          <w:p>
            <w:pPr>
              <w:spacing w:line="500" w:lineRule="exact"/>
              <w:jc w:val="center"/>
              <w:rPr>
                <w:rFonts w:eastAsia="楷体_GB2312"/>
                <w:sz w:val="24"/>
              </w:rPr>
            </w:pPr>
          </w:p>
        </w:tc>
      </w:tr>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756" w:hRule="atLeast"/>
        </w:trPr>
        <w:tc>
          <w:tcPr>
            <w:tcW w:w="1260" w:type="dxa"/>
            <w:vAlign w:val="center"/>
          </w:tcPr>
          <w:p>
            <w:pPr>
              <w:spacing w:line="500" w:lineRule="exact"/>
              <w:jc w:val="center"/>
              <w:rPr>
                <w:rFonts w:eastAsia="楷体_GB2312"/>
                <w:sz w:val="24"/>
              </w:rPr>
            </w:pPr>
          </w:p>
        </w:tc>
        <w:tc>
          <w:tcPr>
            <w:tcW w:w="900" w:type="dxa"/>
            <w:vAlign w:val="center"/>
          </w:tcPr>
          <w:p>
            <w:pPr>
              <w:spacing w:line="500" w:lineRule="exact"/>
              <w:jc w:val="center"/>
              <w:rPr>
                <w:rFonts w:eastAsia="楷体_GB2312"/>
                <w:sz w:val="24"/>
              </w:rPr>
            </w:pPr>
          </w:p>
        </w:tc>
        <w:tc>
          <w:tcPr>
            <w:tcW w:w="2160" w:type="dxa"/>
            <w:vAlign w:val="center"/>
          </w:tcPr>
          <w:p>
            <w:pPr>
              <w:spacing w:line="500" w:lineRule="exact"/>
              <w:rPr>
                <w:rFonts w:eastAsia="楷体_GB2312"/>
                <w:sz w:val="24"/>
              </w:rPr>
            </w:pPr>
          </w:p>
        </w:tc>
        <w:tc>
          <w:tcPr>
            <w:tcW w:w="1440" w:type="dxa"/>
            <w:vAlign w:val="center"/>
          </w:tcPr>
          <w:p>
            <w:pPr>
              <w:spacing w:line="500" w:lineRule="exact"/>
              <w:jc w:val="center"/>
              <w:rPr>
                <w:rFonts w:eastAsia="楷体_GB2312"/>
                <w:sz w:val="24"/>
              </w:rPr>
            </w:pPr>
          </w:p>
        </w:tc>
        <w:tc>
          <w:tcPr>
            <w:tcW w:w="900" w:type="dxa"/>
            <w:vAlign w:val="center"/>
          </w:tcPr>
          <w:p>
            <w:pPr>
              <w:spacing w:line="500" w:lineRule="exact"/>
              <w:jc w:val="center"/>
              <w:rPr>
                <w:rFonts w:eastAsia="楷体_GB2312"/>
                <w:sz w:val="24"/>
              </w:rPr>
            </w:pPr>
          </w:p>
        </w:tc>
        <w:tc>
          <w:tcPr>
            <w:tcW w:w="900" w:type="dxa"/>
            <w:vAlign w:val="center"/>
          </w:tcPr>
          <w:p>
            <w:pPr>
              <w:spacing w:line="500" w:lineRule="exact"/>
              <w:jc w:val="center"/>
              <w:rPr>
                <w:rFonts w:eastAsia="楷体_GB2312"/>
                <w:sz w:val="24"/>
              </w:rPr>
            </w:pPr>
          </w:p>
        </w:tc>
        <w:tc>
          <w:tcPr>
            <w:tcW w:w="1800" w:type="dxa"/>
            <w:vAlign w:val="center"/>
          </w:tcPr>
          <w:p>
            <w:pPr>
              <w:spacing w:line="500" w:lineRule="exact"/>
              <w:jc w:val="center"/>
              <w:rPr>
                <w:rFonts w:eastAsia="楷体_GB2312"/>
                <w:sz w:val="24"/>
              </w:rPr>
            </w:pPr>
          </w:p>
        </w:tc>
      </w:tr>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752" w:hRule="atLeast"/>
        </w:trPr>
        <w:tc>
          <w:tcPr>
            <w:tcW w:w="1260" w:type="dxa"/>
            <w:vAlign w:val="center"/>
          </w:tcPr>
          <w:p>
            <w:pPr>
              <w:spacing w:line="500" w:lineRule="exact"/>
              <w:rPr>
                <w:rFonts w:eastAsia="楷体_GB2312"/>
                <w:sz w:val="24"/>
              </w:rPr>
            </w:pPr>
          </w:p>
        </w:tc>
        <w:tc>
          <w:tcPr>
            <w:tcW w:w="900" w:type="dxa"/>
            <w:vAlign w:val="center"/>
          </w:tcPr>
          <w:p>
            <w:pPr>
              <w:spacing w:line="500" w:lineRule="exact"/>
              <w:rPr>
                <w:rFonts w:eastAsia="楷体_GB2312"/>
                <w:sz w:val="24"/>
              </w:rPr>
            </w:pPr>
          </w:p>
        </w:tc>
        <w:tc>
          <w:tcPr>
            <w:tcW w:w="2160" w:type="dxa"/>
            <w:vAlign w:val="center"/>
          </w:tcPr>
          <w:p>
            <w:pPr>
              <w:spacing w:line="500" w:lineRule="exact"/>
              <w:rPr>
                <w:rFonts w:eastAsia="楷体_GB2312"/>
                <w:color w:val="000000"/>
                <w:spacing w:val="16"/>
                <w:sz w:val="24"/>
                <w:szCs w:val="28"/>
              </w:rPr>
            </w:pPr>
          </w:p>
        </w:tc>
        <w:tc>
          <w:tcPr>
            <w:tcW w:w="1440" w:type="dxa"/>
            <w:vAlign w:val="center"/>
          </w:tcPr>
          <w:p>
            <w:pPr>
              <w:spacing w:line="500" w:lineRule="exact"/>
              <w:jc w:val="center"/>
              <w:rPr>
                <w:rFonts w:eastAsia="楷体_GB2312"/>
                <w:sz w:val="24"/>
              </w:rPr>
            </w:pPr>
          </w:p>
        </w:tc>
        <w:tc>
          <w:tcPr>
            <w:tcW w:w="900" w:type="dxa"/>
            <w:vAlign w:val="center"/>
          </w:tcPr>
          <w:p>
            <w:pPr>
              <w:spacing w:line="500" w:lineRule="exact"/>
              <w:jc w:val="center"/>
              <w:rPr>
                <w:rFonts w:eastAsia="楷体_GB2312"/>
                <w:sz w:val="24"/>
              </w:rPr>
            </w:pPr>
          </w:p>
        </w:tc>
        <w:tc>
          <w:tcPr>
            <w:tcW w:w="900" w:type="dxa"/>
            <w:vAlign w:val="center"/>
          </w:tcPr>
          <w:p>
            <w:pPr>
              <w:spacing w:line="500" w:lineRule="exact"/>
              <w:jc w:val="center"/>
              <w:rPr>
                <w:rFonts w:eastAsia="楷体_GB2312"/>
                <w:sz w:val="24"/>
              </w:rPr>
            </w:pPr>
          </w:p>
        </w:tc>
        <w:tc>
          <w:tcPr>
            <w:tcW w:w="1800" w:type="dxa"/>
            <w:vAlign w:val="center"/>
          </w:tcPr>
          <w:p>
            <w:pPr>
              <w:spacing w:line="500" w:lineRule="exact"/>
              <w:jc w:val="center"/>
              <w:rPr>
                <w:rFonts w:eastAsia="楷体_GB2312"/>
                <w:sz w:val="24"/>
              </w:rPr>
            </w:pPr>
          </w:p>
        </w:tc>
      </w:tr>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762" w:hRule="atLeast"/>
        </w:trPr>
        <w:tc>
          <w:tcPr>
            <w:tcW w:w="1260" w:type="dxa"/>
            <w:vAlign w:val="center"/>
          </w:tcPr>
          <w:p>
            <w:pPr>
              <w:spacing w:line="500" w:lineRule="exact"/>
              <w:rPr>
                <w:rFonts w:eastAsia="楷体_GB2312"/>
                <w:sz w:val="24"/>
              </w:rPr>
            </w:pPr>
          </w:p>
        </w:tc>
        <w:tc>
          <w:tcPr>
            <w:tcW w:w="900" w:type="dxa"/>
            <w:vAlign w:val="center"/>
          </w:tcPr>
          <w:p>
            <w:pPr>
              <w:spacing w:line="500" w:lineRule="exact"/>
              <w:rPr>
                <w:rFonts w:eastAsia="楷体_GB2312"/>
                <w:sz w:val="24"/>
              </w:rPr>
            </w:pPr>
          </w:p>
        </w:tc>
        <w:tc>
          <w:tcPr>
            <w:tcW w:w="2160" w:type="dxa"/>
            <w:vAlign w:val="center"/>
          </w:tcPr>
          <w:p>
            <w:pPr>
              <w:spacing w:line="500" w:lineRule="exact"/>
              <w:rPr>
                <w:rFonts w:eastAsia="楷体_GB2312"/>
                <w:color w:val="000000"/>
                <w:spacing w:val="16"/>
                <w:sz w:val="24"/>
                <w:szCs w:val="28"/>
              </w:rPr>
            </w:pPr>
          </w:p>
        </w:tc>
        <w:tc>
          <w:tcPr>
            <w:tcW w:w="1440" w:type="dxa"/>
            <w:vAlign w:val="center"/>
          </w:tcPr>
          <w:p>
            <w:pPr>
              <w:spacing w:line="500" w:lineRule="exact"/>
              <w:jc w:val="center"/>
              <w:rPr>
                <w:rFonts w:eastAsia="楷体_GB2312"/>
                <w:sz w:val="24"/>
              </w:rPr>
            </w:pPr>
          </w:p>
        </w:tc>
        <w:tc>
          <w:tcPr>
            <w:tcW w:w="900" w:type="dxa"/>
            <w:vAlign w:val="center"/>
          </w:tcPr>
          <w:p>
            <w:pPr>
              <w:spacing w:line="500" w:lineRule="exact"/>
              <w:jc w:val="center"/>
              <w:rPr>
                <w:rFonts w:eastAsia="楷体_GB2312"/>
                <w:sz w:val="24"/>
              </w:rPr>
            </w:pPr>
          </w:p>
        </w:tc>
        <w:tc>
          <w:tcPr>
            <w:tcW w:w="900" w:type="dxa"/>
            <w:vAlign w:val="center"/>
          </w:tcPr>
          <w:p>
            <w:pPr>
              <w:spacing w:line="500" w:lineRule="exact"/>
              <w:jc w:val="center"/>
              <w:rPr>
                <w:rFonts w:eastAsia="楷体_GB2312"/>
                <w:sz w:val="24"/>
              </w:rPr>
            </w:pPr>
          </w:p>
        </w:tc>
        <w:tc>
          <w:tcPr>
            <w:tcW w:w="1800" w:type="dxa"/>
            <w:vAlign w:val="center"/>
          </w:tcPr>
          <w:p>
            <w:pPr>
              <w:spacing w:line="500" w:lineRule="exact"/>
              <w:jc w:val="center"/>
              <w:rPr>
                <w:rFonts w:eastAsia="楷体_GB2312"/>
                <w:sz w:val="24"/>
              </w:rPr>
            </w:pPr>
          </w:p>
        </w:tc>
      </w:tr>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cantSplit/>
          <w:trHeight w:val="756" w:hRule="atLeast"/>
        </w:trPr>
        <w:tc>
          <w:tcPr>
            <w:tcW w:w="4320" w:type="dxa"/>
            <w:gridSpan w:val="3"/>
            <w:vAlign w:val="center"/>
          </w:tcPr>
          <w:p>
            <w:pPr>
              <w:spacing w:line="500" w:lineRule="exact"/>
              <w:jc w:val="center"/>
              <w:rPr>
                <w:rFonts w:eastAsia="楷体_GB2312"/>
                <w:sz w:val="24"/>
              </w:rPr>
            </w:pPr>
            <w:r>
              <w:rPr>
                <w:rFonts w:eastAsia="楷体_GB2312"/>
                <w:sz w:val="24"/>
              </w:rPr>
              <w:t>项目合计报价：（</w:t>
            </w:r>
            <w:r>
              <w:rPr>
                <w:rFonts w:hint="eastAsia" w:eastAsia="楷体_GB2312"/>
                <w:color w:val="FF0000"/>
                <w:sz w:val="24"/>
              </w:rPr>
              <w:t>人民币</w:t>
            </w:r>
            <w:r>
              <w:rPr>
                <w:rFonts w:eastAsia="楷体_GB2312"/>
                <w:sz w:val="24"/>
              </w:rPr>
              <w:t>）</w:t>
            </w:r>
          </w:p>
        </w:tc>
        <w:tc>
          <w:tcPr>
            <w:tcW w:w="5040" w:type="dxa"/>
            <w:gridSpan w:val="4"/>
            <w:vAlign w:val="center"/>
          </w:tcPr>
          <w:p>
            <w:pPr>
              <w:spacing w:line="500" w:lineRule="exact"/>
              <w:jc w:val="center"/>
              <w:rPr>
                <w:rFonts w:eastAsia="楷体_GB2312"/>
                <w:sz w:val="24"/>
              </w:rPr>
            </w:pPr>
          </w:p>
        </w:tc>
      </w:tr>
    </w:tbl>
    <w:p>
      <w:pPr>
        <w:spacing w:line="500" w:lineRule="exact"/>
        <w:ind w:left="540" w:firstLine="30"/>
        <w:rPr>
          <w:sz w:val="24"/>
        </w:rPr>
      </w:pPr>
      <w:r>
        <w:rPr>
          <w:sz w:val="24"/>
        </w:rPr>
        <w:t xml:space="preserve"> </w:t>
      </w:r>
    </w:p>
    <w:p>
      <w:pPr>
        <w:spacing w:line="500" w:lineRule="exact"/>
        <w:rPr>
          <w:rFonts w:eastAsia="楷体_GB2312"/>
          <w:sz w:val="24"/>
        </w:rPr>
      </w:pPr>
      <w:r>
        <w:rPr>
          <w:rFonts w:eastAsia="楷体_GB2312"/>
          <w:sz w:val="24"/>
        </w:rPr>
        <w:t>谈判响应方代表签字：</w:t>
      </w:r>
      <w:r>
        <w:rPr>
          <w:rFonts w:eastAsia="楷体_GB2312"/>
          <w:sz w:val="24"/>
          <w:u w:val="single"/>
        </w:rPr>
        <w:t xml:space="preserve">            </w:t>
      </w:r>
      <w:r>
        <w:rPr>
          <w:rFonts w:eastAsia="楷体_GB2312"/>
          <w:sz w:val="24"/>
        </w:rPr>
        <w:t>职务：</w:t>
      </w:r>
      <w:r>
        <w:rPr>
          <w:rFonts w:eastAsia="楷体_GB2312"/>
          <w:sz w:val="24"/>
          <w:u w:val="single"/>
        </w:rPr>
        <w:t xml:space="preserve">             </w:t>
      </w:r>
    </w:p>
    <w:p>
      <w:pPr>
        <w:spacing w:line="500" w:lineRule="exact"/>
        <w:rPr>
          <w:rFonts w:eastAsia="楷体_GB2312"/>
          <w:sz w:val="24"/>
        </w:rPr>
      </w:pPr>
      <w:r>
        <w:rPr>
          <w:rFonts w:eastAsia="楷体_GB2312"/>
          <w:sz w:val="24"/>
        </w:rPr>
        <w:t>日期：</w:t>
      </w:r>
      <w:r>
        <w:rPr>
          <w:rFonts w:eastAsia="楷体_GB2312"/>
          <w:sz w:val="24"/>
          <w:u w:val="single"/>
        </w:rPr>
        <w:t xml:space="preserve">                          </w:t>
      </w:r>
    </w:p>
    <w:p>
      <w:pPr>
        <w:spacing w:line="500" w:lineRule="exact"/>
        <w:rPr>
          <w:rFonts w:eastAsia="楷体_GB2312"/>
          <w:sz w:val="24"/>
        </w:rPr>
      </w:pPr>
      <w:r>
        <w:rPr>
          <w:rFonts w:eastAsia="楷体_GB2312"/>
          <w:sz w:val="24"/>
        </w:rPr>
        <w:t>备注：1、此表在不改变格式内容时，可自行制作。</w:t>
      </w:r>
    </w:p>
    <w:p>
      <w:pPr>
        <w:spacing w:line="500" w:lineRule="exact"/>
        <w:ind w:left="1080" w:hanging="1080" w:hangingChars="450"/>
        <w:rPr>
          <w:rFonts w:eastAsia="楷体_GB2312"/>
          <w:sz w:val="24"/>
        </w:rPr>
      </w:pPr>
      <w:r>
        <w:rPr>
          <w:rFonts w:eastAsia="楷体_GB2312"/>
          <w:sz w:val="24"/>
        </w:rPr>
        <w:t xml:space="preserve">      2、此报价需包含设备价格、运输费用（到用户指定地点的所有运输费用）、安装调试费用、培训费用和正常使用必备的附件价格等</w:t>
      </w:r>
      <w:r>
        <w:rPr>
          <w:rFonts w:hint="eastAsia" w:eastAsia="楷体_GB2312"/>
          <w:sz w:val="24"/>
        </w:rPr>
        <w:t>一切费用，不需要用户额外支付其他费用</w:t>
      </w:r>
      <w:r>
        <w:rPr>
          <w:rFonts w:eastAsia="楷体_GB2312"/>
          <w:sz w:val="24"/>
        </w:rPr>
        <w:t>。</w:t>
      </w:r>
    </w:p>
    <w:p>
      <w:pPr>
        <w:spacing w:line="500" w:lineRule="exact"/>
        <w:ind w:left="1078" w:leftChars="342" w:hanging="360" w:hangingChars="150"/>
        <w:rPr>
          <w:rFonts w:eastAsia="楷体_GB2312"/>
          <w:sz w:val="24"/>
        </w:rPr>
      </w:pPr>
      <w:r>
        <w:rPr>
          <w:rFonts w:eastAsia="楷体_GB2312"/>
          <w:sz w:val="24"/>
        </w:rPr>
        <w:t>3、</w:t>
      </w:r>
      <w:r>
        <w:rPr>
          <w:rFonts w:eastAsia="楷体_GB2312"/>
          <w:color w:val="FF0000"/>
          <w:sz w:val="24"/>
        </w:rPr>
        <w:t>本次谈判，</w:t>
      </w:r>
      <w:r>
        <w:rPr>
          <w:rFonts w:hint="eastAsia" w:eastAsia="楷体_GB2312"/>
          <w:color w:val="FF0000"/>
          <w:sz w:val="24"/>
        </w:rPr>
        <w:t>供应商均应以人民币报价。</w:t>
      </w:r>
    </w:p>
    <w:p>
      <w:pPr>
        <w:spacing w:line="500" w:lineRule="exact"/>
        <w:rPr>
          <w:sz w:val="24"/>
        </w:rPr>
        <w:sectPr>
          <w:headerReference r:id="rId9" w:type="default"/>
          <w:pgSz w:w="11906" w:h="16838"/>
          <w:pgMar w:top="1418" w:right="1531" w:bottom="1304" w:left="1797" w:header="851" w:footer="992" w:gutter="0"/>
          <w:cols w:space="720" w:num="1"/>
          <w:docGrid w:type="lines" w:linePitch="312" w:charSpace="0"/>
        </w:sectPr>
      </w:pPr>
      <w:r>
        <w:rPr>
          <w:rFonts w:eastAsia="楷体_GB2312"/>
          <w:sz w:val="24"/>
        </w:rPr>
        <w:t xml:space="preserve">      </w:t>
      </w:r>
    </w:p>
    <w:p>
      <w:pPr>
        <w:spacing w:line="500" w:lineRule="exact"/>
        <w:jc w:val="left"/>
        <w:rPr>
          <w:sz w:val="24"/>
        </w:rPr>
      </w:pPr>
      <w:r>
        <w:rPr>
          <w:sz w:val="24"/>
        </w:rPr>
        <w:t>附件四:</w:t>
      </w:r>
    </w:p>
    <w:p>
      <w:pPr>
        <w:spacing w:line="0" w:lineRule="atLeast"/>
        <w:jc w:val="center"/>
        <w:rPr>
          <w:b/>
          <w:bCs/>
          <w:sz w:val="36"/>
          <w:szCs w:val="36"/>
        </w:rPr>
      </w:pPr>
      <w:r>
        <w:rPr>
          <w:b/>
          <w:bCs/>
          <w:sz w:val="36"/>
          <w:szCs w:val="36"/>
        </w:rPr>
        <w:t>货 物 说 明 一 览 表</w:t>
      </w:r>
    </w:p>
    <w:p>
      <w:pPr>
        <w:spacing w:line="500" w:lineRule="exact"/>
        <w:ind w:left="540" w:firstLine="30"/>
        <w:jc w:val="center"/>
        <w:rPr>
          <w:sz w:val="24"/>
        </w:rPr>
      </w:pPr>
    </w:p>
    <w:p>
      <w:pPr>
        <w:spacing w:line="500" w:lineRule="exact"/>
        <w:rPr>
          <w:rFonts w:eastAsia="楷体_GB2312"/>
          <w:sz w:val="24"/>
        </w:rPr>
      </w:pPr>
      <w:r>
        <w:rPr>
          <w:rFonts w:eastAsia="楷体_GB2312"/>
          <w:sz w:val="24"/>
        </w:rPr>
        <w:t>谈判响应方名称：</w:t>
      </w:r>
      <w:r>
        <w:rPr>
          <w:rFonts w:eastAsia="楷体_GB2312"/>
          <w:sz w:val="24"/>
          <w:u w:val="single"/>
        </w:rPr>
        <w:t xml:space="preserve">                            </w:t>
      </w:r>
      <w:r>
        <w:rPr>
          <w:rFonts w:eastAsia="楷体_GB2312"/>
          <w:sz w:val="24"/>
        </w:rPr>
        <w:t>（公章）</w:t>
      </w:r>
    </w:p>
    <w:p>
      <w:pPr>
        <w:spacing w:line="500" w:lineRule="exact"/>
        <w:rPr>
          <w:rFonts w:eastAsia="楷体_GB2312"/>
          <w:sz w:val="24"/>
          <w:u w:val="single"/>
        </w:rPr>
      </w:pPr>
      <w:r>
        <w:rPr>
          <w:rFonts w:eastAsia="楷体_GB2312"/>
          <w:sz w:val="24"/>
        </w:rPr>
        <w:t>项目</w:t>
      </w:r>
      <w:r>
        <w:rPr>
          <w:rFonts w:eastAsia="楷体_GB2312"/>
          <w:sz w:val="24"/>
          <w:u w:val="single"/>
        </w:rPr>
        <w:t xml:space="preserve">                                        </w:t>
      </w:r>
    </w:p>
    <w:p>
      <w:pPr>
        <w:spacing w:line="500" w:lineRule="exact"/>
        <w:rPr>
          <w:rFonts w:eastAsia="楷体_GB2312"/>
          <w:sz w:val="24"/>
          <w:u w:val="single"/>
        </w:rPr>
      </w:pPr>
    </w:p>
    <w:tbl>
      <w:tblPr>
        <w:tblStyle w:val="26"/>
        <w:tblW w:w="0" w:type="auto"/>
        <w:tblInd w:w="108" w:type="dxa"/>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Layout w:type="fixed"/>
        <w:tblCellMar>
          <w:top w:w="0" w:type="dxa"/>
          <w:left w:w="108" w:type="dxa"/>
          <w:bottom w:w="0" w:type="dxa"/>
          <w:right w:w="108" w:type="dxa"/>
        </w:tblCellMar>
      </w:tblPr>
      <w:tblGrid>
        <w:gridCol w:w="1260"/>
        <w:gridCol w:w="1260"/>
        <w:gridCol w:w="1800"/>
        <w:gridCol w:w="1440"/>
        <w:gridCol w:w="1065"/>
        <w:gridCol w:w="1260"/>
        <w:gridCol w:w="1275"/>
      </w:tblGrid>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cantSplit/>
          <w:trHeight w:val="613" w:hRule="atLeast"/>
        </w:trPr>
        <w:tc>
          <w:tcPr>
            <w:tcW w:w="1260" w:type="dxa"/>
          </w:tcPr>
          <w:p>
            <w:pPr>
              <w:spacing w:line="500" w:lineRule="exact"/>
              <w:jc w:val="center"/>
              <w:rPr>
                <w:rFonts w:eastAsia="楷体_GB2312"/>
                <w:sz w:val="24"/>
              </w:rPr>
            </w:pPr>
            <w:r>
              <w:rPr>
                <w:rFonts w:eastAsia="楷体_GB2312"/>
                <w:sz w:val="24"/>
              </w:rPr>
              <w:t>序号</w:t>
            </w:r>
          </w:p>
        </w:tc>
        <w:tc>
          <w:tcPr>
            <w:tcW w:w="1260" w:type="dxa"/>
          </w:tcPr>
          <w:p>
            <w:pPr>
              <w:spacing w:line="500" w:lineRule="exact"/>
              <w:jc w:val="center"/>
              <w:rPr>
                <w:rFonts w:eastAsia="楷体_GB2312"/>
                <w:sz w:val="24"/>
              </w:rPr>
            </w:pPr>
            <w:r>
              <w:rPr>
                <w:rFonts w:eastAsia="楷体_GB2312"/>
                <w:sz w:val="24"/>
              </w:rPr>
              <w:t>产品型号</w:t>
            </w:r>
          </w:p>
        </w:tc>
        <w:tc>
          <w:tcPr>
            <w:tcW w:w="1800" w:type="dxa"/>
          </w:tcPr>
          <w:p>
            <w:pPr>
              <w:spacing w:line="500" w:lineRule="exact"/>
              <w:ind w:firstLine="240" w:firstLineChars="100"/>
              <w:jc w:val="center"/>
              <w:rPr>
                <w:rFonts w:eastAsia="楷体_GB2312"/>
                <w:sz w:val="24"/>
              </w:rPr>
            </w:pPr>
            <w:r>
              <w:rPr>
                <w:rFonts w:eastAsia="楷体_GB2312"/>
                <w:sz w:val="24"/>
              </w:rPr>
              <w:t>描述/配置</w:t>
            </w:r>
          </w:p>
        </w:tc>
        <w:tc>
          <w:tcPr>
            <w:tcW w:w="1440" w:type="dxa"/>
          </w:tcPr>
          <w:p>
            <w:pPr>
              <w:spacing w:line="500" w:lineRule="exact"/>
              <w:jc w:val="center"/>
              <w:rPr>
                <w:rFonts w:eastAsia="楷体_GB2312"/>
                <w:sz w:val="24"/>
              </w:rPr>
            </w:pPr>
            <w:r>
              <w:rPr>
                <w:rFonts w:eastAsia="楷体_GB2312"/>
                <w:sz w:val="24"/>
              </w:rPr>
              <w:t>数量</w:t>
            </w:r>
          </w:p>
        </w:tc>
        <w:tc>
          <w:tcPr>
            <w:tcW w:w="1065" w:type="dxa"/>
          </w:tcPr>
          <w:p>
            <w:pPr>
              <w:spacing w:line="500" w:lineRule="exact"/>
              <w:jc w:val="center"/>
              <w:rPr>
                <w:rFonts w:eastAsia="楷体_GB2312"/>
                <w:sz w:val="24"/>
              </w:rPr>
            </w:pPr>
            <w:r>
              <w:rPr>
                <w:rFonts w:eastAsia="楷体_GB2312"/>
                <w:sz w:val="24"/>
              </w:rPr>
              <w:t>单价</w:t>
            </w:r>
          </w:p>
        </w:tc>
        <w:tc>
          <w:tcPr>
            <w:tcW w:w="1260" w:type="dxa"/>
          </w:tcPr>
          <w:p>
            <w:pPr>
              <w:spacing w:line="500" w:lineRule="exact"/>
              <w:jc w:val="center"/>
              <w:rPr>
                <w:rFonts w:eastAsia="楷体_GB2312"/>
                <w:sz w:val="24"/>
              </w:rPr>
            </w:pPr>
            <w:r>
              <w:rPr>
                <w:rFonts w:eastAsia="楷体_GB2312"/>
                <w:sz w:val="24"/>
              </w:rPr>
              <w:t>总价</w:t>
            </w:r>
          </w:p>
        </w:tc>
        <w:tc>
          <w:tcPr>
            <w:tcW w:w="1275" w:type="dxa"/>
          </w:tcPr>
          <w:p>
            <w:pPr>
              <w:spacing w:line="500" w:lineRule="exact"/>
              <w:jc w:val="center"/>
              <w:rPr>
                <w:rFonts w:eastAsia="楷体_GB2312"/>
                <w:sz w:val="24"/>
              </w:rPr>
            </w:pPr>
            <w:r>
              <w:rPr>
                <w:rFonts w:eastAsia="楷体_GB2312"/>
                <w:sz w:val="24"/>
              </w:rPr>
              <w:t>备注</w:t>
            </w:r>
          </w:p>
        </w:tc>
      </w:tr>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cantSplit/>
          <w:trHeight w:val="660" w:hRule="atLeast"/>
        </w:trPr>
        <w:tc>
          <w:tcPr>
            <w:tcW w:w="1260" w:type="dxa"/>
            <w:vAlign w:val="center"/>
          </w:tcPr>
          <w:p>
            <w:pPr>
              <w:spacing w:line="500" w:lineRule="exact"/>
              <w:rPr>
                <w:rFonts w:eastAsia="楷体_GB2312"/>
                <w:sz w:val="24"/>
              </w:rPr>
            </w:pPr>
          </w:p>
        </w:tc>
        <w:tc>
          <w:tcPr>
            <w:tcW w:w="1260" w:type="dxa"/>
            <w:vAlign w:val="center"/>
          </w:tcPr>
          <w:p>
            <w:pPr>
              <w:spacing w:line="500" w:lineRule="exact"/>
              <w:rPr>
                <w:rFonts w:eastAsia="楷体_GB2312"/>
                <w:sz w:val="24"/>
              </w:rPr>
            </w:pPr>
          </w:p>
        </w:tc>
        <w:tc>
          <w:tcPr>
            <w:tcW w:w="1800" w:type="dxa"/>
            <w:vAlign w:val="center"/>
          </w:tcPr>
          <w:p>
            <w:pPr>
              <w:spacing w:line="500" w:lineRule="exact"/>
              <w:rPr>
                <w:rFonts w:eastAsia="楷体_GB2312"/>
                <w:sz w:val="24"/>
              </w:rPr>
            </w:pPr>
          </w:p>
        </w:tc>
        <w:tc>
          <w:tcPr>
            <w:tcW w:w="1440" w:type="dxa"/>
            <w:vAlign w:val="center"/>
          </w:tcPr>
          <w:p>
            <w:pPr>
              <w:spacing w:line="500" w:lineRule="exact"/>
              <w:rPr>
                <w:rFonts w:eastAsia="楷体_GB2312"/>
                <w:sz w:val="24"/>
              </w:rPr>
            </w:pPr>
          </w:p>
        </w:tc>
        <w:tc>
          <w:tcPr>
            <w:tcW w:w="1065" w:type="dxa"/>
            <w:vAlign w:val="center"/>
          </w:tcPr>
          <w:p>
            <w:pPr>
              <w:spacing w:line="500" w:lineRule="exact"/>
              <w:rPr>
                <w:rFonts w:eastAsia="楷体_GB2312"/>
                <w:sz w:val="24"/>
              </w:rPr>
            </w:pPr>
          </w:p>
        </w:tc>
        <w:tc>
          <w:tcPr>
            <w:tcW w:w="1260" w:type="dxa"/>
            <w:vAlign w:val="center"/>
          </w:tcPr>
          <w:p>
            <w:pPr>
              <w:spacing w:line="500" w:lineRule="exact"/>
              <w:rPr>
                <w:rFonts w:eastAsia="楷体_GB2312"/>
                <w:sz w:val="24"/>
              </w:rPr>
            </w:pPr>
          </w:p>
        </w:tc>
        <w:tc>
          <w:tcPr>
            <w:tcW w:w="1275" w:type="dxa"/>
            <w:vAlign w:val="center"/>
          </w:tcPr>
          <w:p>
            <w:pPr>
              <w:spacing w:line="500" w:lineRule="exact"/>
              <w:rPr>
                <w:rFonts w:eastAsia="楷体_GB2312"/>
                <w:sz w:val="24"/>
              </w:rPr>
            </w:pPr>
          </w:p>
        </w:tc>
      </w:tr>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cantSplit/>
          <w:trHeight w:val="756" w:hRule="atLeast"/>
        </w:trPr>
        <w:tc>
          <w:tcPr>
            <w:tcW w:w="1260" w:type="dxa"/>
            <w:vAlign w:val="center"/>
          </w:tcPr>
          <w:p>
            <w:pPr>
              <w:spacing w:line="500" w:lineRule="exact"/>
              <w:rPr>
                <w:rFonts w:eastAsia="楷体_GB2312"/>
                <w:sz w:val="24"/>
              </w:rPr>
            </w:pPr>
          </w:p>
        </w:tc>
        <w:tc>
          <w:tcPr>
            <w:tcW w:w="1260" w:type="dxa"/>
            <w:vAlign w:val="center"/>
          </w:tcPr>
          <w:p>
            <w:pPr>
              <w:spacing w:line="500" w:lineRule="exact"/>
              <w:rPr>
                <w:rFonts w:eastAsia="楷体_GB2312"/>
                <w:sz w:val="24"/>
              </w:rPr>
            </w:pPr>
          </w:p>
        </w:tc>
        <w:tc>
          <w:tcPr>
            <w:tcW w:w="1800" w:type="dxa"/>
            <w:vAlign w:val="center"/>
          </w:tcPr>
          <w:p>
            <w:pPr>
              <w:spacing w:line="500" w:lineRule="exact"/>
              <w:rPr>
                <w:rFonts w:eastAsia="楷体_GB2312"/>
                <w:sz w:val="24"/>
              </w:rPr>
            </w:pPr>
          </w:p>
        </w:tc>
        <w:tc>
          <w:tcPr>
            <w:tcW w:w="1440" w:type="dxa"/>
            <w:vAlign w:val="center"/>
          </w:tcPr>
          <w:p>
            <w:pPr>
              <w:spacing w:line="500" w:lineRule="exact"/>
              <w:rPr>
                <w:rFonts w:eastAsia="楷体_GB2312"/>
                <w:sz w:val="24"/>
              </w:rPr>
            </w:pPr>
          </w:p>
        </w:tc>
        <w:tc>
          <w:tcPr>
            <w:tcW w:w="1065" w:type="dxa"/>
            <w:vAlign w:val="center"/>
          </w:tcPr>
          <w:p>
            <w:pPr>
              <w:spacing w:line="500" w:lineRule="exact"/>
              <w:rPr>
                <w:rFonts w:eastAsia="楷体_GB2312"/>
                <w:sz w:val="24"/>
              </w:rPr>
            </w:pPr>
          </w:p>
        </w:tc>
        <w:tc>
          <w:tcPr>
            <w:tcW w:w="1260" w:type="dxa"/>
            <w:vAlign w:val="center"/>
          </w:tcPr>
          <w:p>
            <w:pPr>
              <w:spacing w:line="500" w:lineRule="exact"/>
              <w:rPr>
                <w:rFonts w:eastAsia="楷体_GB2312"/>
                <w:sz w:val="24"/>
              </w:rPr>
            </w:pPr>
          </w:p>
        </w:tc>
        <w:tc>
          <w:tcPr>
            <w:tcW w:w="1275" w:type="dxa"/>
            <w:vAlign w:val="center"/>
          </w:tcPr>
          <w:p>
            <w:pPr>
              <w:spacing w:line="500" w:lineRule="exact"/>
              <w:rPr>
                <w:rFonts w:eastAsia="楷体_GB2312"/>
                <w:sz w:val="24"/>
              </w:rPr>
            </w:pPr>
          </w:p>
        </w:tc>
      </w:tr>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cantSplit/>
          <w:trHeight w:val="752" w:hRule="atLeast"/>
        </w:trPr>
        <w:tc>
          <w:tcPr>
            <w:tcW w:w="1260" w:type="dxa"/>
            <w:vAlign w:val="center"/>
          </w:tcPr>
          <w:p>
            <w:pPr>
              <w:spacing w:line="500" w:lineRule="exact"/>
              <w:rPr>
                <w:rFonts w:eastAsia="楷体_GB2312"/>
                <w:sz w:val="24"/>
              </w:rPr>
            </w:pPr>
          </w:p>
        </w:tc>
        <w:tc>
          <w:tcPr>
            <w:tcW w:w="1260" w:type="dxa"/>
            <w:vAlign w:val="center"/>
          </w:tcPr>
          <w:p>
            <w:pPr>
              <w:spacing w:line="500" w:lineRule="exact"/>
              <w:rPr>
                <w:rFonts w:eastAsia="楷体_GB2312"/>
                <w:sz w:val="24"/>
              </w:rPr>
            </w:pPr>
          </w:p>
        </w:tc>
        <w:tc>
          <w:tcPr>
            <w:tcW w:w="1800" w:type="dxa"/>
            <w:vAlign w:val="center"/>
          </w:tcPr>
          <w:p>
            <w:pPr>
              <w:spacing w:line="500" w:lineRule="exact"/>
              <w:rPr>
                <w:rFonts w:eastAsia="楷体_GB2312"/>
                <w:color w:val="000000"/>
                <w:spacing w:val="16"/>
                <w:sz w:val="24"/>
                <w:szCs w:val="28"/>
              </w:rPr>
            </w:pPr>
          </w:p>
        </w:tc>
        <w:tc>
          <w:tcPr>
            <w:tcW w:w="1440" w:type="dxa"/>
            <w:vAlign w:val="center"/>
          </w:tcPr>
          <w:p>
            <w:pPr>
              <w:spacing w:line="500" w:lineRule="exact"/>
              <w:rPr>
                <w:rFonts w:eastAsia="楷体_GB2312"/>
                <w:sz w:val="24"/>
              </w:rPr>
            </w:pPr>
          </w:p>
        </w:tc>
        <w:tc>
          <w:tcPr>
            <w:tcW w:w="1065" w:type="dxa"/>
            <w:vAlign w:val="center"/>
          </w:tcPr>
          <w:p>
            <w:pPr>
              <w:spacing w:line="500" w:lineRule="exact"/>
              <w:rPr>
                <w:rFonts w:eastAsia="楷体_GB2312"/>
                <w:sz w:val="24"/>
              </w:rPr>
            </w:pPr>
          </w:p>
        </w:tc>
        <w:tc>
          <w:tcPr>
            <w:tcW w:w="1260" w:type="dxa"/>
            <w:vAlign w:val="center"/>
          </w:tcPr>
          <w:p>
            <w:pPr>
              <w:spacing w:line="500" w:lineRule="exact"/>
              <w:rPr>
                <w:rFonts w:eastAsia="楷体_GB2312"/>
                <w:sz w:val="24"/>
              </w:rPr>
            </w:pPr>
          </w:p>
        </w:tc>
        <w:tc>
          <w:tcPr>
            <w:tcW w:w="1275" w:type="dxa"/>
            <w:vAlign w:val="center"/>
          </w:tcPr>
          <w:p>
            <w:pPr>
              <w:spacing w:line="500" w:lineRule="exact"/>
              <w:rPr>
                <w:rFonts w:eastAsia="楷体_GB2312"/>
                <w:sz w:val="24"/>
              </w:rPr>
            </w:pPr>
          </w:p>
        </w:tc>
      </w:tr>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cantSplit/>
          <w:trHeight w:val="762" w:hRule="atLeast"/>
        </w:trPr>
        <w:tc>
          <w:tcPr>
            <w:tcW w:w="1260" w:type="dxa"/>
            <w:vAlign w:val="center"/>
          </w:tcPr>
          <w:p>
            <w:pPr>
              <w:spacing w:line="500" w:lineRule="exact"/>
              <w:rPr>
                <w:rFonts w:eastAsia="楷体_GB2312"/>
                <w:sz w:val="24"/>
              </w:rPr>
            </w:pPr>
          </w:p>
        </w:tc>
        <w:tc>
          <w:tcPr>
            <w:tcW w:w="1260" w:type="dxa"/>
            <w:vAlign w:val="center"/>
          </w:tcPr>
          <w:p>
            <w:pPr>
              <w:spacing w:line="500" w:lineRule="exact"/>
              <w:rPr>
                <w:rFonts w:eastAsia="楷体_GB2312"/>
                <w:sz w:val="24"/>
              </w:rPr>
            </w:pPr>
          </w:p>
        </w:tc>
        <w:tc>
          <w:tcPr>
            <w:tcW w:w="1800" w:type="dxa"/>
            <w:vAlign w:val="center"/>
          </w:tcPr>
          <w:p>
            <w:pPr>
              <w:spacing w:line="500" w:lineRule="exact"/>
              <w:rPr>
                <w:rFonts w:eastAsia="楷体_GB2312"/>
                <w:color w:val="000000"/>
                <w:spacing w:val="16"/>
                <w:sz w:val="24"/>
                <w:szCs w:val="28"/>
              </w:rPr>
            </w:pPr>
          </w:p>
        </w:tc>
        <w:tc>
          <w:tcPr>
            <w:tcW w:w="1440" w:type="dxa"/>
            <w:vAlign w:val="center"/>
          </w:tcPr>
          <w:p>
            <w:pPr>
              <w:spacing w:line="500" w:lineRule="exact"/>
              <w:rPr>
                <w:rFonts w:eastAsia="楷体_GB2312"/>
                <w:sz w:val="24"/>
              </w:rPr>
            </w:pPr>
          </w:p>
        </w:tc>
        <w:tc>
          <w:tcPr>
            <w:tcW w:w="1065" w:type="dxa"/>
            <w:vAlign w:val="center"/>
          </w:tcPr>
          <w:p>
            <w:pPr>
              <w:spacing w:line="500" w:lineRule="exact"/>
              <w:rPr>
                <w:rFonts w:eastAsia="楷体_GB2312"/>
                <w:sz w:val="24"/>
              </w:rPr>
            </w:pPr>
          </w:p>
        </w:tc>
        <w:tc>
          <w:tcPr>
            <w:tcW w:w="1260" w:type="dxa"/>
            <w:vAlign w:val="center"/>
          </w:tcPr>
          <w:p>
            <w:pPr>
              <w:spacing w:line="500" w:lineRule="exact"/>
              <w:rPr>
                <w:rFonts w:eastAsia="楷体_GB2312"/>
                <w:sz w:val="24"/>
              </w:rPr>
            </w:pPr>
          </w:p>
        </w:tc>
        <w:tc>
          <w:tcPr>
            <w:tcW w:w="1275" w:type="dxa"/>
            <w:vAlign w:val="center"/>
          </w:tcPr>
          <w:p>
            <w:pPr>
              <w:spacing w:line="500" w:lineRule="exact"/>
              <w:rPr>
                <w:rFonts w:eastAsia="楷体_GB2312"/>
                <w:sz w:val="24"/>
              </w:rPr>
            </w:pPr>
          </w:p>
        </w:tc>
      </w:tr>
    </w:tbl>
    <w:p>
      <w:pPr>
        <w:spacing w:line="500" w:lineRule="exact"/>
        <w:rPr>
          <w:rFonts w:eastAsia="楷体_GB2312"/>
          <w:sz w:val="24"/>
        </w:rPr>
      </w:pPr>
      <w:r>
        <w:rPr>
          <w:rFonts w:eastAsia="楷体_GB2312"/>
          <w:sz w:val="24"/>
        </w:rPr>
        <w:t>谈判响应方代表签字：</w:t>
      </w:r>
      <w:r>
        <w:rPr>
          <w:rFonts w:eastAsia="楷体_GB2312"/>
          <w:sz w:val="24"/>
          <w:u w:val="single"/>
        </w:rPr>
        <w:t xml:space="preserve">            </w:t>
      </w:r>
      <w:r>
        <w:rPr>
          <w:rFonts w:eastAsia="楷体_GB2312"/>
          <w:sz w:val="24"/>
        </w:rPr>
        <w:t>职务：</w:t>
      </w:r>
      <w:r>
        <w:rPr>
          <w:rFonts w:eastAsia="楷体_GB2312"/>
          <w:sz w:val="24"/>
          <w:u w:val="single"/>
        </w:rPr>
        <w:t xml:space="preserve">             </w:t>
      </w:r>
    </w:p>
    <w:p>
      <w:pPr>
        <w:spacing w:line="500" w:lineRule="exact"/>
        <w:rPr>
          <w:rFonts w:eastAsia="楷体_GB2312"/>
          <w:sz w:val="24"/>
          <w:u w:val="single"/>
        </w:rPr>
      </w:pPr>
      <w:r>
        <w:rPr>
          <w:rFonts w:eastAsia="楷体_GB2312"/>
          <w:sz w:val="24"/>
        </w:rPr>
        <w:t>日期：</w:t>
      </w:r>
      <w:r>
        <w:rPr>
          <w:rFonts w:eastAsia="楷体_GB2312"/>
          <w:sz w:val="24"/>
          <w:u w:val="single"/>
        </w:rPr>
        <w:t xml:space="preserve">                          </w:t>
      </w:r>
    </w:p>
    <w:p>
      <w:pPr>
        <w:spacing w:line="500" w:lineRule="exact"/>
        <w:rPr>
          <w:rFonts w:eastAsia="楷体_GB2312"/>
          <w:sz w:val="24"/>
        </w:rPr>
      </w:pPr>
    </w:p>
    <w:p>
      <w:pPr>
        <w:spacing w:line="500" w:lineRule="exact"/>
        <w:rPr>
          <w:rFonts w:eastAsia="楷体_GB2312"/>
          <w:sz w:val="24"/>
        </w:rPr>
      </w:pPr>
    </w:p>
    <w:p>
      <w:pPr>
        <w:spacing w:line="500" w:lineRule="exact"/>
        <w:rPr>
          <w:rFonts w:eastAsia="楷体_GB2312"/>
          <w:sz w:val="24"/>
          <w:u w:val="single"/>
        </w:rPr>
      </w:pPr>
      <w:r>
        <w:rPr>
          <w:rFonts w:eastAsia="楷体_GB2312"/>
          <w:sz w:val="24"/>
        </w:rPr>
        <w:t>备注：此表在不改变格式内容时，可自行制作。</w:t>
      </w:r>
    </w:p>
    <w:p>
      <w:pPr>
        <w:spacing w:line="500" w:lineRule="exact"/>
        <w:rPr>
          <w:sz w:val="24"/>
        </w:rPr>
        <w:sectPr>
          <w:headerReference r:id="rId10" w:type="default"/>
          <w:pgSz w:w="11906" w:h="16838"/>
          <w:pgMar w:top="1418" w:right="1531" w:bottom="1304" w:left="1797" w:header="851" w:footer="992" w:gutter="0"/>
          <w:cols w:space="720" w:num="1"/>
          <w:docGrid w:type="lines" w:linePitch="312" w:charSpace="0"/>
        </w:sectPr>
      </w:pPr>
    </w:p>
    <w:p>
      <w:pPr>
        <w:spacing w:line="500" w:lineRule="exact"/>
        <w:rPr>
          <w:sz w:val="24"/>
        </w:rPr>
      </w:pPr>
      <w:r>
        <w:rPr>
          <w:sz w:val="24"/>
        </w:rPr>
        <w:t>附件五：</w:t>
      </w:r>
    </w:p>
    <w:p>
      <w:pPr>
        <w:spacing w:line="0" w:lineRule="atLeast"/>
        <w:jc w:val="center"/>
        <w:rPr>
          <w:b/>
          <w:bCs/>
          <w:sz w:val="36"/>
          <w:szCs w:val="36"/>
        </w:rPr>
      </w:pPr>
      <w:r>
        <w:rPr>
          <w:b/>
          <w:bCs/>
          <w:sz w:val="36"/>
          <w:szCs w:val="36"/>
        </w:rPr>
        <w:t>技术偏离表</w:t>
      </w:r>
    </w:p>
    <w:p>
      <w:pPr>
        <w:spacing w:line="500" w:lineRule="exact"/>
        <w:rPr>
          <w:color w:val="000000"/>
          <w:spacing w:val="20"/>
          <w:szCs w:val="21"/>
        </w:rPr>
      </w:pPr>
    </w:p>
    <w:p>
      <w:pPr>
        <w:spacing w:line="500" w:lineRule="exact"/>
        <w:rPr>
          <w:rFonts w:eastAsia="楷体_GB2312"/>
          <w:sz w:val="24"/>
        </w:rPr>
      </w:pPr>
      <w:r>
        <w:rPr>
          <w:rFonts w:eastAsia="楷体_GB2312"/>
          <w:sz w:val="24"/>
        </w:rPr>
        <w:t>谈判响应方名称：</w:t>
      </w:r>
      <w:r>
        <w:rPr>
          <w:rFonts w:eastAsia="楷体_GB2312"/>
          <w:sz w:val="24"/>
          <w:u w:val="single"/>
        </w:rPr>
        <w:t xml:space="preserve">                                                </w:t>
      </w:r>
      <w:r>
        <w:rPr>
          <w:rFonts w:eastAsia="楷体_GB2312"/>
          <w:sz w:val="24"/>
        </w:rPr>
        <w:t>（公章）</w:t>
      </w:r>
    </w:p>
    <w:p>
      <w:pPr>
        <w:spacing w:line="500" w:lineRule="exact"/>
        <w:rPr>
          <w:rFonts w:eastAsia="楷体_GB2312"/>
          <w:color w:val="000000"/>
          <w:spacing w:val="20"/>
          <w:sz w:val="24"/>
          <w:szCs w:val="21"/>
        </w:rPr>
      </w:pPr>
      <w:r>
        <w:rPr>
          <w:rFonts w:eastAsia="楷体_GB2312"/>
          <w:sz w:val="24"/>
        </w:rPr>
        <w:t>标项</w:t>
      </w:r>
      <w:r>
        <w:rPr>
          <w:rFonts w:eastAsia="楷体_GB2312"/>
          <w:sz w:val="24"/>
          <w:u w:val="single"/>
        </w:rPr>
        <w:t xml:space="preserve">                             </w:t>
      </w:r>
      <w:r>
        <w:rPr>
          <w:rFonts w:eastAsia="楷体_GB2312"/>
          <w:sz w:val="24"/>
        </w:rPr>
        <w:t xml:space="preserve"> 采购编号</w:t>
      </w:r>
      <w:r>
        <w:rPr>
          <w:rFonts w:eastAsia="楷体_GB2312"/>
          <w:sz w:val="24"/>
          <w:u w:val="single"/>
        </w:rPr>
        <w:t xml:space="preserve">                      </w:t>
      </w:r>
    </w:p>
    <w:p>
      <w:pPr>
        <w:spacing w:line="500" w:lineRule="exact"/>
        <w:rPr>
          <w:rFonts w:eastAsia="楷体_GB2312"/>
          <w:color w:val="000000"/>
          <w:spacing w:val="20"/>
          <w:sz w:val="24"/>
          <w:szCs w:val="21"/>
        </w:rPr>
      </w:pPr>
    </w:p>
    <w:tbl>
      <w:tblPr>
        <w:tblStyle w:val="26"/>
        <w:tblW w:w="0" w:type="auto"/>
        <w:tblInd w:w="0" w:type="dxa"/>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Layout w:type="fixed"/>
        <w:tblCellMar>
          <w:top w:w="0" w:type="dxa"/>
          <w:left w:w="108" w:type="dxa"/>
          <w:bottom w:w="0" w:type="dxa"/>
          <w:right w:w="108" w:type="dxa"/>
        </w:tblCellMar>
      </w:tblPr>
      <w:tblGrid>
        <w:gridCol w:w="828"/>
        <w:gridCol w:w="1440"/>
        <w:gridCol w:w="1620"/>
        <w:gridCol w:w="1620"/>
        <w:gridCol w:w="1440"/>
        <w:gridCol w:w="1980"/>
      </w:tblGrid>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760" w:hRule="atLeast"/>
        </w:trPr>
        <w:tc>
          <w:tcPr>
            <w:tcW w:w="828" w:type="dxa"/>
            <w:vAlign w:val="center"/>
          </w:tcPr>
          <w:p>
            <w:pPr>
              <w:spacing w:line="500" w:lineRule="exact"/>
              <w:jc w:val="center"/>
              <w:rPr>
                <w:rFonts w:eastAsia="楷体_GB2312"/>
                <w:color w:val="000000"/>
                <w:spacing w:val="20"/>
                <w:sz w:val="24"/>
                <w:szCs w:val="21"/>
              </w:rPr>
            </w:pPr>
            <w:r>
              <w:rPr>
                <w:rFonts w:eastAsia="楷体_GB2312"/>
                <w:color w:val="000000"/>
                <w:spacing w:val="20"/>
                <w:sz w:val="24"/>
                <w:szCs w:val="21"/>
              </w:rPr>
              <w:t>序号</w:t>
            </w:r>
          </w:p>
        </w:tc>
        <w:tc>
          <w:tcPr>
            <w:tcW w:w="1440" w:type="dxa"/>
            <w:vAlign w:val="center"/>
          </w:tcPr>
          <w:p>
            <w:pPr>
              <w:spacing w:line="500" w:lineRule="exact"/>
              <w:jc w:val="center"/>
              <w:rPr>
                <w:rFonts w:eastAsia="楷体_GB2312"/>
                <w:color w:val="000000"/>
                <w:spacing w:val="20"/>
                <w:sz w:val="24"/>
                <w:szCs w:val="21"/>
              </w:rPr>
            </w:pPr>
            <w:r>
              <w:rPr>
                <w:rFonts w:eastAsia="楷体_GB2312"/>
                <w:color w:val="000000"/>
                <w:spacing w:val="20"/>
                <w:sz w:val="24"/>
                <w:szCs w:val="21"/>
              </w:rPr>
              <w:t>名称</w:t>
            </w:r>
          </w:p>
        </w:tc>
        <w:tc>
          <w:tcPr>
            <w:tcW w:w="1620" w:type="dxa"/>
            <w:vAlign w:val="center"/>
          </w:tcPr>
          <w:p>
            <w:pPr>
              <w:spacing w:line="500" w:lineRule="exact"/>
              <w:jc w:val="center"/>
              <w:rPr>
                <w:rFonts w:eastAsia="楷体_GB2312"/>
                <w:color w:val="000000"/>
                <w:spacing w:val="20"/>
                <w:sz w:val="24"/>
                <w:szCs w:val="21"/>
              </w:rPr>
            </w:pPr>
            <w:r>
              <w:rPr>
                <w:rFonts w:eastAsia="楷体_GB2312"/>
                <w:color w:val="000000"/>
                <w:spacing w:val="20"/>
                <w:sz w:val="24"/>
                <w:szCs w:val="21"/>
              </w:rPr>
              <w:t>采购规格</w:t>
            </w:r>
          </w:p>
        </w:tc>
        <w:tc>
          <w:tcPr>
            <w:tcW w:w="1620" w:type="dxa"/>
            <w:vAlign w:val="center"/>
          </w:tcPr>
          <w:p>
            <w:pPr>
              <w:spacing w:line="500" w:lineRule="exact"/>
              <w:jc w:val="center"/>
              <w:rPr>
                <w:rFonts w:eastAsia="楷体_GB2312"/>
                <w:color w:val="000000"/>
                <w:spacing w:val="20"/>
                <w:sz w:val="24"/>
                <w:szCs w:val="21"/>
              </w:rPr>
            </w:pPr>
            <w:r>
              <w:rPr>
                <w:rFonts w:eastAsia="楷体_GB2312"/>
                <w:color w:val="000000"/>
                <w:spacing w:val="20"/>
                <w:sz w:val="24"/>
                <w:szCs w:val="21"/>
              </w:rPr>
              <w:t>响应规格</w:t>
            </w:r>
          </w:p>
        </w:tc>
        <w:tc>
          <w:tcPr>
            <w:tcW w:w="1440" w:type="dxa"/>
            <w:vAlign w:val="center"/>
          </w:tcPr>
          <w:p>
            <w:pPr>
              <w:spacing w:line="500" w:lineRule="exact"/>
              <w:jc w:val="center"/>
              <w:rPr>
                <w:rFonts w:eastAsia="楷体_GB2312"/>
                <w:color w:val="000000"/>
                <w:spacing w:val="20"/>
                <w:sz w:val="24"/>
                <w:szCs w:val="21"/>
              </w:rPr>
            </w:pPr>
            <w:r>
              <w:rPr>
                <w:rFonts w:eastAsia="楷体_GB2312"/>
                <w:color w:val="000000"/>
                <w:spacing w:val="20"/>
                <w:sz w:val="24"/>
                <w:szCs w:val="21"/>
              </w:rPr>
              <w:t>偏离</w:t>
            </w:r>
          </w:p>
        </w:tc>
        <w:tc>
          <w:tcPr>
            <w:tcW w:w="1980" w:type="dxa"/>
            <w:vAlign w:val="center"/>
          </w:tcPr>
          <w:p>
            <w:pPr>
              <w:spacing w:line="500" w:lineRule="exact"/>
              <w:jc w:val="center"/>
              <w:rPr>
                <w:rFonts w:eastAsia="楷体_GB2312"/>
                <w:color w:val="000000"/>
                <w:spacing w:val="20"/>
                <w:sz w:val="24"/>
                <w:szCs w:val="21"/>
              </w:rPr>
            </w:pPr>
            <w:r>
              <w:rPr>
                <w:rFonts w:eastAsia="楷体_GB2312"/>
                <w:color w:val="000000"/>
                <w:spacing w:val="20"/>
                <w:sz w:val="24"/>
                <w:szCs w:val="21"/>
              </w:rPr>
              <w:t>说明</w:t>
            </w:r>
          </w:p>
        </w:tc>
      </w:tr>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760" w:hRule="atLeast"/>
        </w:trPr>
        <w:tc>
          <w:tcPr>
            <w:tcW w:w="828" w:type="dxa"/>
          </w:tcPr>
          <w:p>
            <w:pPr>
              <w:spacing w:line="500" w:lineRule="exact"/>
              <w:rPr>
                <w:color w:val="000000"/>
                <w:spacing w:val="20"/>
                <w:szCs w:val="21"/>
              </w:rPr>
            </w:pPr>
          </w:p>
        </w:tc>
        <w:tc>
          <w:tcPr>
            <w:tcW w:w="1440" w:type="dxa"/>
          </w:tcPr>
          <w:p>
            <w:pPr>
              <w:spacing w:line="500" w:lineRule="exact"/>
              <w:rPr>
                <w:color w:val="000000"/>
                <w:spacing w:val="20"/>
                <w:szCs w:val="21"/>
              </w:rPr>
            </w:pPr>
          </w:p>
        </w:tc>
        <w:tc>
          <w:tcPr>
            <w:tcW w:w="1620" w:type="dxa"/>
          </w:tcPr>
          <w:p>
            <w:pPr>
              <w:spacing w:line="500" w:lineRule="exact"/>
              <w:rPr>
                <w:color w:val="000000"/>
                <w:spacing w:val="20"/>
                <w:szCs w:val="21"/>
              </w:rPr>
            </w:pPr>
          </w:p>
        </w:tc>
        <w:tc>
          <w:tcPr>
            <w:tcW w:w="1620" w:type="dxa"/>
          </w:tcPr>
          <w:p>
            <w:pPr>
              <w:spacing w:line="500" w:lineRule="exact"/>
              <w:rPr>
                <w:color w:val="000000"/>
                <w:spacing w:val="20"/>
                <w:szCs w:val="21"/>
              </w:rPr>
            </w:pPr>
          </w:p>
        </w:tc>
        <w:tc>
          <w:tcPr>
            <w:tcW w:w="1440" w:type="dxa"/>
          </w:tcPr>
          <w:p>
            <w:pPr>
              <w:spacing w:line="500" w:lineRule="exact"/>
              <w:rPr>
                <w:color w:val="000000"/>
                <w:spacing w:val="20"/>
                <w:szCs w:val="21"/>
              </w:rPr>
            </w:pPr>
          </w:p>
        </w:tc>
        <w:tc>
          <w:tcPr>
            <w:tcW w:w="1980" w:type="dxa"/>
          </w:tcPr>
          <w:p>
            <w:pPr>
              <w:spacing w:line="500" w:lineRule="exact"/>
              <w:rPr>
                <w:color w:val="000000"/>
                <w:spacing w:val="20"/>
                <w:szCs w:val="21"/>
              </w:rPr>
            </w:pPr>
          </w:p>
        </w:tc>
      </w:tr>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760" w:hRule="atLeast"/>
        </w:trPr>
        <w:tc>
          <w:tcPr>
            <w:tcW w:w="828" w:type="dxa"/>
          </w:tcPr>
          <w:p>
            <w:pPr>
              <w:spacing w:line="500" w:lineRule="exact"/>
              <w:rPr>
                <w:color w:val="000000"/>
                <w:spacing w:val="20"/>
                <w:szCs w:val="21"/>
              </w:rPr>
            </w:pPr>
          </w:p>
        </w:tc>
        <w:tc>
          <w:tcPr>
            <w:tcW w:w="1440" w:type="dxa"/>
          </w:tcPr>
          <w:p>
            <w:pPr>
              <w:spacing w:line="500" w:lineRule="exact"/>
              <w:rPr>
                <w:color w:val="000000"/>
                <w:spacing w:val="20"/>
                <w:szCs w:val="21"/>
              </w:rPr>
            </w:pPr>
          </w:p>
        </w:tc>
        <w:tc>
          <w:tcPr>
            <w:tcW w:w="1620" w:type="dxa"/>
          </w:tcPr>
          <w:p>
            <w:pPr>
              <w:spacing w:line="500" w:lineRule="exact"/>
              <w:rPr>
                <w:color w:val="000000"/>
                <w:spacing w:val="20"/>
                <w:szCs w:val="21"/>
              </w:rPr>
            </w:pPr>
          </w:p>
        </w:tc>
        <w:tc>
          <w:tcPr>
            <w:tcW w:w="1620" w:type="dxa"/>
          </w:tcPr>
          <w:p>
            <w:pPr>
              <w:spacing w:line="500" w:lineRule="exact"/>
              <w:rPr>
                <w:color w:val="000000"/>
                <w:spacing w:val="20"/>
                <w:szCs w:val="21"/>
              </w:rPr>
            </w:pPr>
          </w:p>
        </w:tc>
        <w:tc>
          <w:tcPr>
            <w:tcW w:w="1440" w:type="dxa"/>
          </w:tcPr>
          <w:p>
            <w:pPr>
              <w:spacing w:line="500" w:lineRule="exact"/>
              <w:rPr>
                <w:color w:val="000000"/>
                <w:spacing w:val="20"/>
                <w:szCs w:val="21"/>
              </w:rPr>
            </w:pPr>
          </w:p>
        </w:tc>
        <w:tc>
          <w:tcPr>
            <w:tcW w:w="1980" w:type="dxa"/>
          </w:tcPr>
          <w:p>
            <w:pPr>
              <w:spacing w:line="500" w:lineRule="exact"/>
              <w:rPr>
                <w:color w:val="000000"/>
                <w:spacing w:val="20"/>
                <w:szCs w:val="21"/>
              </w:rPr>
            </w:pPr>
          </w:p>
        </w:tc>
      </w:tr>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760" w:hRule="atLeast"/>
        </w:trPr>
        <w:tc>
          <w:tcPr>
            <w:tcW w:w="828" w:type="dxa"/>
          </w:tcPr>
          <w:p>
            <w:pPr>
              <w:spacing w:line="500" w:lineRule="exact"/>
              <w:rPr>
                <w:color w:val="000000"/>
                <w:spacing w:val="20"/>
                <w:szCs w:val="21"/>
              </w:rPr>
            </w:pPr>
          </w:p>
        </w:tc>
        <w:tc>
          <w:tcPr>
            <w:tcW w:w="1440" w:type="dxa"/>
          </w:tcPr>
          <w:p>
            <w:pPr>
              <w:spacing w:line="500" w:lineRule="exact"/>
              <w:rPr>
                <w:color w:val="000000"/>
                <w:spacing w:val="20"/>
                <w:szCs w:val="21"/>
              </w:rPr>
            </w:pPr>
          </w:p>
        </w:tc>
        <w:tc>
          <w:tcPr>
            <w:tcW w:w="1620" w:type="dxa"/>
          </w:tcPr>
          <w:p>
            <w:pPr>
              <w:spacing w:line="500" w:lineRule="exact"/>
              <w:rPr>
                <w:color w:val="000000"/>
                <w:spacing w:val="20"/>
                <w:szCs w:val="21"/>
              </w:rPr>
            </w:pPr>
          </w:p>
        </w:tc>
        <w:tc>
          <w:tcPr>
            <w:tcW w:w="1620" w:type="dxa"/>
          </w:tcPr>
          <w:p>
            <w:pPr>
              <w:spacing w:line="500" w:lineRule="exact"/>
              <w:rPr>
                <w:color w:val="000000"/>
                <w:spacing w:val="20"/>
                <w:szCs w:val="21"/>
              </w:rPr>
            </w:pPr>
          </w:p>
        </w:tc>
        <w:tc>
          <w:tcPr>
            <w:tcW w:w="1440" w:type="dxa"/>
          </w:tcPr>
          <w:p>
            <w:pPr>
              <w:spacing w:line="500" w:lineRule="exact"/>
              <w:rPr>
                <w:color w:val="000000"/>
                <w:spacing w:val="20"/>
                <w:szCs w:val="21"/>
              </w:rPr>
            </w:pPr>
          </w:p>
        </w:tc>
        <w:tc>
          <w:tcPr>
            <w:tcW w:w="1980" w:type="dxa"/>
          </w:tcPr>
          <w:p>
            <w:pPr>
              <w:spacing w:line="500" w:lineRule="exact"/>
              <w:rPr>
                <w:color w:val="000000"/>
                <w:spacing w:val="20"/>
                <w:szCs w:val="21"/>
              </w:rPr>
            </w:pPr>
          </w:p>
        </w:tc>
      </w:tr>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760" w:hRule="atLeast"/>
        </w:trPr>
        <w:tc>
          <w:tcPr>
            <w:tcW w:w="828" w:type="dxa"/>
          </w:tcPr>
          <w:p>
            <w:pPr>
              <w:spacing w:line="500" w:lineRule="exact"/>
              <w:rPr>
                <w:color w:val="000000"/>
                <w:spacing w:val="20"/>
                <w:szCs w:val="21"/>
              </w:rPr>
            </w:pPr>
          </w:p>
        </w:tc>
        <w:tc>
          <w:tcPr>
            <w:tcW w:w="1440" w:type="dxa"/>
          </w:tcPr>
          <w:p>
            <w:pPr>
              <w:spacing w:line="500" w:lineRule="exact"/>
              <w:rPr>
                <w:color w:val="000000"/>
                <w:spacing w:val="20"/>
                <w:szCs w:val="21"/>
              </w:rPr>
            </w:pPr>
          </w:p>
        </w:tc>
        <w:tc>
          <w:tcPr>
            <w:tcW w:w="1620" w:type="dxa"/>
          </w:tcPr>
          <w:p>
            <w:pPr>
              <w:spacing w:line="500" w:lineRule="exact"/>
              <w:rPr>
                <w:color w:val="000000"/>
                <w:spacing w:val="20"/>
                <w:szCs w:val="21"/>
              </w:rPr>
            </w:pPr>
          </w:p>
        </w:tc>
        <w:tc>
          <w:tcPr>
            <w:tcW w:w="1620" w:type="dxa"/>
          </w:tcPr>
          <w:p>
            <w:pPr>
              <w:spacing w:line="500" w:lineRule="exact"/>
              <w:rPr>
                <w:color w:val="000000"/>
                <w:spacing w:val="20"/>
                <w:szCs w:val="21"/>
              </w:rPr>
            </w:pPr>
          </w:p>
        </w:tc>
        <w:tc>
          <w:tcPr>
            <w:tcW w:w="1440" w:type="dxa"/>
          </w:tcPr>
          <w:p>
            <w:pPr>
              <w:spacing w:line="500" w:lineRule="exact"/>
              <w:rPr>
                <w:color w:val="000000"/>
                <w:spacing w:val="20"/>
                <w:szCs w:val="21"/>
              </w:rPr>
            </w:pPr>
          </w:p>
        </w:tc>
        <w:tc>
          <w:tcPr>
            <w:tcW w:w="1980" w:type="dxa"/>
          </w:tcPr>
          <w:p>
            <w:pPr>
              <w:spacing w:line="500" w:lineRule="exact"/>
              <w:rPr>
                <w:color w:val="000000"/>
                <w:spacing w:val="20"/>
                <w:szCs w:val="21"/>
              </w:rPr>
            </w:pPr>
          </w:p>
        </w:tc>
      </w:tr>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760" w:hRule="atLeast"/>
        </w:trPr>
        <w:tc>
          <w:tcPr>
            <w:tcW w:w="828" w:type="dxa"/>
          </w:tcPr>
          <w:p>
            <w:pPr>
              <w:spacing w:line="500" w:lineRule="exact"/>
              <w:rPr>
                <w:color w:val="000000"/>
                <w:spacing w:val="20"/>
                <w:szCs w:val="21"/>
              </w:rPr>
            </w:pPr>
          </w:p>
        </w:tc>
        <w:tc>
          <w:tcPr>
            <w:tcW w:w="1440" w:type="dxa"/>
          </w:tcPr>
          <w:p>
            <w:pPr>
              <w:spacing w:line="500" w:lineRule="exact"/>
              <w:rPr>
                <w:color w:val="000000"/>
                <w:spacing w:val="20"/>
                <w:szCs w:val="21"/>
              </w:rPr>
            </w:pPr>
          </w:p>
        </w:tc>
        <w:tc>
          <w:tcPr>
            <w:tcW w:w="1620" w:type="dxa"/>
          </w:tcPr>
          <w:p>
            <w:pPr>
              <w:spacing w:line="500" w:lineRule="exact"/>
              <w:rPr>
                <w:color w:val="000000"/>
                <w:spacing w:val="20"/>
                <w:szCs w:val="21"/>
              </w:rPr>
            </w:pPr>
          </w:p>
        </w:tc>
        <w:tc>
          <w:tcPr>
            <w:tcW w:w="1620" w:type="dxa"/>
          </w:tcPr>
          <w:p>
            <w:pPr>
              <w:spacing w:line="500" w:lineRule="exact"/>
              <w:rPr>
                <w:color w:val="000000"/>
                <w:spacing w:val="20"/>
                <w:szCs w:val="21"/>
              </w:rPr>
            </w:pPr>
          </w:p>
        </w:tc>
        <w:tc>
          <w:tcPr>
            <w:tcW w:w="1440" w:type="dxa"/>
          </w:tcPr>
          <w:p>
            <w:pPr>
              <w:spacing w:line="500" w:lineRule="exact"/>
              <w:rPr>
                <w:color w:val="000000"/>
                <w:spacing w:val="20"/>
                <w:szCs w:val="21"/>
              </w:rPr>
            </w:pPr>
          </w:p>
        </w:tc>
        <w:tc>
          <w:tcPr>
            <w:tcW w:w="1980" w:type="dxa"/>
          </w:tcPr>
          <w:p>
            <w:pPr>
              <w:spacing w:line="500" w:lineRule="exact"/>
              <w:rPr>
                <w:color w:val="000000"/>
                <w:spacing w:val="20"/>
                <w:szCs w:val="21"/>
              </w:rPr>
            </w:pPr>
          </w:p>
        </w:tc>
      </w:tr>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760" w:hRule="atLeast"/>
        </w:trPr>
        <w:tc>
          <w:tcPr>
            <w:tcW w:w="828" w:type="dxa"/>
          </w:tcPr>
          <w:p>
            <w:pPr>
              <w:spacing w:line="500" w:lineRule="exact"/>
              <w:rPr>
                <w:color w:val="000000"/>
                <w:spacing w:val="20"/>
                <w:szCs w:val="21"/>
              </w:rPr>
            </w:pPr>
          </w:p>
        </w:tc>
        <w:tc>
          <w:tcPr>
            <w:tcW w:w="1440" w:type="dxa"/>
          </w:tcPr>
          <w:p>
            <w:pPr>
              <w:spacing w:line="500" w:lineRule="exact"/>
              <w:rPr>
                <w:color w:val="000000"/>
                <w:spacing w:val="20"/>
                <w:szCs w:val="21"/>
              </w:rPr>
            </w:pPr>
          </w:p>
        </w:tc>
        <w:tc>
          <w:tcPr>
            <w:tcW w:w="1620" w:type="dxa"/>
          </w:tcPr>
          <w:p>
            <w:pPr>
              <w:spacing w:line="500" w:lineRule="exact"/>
              <w:rPr>
                <w:color w:val="000000"/>
                <w:spacing w:val="20"/>
                <w:szCs w:val="21"/>
              </w:rPr>
            </w:pPr>
          </w:p>
        </w:tc>
        <w:tc>
          <w:tcPr>
            <w:tcW w:w="1620" w:type="dxa"/>
          </w:tcPr>
          <w:p>
            <w:pPr>
              <w:spacing w:line="500" w:lineRule="exact"/>
              <w:rPr>
                <w:color w:val="000000"/>
                <w:spacing w:val="20"/>
                <w:szCs w:val="21"/>
              </w:rPr>
            </w:pPr>
          </w:p>
        </w:tc>
        <w:tc>
          <w:tcPr>
            <w:tcW w:w="1440" w:type="dxa"/>
          </w:tcPr>
          <w:p>
            <w:pPr>
              <w:spacing w:line="500" w:lineRule="exact"/>
              <w:rPr>
                <w:color w:val="000000"/>
                <w:spacing w:val="20"/>
                <w:szCs w:val="21"/>
              </w:rPr>
            </w:pPr>
          </w:p>
        </w:tc>
        <w:tc>
          <w:tcPr>
            <w:tcW w:w="1980" w:type="dxa"/>
          </w:tcPr>
          <w:p>
            <w:pPr>
              <w:spacing w:line="500" w:lineRule="exact"/>
              <w:rPr>
                <w:color w:val="000000"/>
                <w:spacing w:val="20"/>
                <w:szCs w:val="21"/>
              </w:rPr>
            </w:pPr>
          </w:p>
        </w:tc>
      </w:tr>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760" w:hRule="atLeast"/>
        </w:trPr>
        <w:tc>
          <w:tcPr>
            <w:tcW w:w="828" w:type="dxa"/>
          </w:tcPr>
          <w:p>
            <w:pPr>
              <w:spacing w:line="500" w:lineRule="exact"/>
              <w:rPr>
                <w:color w:val="000000"/>
                <w:spacing w:val="20"/>
                <w:szCs w:val="21"/>
              </w:rPr>
            </w:pPr>
          </w:p>
        </w:tc>
        <w:tc>
          <w:tcPr>
            <w:tcW w:w="1440" w:type="dxa"/>
          </w:tcPr>
          <w:p>
            <w:pPr>
              <w:spacing w:line="500" w:lineRule="exact"/>
              <w:rPr>
                <w:color w:val="000000"/>
                <w:spacing w:val="20"/>
                <w:szCs w:val="21"/>
              </w:rPr>
            </w:pPr>
          </w:p>
        </w:tc>
        <w:tc>
          <w:tcPr>
            <w:tcW w:w="1620" w:type="dxa"/>
          </w:tcPr>
          <w:p>
            <w:pPr>
              <w:spacing w:line="500" w:lineRule="exact"/>
              <w:rPr>
                <w:color w:val="000000"/>
                <w:spacing w:val="20"/>
                <w:szCs w:val="21"/>
              </w:rPr>
            </w:pPr>
          </w:p>
        </w:tc>
        <w:tc>
          <w:tcPr>
            <w:tcW w:w="1620" w:type="dxa"/>
          </w:tcPr>
          <w:p>
            <w:pPr>
              <w:spacing w:line="500" w:lineRule="exact"/>
              <w:rPr>
                <w:color w:val="000000"/>
                <w:spacing w:val="20"/>
                <w:szCs w:val="21"/>
              </w:rPr>
            </w:pPr>
          </w:p>
        </w:tc>
        <w:tc>
          <w:tcPr>
            <w:tcW w:w="1440" w:type="dxa"/>
          </w:tcPr>
          <w:p>
            <w:pPr>
              <w:spacing w:line="500" w:lineRule="exact"/>
              <w:rPr>
                <w:color w:val="000000"/>
                <w:spacing w:val="20"/>
                <w:szCs w:val="21"/>
              </w:rPr>
            </w:pPr>
          </w:p>
        </w:tc>
        <w:tc>
          <w:tcPr>
            <w:tcW w:w="1980" w:type="dxa"/>
          </w:tcPr>
          <w:p>
            <w:pPr>
              <w:spacing w:line="500" w:lineRule="exact"/>
              <w:rPr>
                <w:color w:val="000000"/>
                <w:spacing w:val="20"/>
                <w:szCs w:val="21"/>
              </w:rPr>
            </w:pPr>
          </w:p>
        </w:tc>
      </w:tr>
    </w:tbl>
    <w:p>
      <w:pPr>
        <w:spacing w:line="500" w:lineRule="exact"/>
        <w:rPr>
          <w:color w:val="000000"/>
          <w:spacing w:val="20"/>
          <w:szCs w:val="21"/>
        </w:rPr>
      </w:pPr>
    </w:p>
    <w:p>
      <w:pPr>
        <w:spacing w:line="500" w:lineRule="exact"/>
        <w:ind w:left="540" w:firstLine="30"/>
        <w:rPr>
          <w:rFonts w:eastAsia="楷体_GB2312"/>
          <w:sz w:val="24"/>
        </w:rPr>
      </w:pPr>
      <w:r>
        <w:rPr>
          <w:rFonts w:eastAsia="楷体_GB2312"/>
          <w:sz w:val="24"/>
        </w:rPr>
        <w:t>谈判响应方代表签字：</w:t>
      </w:r>
      <w:r>
        <w:rPr>
          <w:rFonts w:eastAsia="楷体_GB2312"/>
          <w:sz w:val="24"/>
          <w:u w:val="single"/>
        </w:rPr>
        <w:t xml:space="preserve">                   </w:t>
      </w:r>
      <w:r>
        <w:rPr>
          <w:rFonts w:eastAsia="楷体_GB2312"/>
          <w:sz w:val="24"/>
        </w:rPr>
        <w:t>职务：</w:t>
      </w:r>
      <w:r>
        <w:rPr>
          <w:rFonts w:eastAsia="楷体_GB2312"/>
          <w:sz w:val="24"/>
          <w:u w:val="single"/>
        </w:rPr>
        <w:t xml:space="preserve">                  </w:t>
      </w:r>
    </w:p>
    <w:p>
      <w:pPr>
        <w:tabs>
          <w:tab w:val="left" w:pos="4620"/>
        </w:tabs>
        <w:spacing w:line="500" w:lineRule="exact"/>
        <w:ind w:left="540" w:firstLine="30"/>
        <w:rPr>
          <w:sz w:val="28"/>
          <w:u w:val="single"/>
        </w:rPr>
        <w:sectPr>
          <w:headerReference r:id="rId11" w:type="default"/>
          <w:pgSz w:w="11906" w:h="16838"/>
          <w:pgMar w:top="1418" w:right="1531" w:bottom="1304" w:left="1797" w:header="851" w:footer="992" w:gutter="0"/>
          <w:cols w:space="720" w:num="1"/>
          <w:docGrid w:type="lines" w:linePitch="312" w:charSpace="0"/>
        </w:sectPr>
      </w:pPr>
      <w:r>
        <w:rPr>
          <w:rFonts w:eastAsia="楷体_GB2312"/>
          <w:sz w:val="24"/>
        </w:rPr>
        <w:t>日期：</w:t>
      </w:r>
      <w:r>
        <w:rPr>
          <w:rFonts w:eastAsia="楷体_GB2312"/>
          <w:sz w:val="24"/>
          <w:u w:val="single"/>
        </w:rPr>
        <w:t xml:space="preserve">                             </w:t>
      </w:r>
    </w:p>
    <w:p>
      <w:pPr>
        <w:spacing w:line="500" w:lineRule="exact"/>
        <w:rPr>
          <w:sz w:val="24"/>
        </w:rPr>
      </w:pPr>
      <w:r>
        <w:rPr>
          <w:sz w:val="24"/>
        </w:rPr>
        <w:t>附件六：</w:t>
      </w:r>
    </w:p>
    <w:p>
      <w:pPr>
        <w:spacing w:line="0" w:lineRule="atLeast"/>
        <w:jc w:val="center"/>
        <w:rPr>
          <w:b/>
          <w:bCs/>
          <w:sz w:val="36"/>
          <w:szCs w:val="36"/>
        </w:rPr>
      </w:pPr>
      <w:bookmarkStart w:id="15" w:name="_法_定_代"/>
      <w:bookmarkEnd w:id="15"/>
      <w:r>
        <w:rPr>
          <w:b/>
          <w:bCs/>
          <w:sz w:val="36"/>
          <w:szCs w:val="36"/>
        </w:rPr>
        <w:t>法 定 代 表 人 授 权 书</w:t>
      </w:r>
    </w:p>
    <w:p>
      <w:pPr>
        <w:spacing w:line="480" w:lineRule="auto"/>
        <w:jc w:val="left"/>
        <w:rPr>
          <w:rFonts w:ascii="楷体_GB2312" w:hAnsi="宋体" w:eastAsia="楷体_GB2312"/>
          <w:b/>
          <w:sz w:val="28"/>
          <w:szCs w:val="28"/>
        </w:rPr>
      </w:pPr>
      <w:r>
        <w:rPr>
          <w:rFonts w:hint="eastAsia" w:ascii="楷体_GB2312" w:hAnsi="宋体" w:eastAsia="楷体_GB2312"/>
          <w:b/>
          <w:sz w:val="28"/>
          <w:szCs w:val="28"/>
        </w:rPr>
        <w:t>浙江大学采购中心：</w:t>
      </w:r>
    </w:p>
    <w:p>
      <w:pPr>
        <w:spacing w:line="480" w:lineRule="auto"/>
        <w:ind w:firstLine="480" w:firstLineChars="200"/>
        <w:jc w:val="left"/>
        <w:rPr>
          <w:rFonts w:eastAsia="楷体_GB2312"/>
          <w:sz w:val="24"/>
        </w:rPr>
      </w:pPr>
      <w:r>
        <w:rPr>
          <w:rFonts w:hint="eastAsia" w:eastAsia="楷体_GB2312"/>
          <w:sz w:val="24"/>
        </w:rPr>
        <w:t>我单位法定代表人授权被委托人为全权代表，参加浙江大学采购中心组织的以下项目，全权处理本项目招投标活动中的微信报名、标书送达（邮寄）等事项，现场或视频参加开标当天的事务。其在本项目投标中的一切活动本公司均予以承认。如为通过视频会议方式进行开标、磋商的，开标当天评标期间从委托人钉钉号（微信报名时预留的手机号）上提交的文字及其他材料均视作其本人操作。</w:t>
      </w:r>
    </w:p>
    <w:p>
      <w:pPr>
        <w:spacing w:line="480" w:lineRule="auto"/>
        <w:ind w:firstLine="480" w:firstLineChars="200"/>
        <w:jc w:val="left"/>
        <w:rPr>
          <w:rFonts w:eastAsia="楷体_GB2312"/>
          <w:sz w:val="24"/>
        </w:rPr>
      </w:pPr>
      <w:r>
        <w:rPr>
          <w:rFonts w:hint="eastAsia" w:eastAsia="楷体_GB2312"/>
          <w:sz w:val="24"/>
        </w:rPr>
        <w:t>投</w:t>
      </w:r>
      <w:r>
        <w:rPr>
          <w:rFonts w:eastAsia="楷体_GB2312"/>
          <w:sz w:val="24"/>
        </w:rPr>
        <w:t xml:space="preserve"> </w:t>
      </w:r>
      <w:r>
        <w:rPr>
          <w:rFonts w:hint="eastAsia" w:eastAsia="楷体_GB2312"/>
          <w:sz w:val="24"/>
        </w:rPr>
        <w:t>标</w:t>
      </w:r>
      <w:r>
        <w:rPr>
          <w:rFonts w:eastAsia="楷体_GB2312"/>
          <w:sz w:val="24"/>
        </w:rPr>
        <w:t xml:space="preserve"> </w:t>
      </w:r>
      <w:r>
        <w:rPr>
          <w:rFonts w:hint="eastAsia" w:eastAsia="楷体_GB2312"/>
          <w:sz w:val="24"/>
        </w:rPr>
        <w:t>人单位全称：</w:t>
      </w:r>
    </w:p>
    <w:p>
      <w:pPr>
        <w:spacing w:line="480" w:lineRule="auto"/>
        <w:ind w:firstLine="1440" w:firstLineChars="600"/>
        <w:jc w:val="left"/>
        <w:rPr>
          <w:rFonts w:eastAsia="楷体_GB2312"/>
          <w:sz w:val="24"/>
        </w:rPr>
      </w:pPr>
      <w:r>
        <w:rPr>
          <w:rFonts w:hint="eastAsia" w:eastAsia="楷体_GB2312"/>
          <w:sz w:val="24"/>
        </w:rPr>
        <w:t>法定代表人姓名：</w:t>
      </w:r>
    </w:p>
    <w:p>
      <w:pPr>
        <w:spacing w:line="480" w:lineRule="auto"/>
        <w:ind w:firstLine="480" w:firstLineChars="200"/>
        <w:jc w:val="left"/>
        <w:rPr>
          <w:rFonts w:eastAsia="楷体_GB2312"/>
          <w:sz w:val="24"/>
        </w:rPr>
      </w:pPr>
      <w:r>
        <w:rPr>
          <w:rFonts w:hint="eastAsia" w:eastAsia="楷体_GB2312"/>
          <w:sz w:val="24"/>
        </w:rPr>
        <w:t>被委托人姓名：</w:t>
      </w:r>
    </w:p>
    <w:p>
      <w:pPr>
        <w:spacing w:line="480" w:lineRule="auto"/>
        <w:ind w:firstLine="1440" w:firstLineChars="600"/>
        <w:jc w:val="left"/>
        <w:rPr>
          <w:rFonts w:eastAsia="楷体_GB2312"/>
          <w:sz w:val="24"/>
        </w:rPr>
      </w:pPr>
      <w:r>
        <w:rPr>
          <w:rFonts w:hint="eastAsia" w:eastAsia="楷体_GB2312"/>
          <w:sz w:val="24"/>
        </w:rPr>
        <w:t>身份证号：</w:t>
      </w:r>
    </w:p>
    <w:p>
      <w:pPr>
        <w:spacing w:line="480" w:lineRule="auto"/>
        <w:ind w:firstLine="1440" w:firstLineChars="600"/>
        <w:jc w:val="left"/>
        <w:rPr>
          <w:rFonts w:eastAsia="楷体_GB2312"/>
          <w:sz w:val="24"/>
        </w:rPr>
      </w:pPr>
      <w:r>
        <w:rPr>
          <w:rFonts w:hint="eastAsia" w:eastAsia="楷体_GB2312"/>
          <w:sz w:val="24"/>
        </w:rPr>
        <w:t>职务：</w:t>
      </w:r>
    </w:p>
    <w:p>
      <w:pPr>
        <w:spacing w:line="480" w:lineRule="auto"/>
        <w:ind w:firstLine="1440" w:firstLineChars="600"/>
        <w:jc w:val="left"/>
        <w:rPr>
          <w:rFonts w:eastAsia="楷体_GB2312"/>
          <w:sz w:val="24"/>
        </w:rPr>
      </w:pPr>
      <w:r>
        <w:rPr>
          <w:rFonts w:hint="eastAsia" w:eastAsia="楷体_GB2312"/>
          <w:sz w:val="24"/>
        </w:rPr>
        <w:t>手机号码：</w:t>
      </w:r>
    </w:p>
    <w:p>
      <w:pPr>
        <w:spacing w:line="480" w:lineRule="auto"/>
        <w:ind w:firstLine="480" w:firstLineChars="200"/>
        <w:jc w:val="left"/>
        <w:rPr>
          <w:rFonts w:eastAsia="楷体_GB2312"/>
          <w:sz w:val="24"/>
        </w:rPr>
      </w:pPr>
      <w:r>
        <w:rPr>
          <w:rFonts w:hint="eastAsia" w:eastAsia="楷体_GB2312"/>
          <w:sz w:val="24"/>
        </w:rPr>
        <w:t>项</w:t>
      </w:r>
      <w:r>
        <w:rPr>
          <w:rFonts w:eastAsia="楷体_GB2312"/>
          <w:sz w:val="24"/>
        </w:rPr>
        <w:t xml:space="preserve">    </w:t>
      </w:r>
      <w:r>
        <w:rPr>
          <w:rFonts w:hint="eastAsia" w:eastAsia="楷体_GB2312"/>
          <w:sz w:val="24"/>
        </w:rPr>
        <w:t>目名称：</w:t>
      </w:r>
    </w:p>
    <w:p>
      <w:pPr>
        <w:spacing w:line="480" w:lineRule="auto"/>
        <w:ind w:firstLine="1440" w:firstLineChars="600"/>
        <w:jc w:val="left"/>
        <w:rPr>
          <w:rFonts w:eastAsia="楷体_GB2312"/>
          <w:sz w:val="24"/>
        </w:rPr>
      </w:pPr>
      <w:r>
        <w:rPr>
          <w:rFonts w:hint="eastAsia" w:eastAsia="楷体_GB2312"/>
          <w:sz w:val="24"/>
        </w:rPr>
        <w:t>编号：</w:t>
      </w:r>
    </w:p>
    <w:p>
      <w:pPr>
        <w:spacing w:line="360" w:lineRule="auto"/>
        <w:rPr>
          <w:rFonts w:eastAsia="楷体_GB2312"/>
          <w:sz w:val="24"/>
        </w:rPr>
      </w:pPr>
    </w:p>
    <w:p>
      <w:pPr>
        <w:spacing w:line="360" w:lineRule="auto"/>
        <w:rPr>
          <w:rFonts w:eastAsia="楷体_GB2312"/>
          <w:sz w:val="24"/>
        </w:rPr>
      </w:pPr>
      <w:r>
        <w:rPr>
          <w:rFonts w:hint="eastAsia" w:eastAsia="楷体_GB2312"/>
          <w:sz w:val="24"/>
        </w:rPr>
        <w:t>法定代表人（签字或签章）：</w:t>
      </w:r>
      <w:r>
        <w:rPr>
          <w:rFonts w:eastAsia="楷体_GB2312"/>
          <w:sz w:val="24"/>
        </w:rPr>
        <w:t xml:space="preserve">               </w:t>
      </w:r>
      <w:r>
        <w:rPr>
          <w:rFonts w:hint="eastAsia" w:eastAsia="楷体_GB2312"/>
          <w:sz w:val="24"/>
        </w:rPr>
        <w:t>投标人（公章）：</w:t>
      </w:r>
    </w:p>
    <w:p>
      <w:pPr>
        <w:spacing w:line="360" w:lineRule="auto"/>
        <w:rPr>
          <w:rFonts w:eastAsia="楷体_GB2312"/>
          <w:sz w:val="24"/>
        </w:rPr>
      </w:pPr>
      <w:r>
        <w:rPr>
          <w:rFonts w:hint="eastAsia" w:eastAsia="楷体_GB2312"/>
          <w:sz w:val="24"/>
        </w:rPr>
        <w:t>被授权委托人（签字）：</w:t>
      </w:r>
    </w:p>
    <w:p>
      <w:pPr>
        <w:spacing w:line="360" w:lineRule="auto"/>
        <w:rPr>
          <w:rFonts w:eastAsia="楷体_GB2312"/>
          <w:sz w:val="24"/>
        </w:rPr>
      </w:pPr>
    </w:p>
    <w:p>
      <w:pPr>
        <w:spacing w:line="360" w:lineRule="auto"/>
        <w:jc w:val="right"/>
        <w:rPr>
          <w:rFonts w:eastAsia="楷体_GB2312"/>
          <w:sz w:val="24"/>
        </w:rPr>
      </w:pPr>
      <w:r>
        <w:rPr>
          <w:rFonts w:hint="eastAsia" w:eastAsia="楷体_GB2312"/>
          <w:sz w:val="24"/>
        </w:rPr>
        <w:t>日期：</w:t>
      </w:r>
      <w:r>
        <w:rPr>
          <w:rFonts w:eastAsia="楷体_GB2312"/>
          <w:sz w:val="24"/>
        </w:rPr>
        <w:t xml:space="preserve">        </w:t>
      </w:r>
      <w:r>
        <w:rPr>
          <w:rFonts w:hint="eastAsia" w:eastAsia="楷体_GB2312"/>
          <w:sz w:val="24"/>
        </w:rPr>
        <w:t>年</w:t>
      </w:r>
      <w:r>
        <w:rPr>
          <w:rFonts w:eastAsia="楷体_GB2312"/>
          <w:sz w:val="24"/>
        </w:rPr>
        <w:t xml:space="preserve">    </w:t>
      </w:r>
      <w:r>
        <w:rPr>
          <w:rFonts w:hint="eastAsia" w:eastAsia="楷体_GB2312"/>
          <w:sz w:val="24"/>
        </w:rPr>
        <w:t>月</w:t>
      </w:r>
      <w:r>
        <w:rPr>
          <w:rFonts w:eastAsia="楷体_GB2312"/>
          <w:sz w:val="24"/>
        </w:rPr>
        <w:t xml:space="preserve">    </w:t>
      </w:r>
      <w:r>
        <w:rPr>
          <w:rFonts w:hint="eastAsia" w:eastAsia="楷体_GB2312"/>
          <w:sz w:val="24"/>
        </w:rPr>
        <w:t>日</w:t>
      </w:r>
    </w:p>
    <w:p>
      <w:pPr>
        <w:spacing w:line="500" w:lineRule="exact"/>
        <w:rPr>
          <w:sz w:val="28"/>
        </w:rPr>
      </w:pPr>
    </w:p>
    <w:p>
      <w:pPr>
        <w:spacing w:line="500" w:lineRule="exact"/>
        <w:ind w:firstLine="600"/>
        <w:rPr>
          <w:rFonts w:eastAsia="楷体_GB2312"/>
          <w:sz w:val="30"/>
          <w:u w:val="single"/>
        </w:rPr>
        <w:sectPr>
          <w:headerReference r:id="rId12" w:type="default"/>
          <w:pgSz w:w="11906" w:h="16838"/>
          <w:pgMar w:top="1418" w:right="1531" w:bottom="1304" w:left="1797" w:header="851" w:footer="992" w:gutter="0"/>
          <w:cols w:space="720" w:num="1"/>
          <w:docGrid w:type="lines" w:linePitch="312" w:charSpace="0"/>
        </w:sectPr>
      </w:pPr>
    </w:p>
    <w:p>
      <w:pPr>
        <w:spacing w:line="500" w:lineRule="exact"/>
        <w:rPr>
          <w:sz w:val="24"/>
        </w:rPr>
      </w:pPr>
      <w:r>
        <w:rPr>
          <w:sz w:val="24"/>
        </w:rPr>
        <w:t>附件七：</w:t>
      </w:r>
    </w:p>
    <w:p>
      <w:pPr>
        <w:spacing w:line="0" w:lineRule="atLeast"/>
        <w:jc w:val="center"/>
        <w:rPr>
          <w:b/>
          <w:bCs/>
          <w:sz w:val="36"/>
          <w:szCs w:val="36"/>
        </w:rPr>
      </w:pPr>
      <w:bookmarkStart w:id="16" w:name="_关_于_资"/>
      <w:bookmarkEnd w:id="16"/>
      <w:r>
        <w:rPr>
          <w:b/>
          <w:bCs/>
          <w:sz w:val="36"/>
          <w:szCs w:val="36"/>
        </w:rPr>
        <w:t>关 于 资 格 的 声 明 函</w:t>
      </w:r>
    </w:p>
    <w:p>
      <w:pPr>
        <w:spacing w:line="500" w:lineRule="exact"/>
        <w:ind w:left="540" w:firstLine="30"/>
        <w:rPr>
          <w:sz w:val="28"/>
        </w:rPr>
      </w:pPr>
    </w:p>
    <w:p>
      <w:pPr>
        <w:spacing w:line="500" w:lineRule="exact"/>
        <w:rPr>
          <w:rFonts w:eastAsia="楷体_GB2312"/>
          <w:b/>
          <w:bCs/>
          <w:sz w:val="24"/>
        </w:rPr>
      </w:pPr>
      <w:r>
        <w:rPr>
          <w:rFonts w:eastAsia="楷体_GB2312"/>
          <w:b/>
          <w:bCs/>
          <w:sz w:val="24"/>
        </w:rPr>
        <w:t>浙江大学采购中心：</w:t>
      </w:r>
    </w:p>
    <w:p>
      <w:pPr>
        <w:spacing w:line="500" w:lineRule="exact"/>
        <w:ind w:left="540" w:firstLine="30"/>
        <w:rPr>
          <w:rFonts w:eastAsia="楷体_GB2312"/>
          <w:sz w:val="24"/>
        </w:rPr>
      </w:pPr>
    </w:p>
    <w:p>
      <w:pPr>
        <w:spacing w:line="500" w:lineRule="exact"/>
        <w:ind w:firstLine="570"/>
        <w:rPr>
          <w:rFonts w:eastAsia="楷体_GB2312"/>
          <w:sz w:val="24"/>
        </w:rPr>
      </w:pPr>
      <w:r>
        <w:rPr>
          <w:rFonts w:eastAsia="楷体_GB2312"/>
          <w:sz w:val="24"/>
        </w:rPr>
        <w:t>关于贵方</w:t>
      </w:r>
      <w:r>
        <w:rPr>
          <w:rFonts w:eastAsia="楷体_GB2312"/>
          <w:sz w:val="24"/>
          <w:u w:val="single"/>
        </w:rPr>
        <w:t xml:space="preserve">       </w:t>
      </w:r>
      <w:r>
        <w:rPr>
          <w:rFonts w:eastAsia="楷体_GB2312"/>
          <w:sz w:val="24"/>
        </w:rPr>
        <w:t>年</w:t>
      </w:r>
      <w:r>
        <w:rPr>
          <w:rFonts w:eastAsia="楷体_GB2312"/>
          <w:sz w:val="24"/>
          <w:u w:val="single"/>
        </w:rPr>
        <w:t xml:space="preserve">   </w:t>
      </w:r>
      <w:r>
        <w:rPr>
          <w:rFonts w:eastAsia="楷体_GB2312"/>
          <w:sz w:val="24"/>
        </w:rPr>
        <w:t>月</w:t>
      </w:r>
      <w:r>
        <w:rPr>
          <w:rFonts w:eastAsia="楷体_GB2312"/>
          <w:sz w:val="24"/>
          <w:u w:val="single"/>
        </w:rPr>
        <w:t xml:space="preserve">   </w:t>
      </w:r>
      <w:r>
        <w:rPr>
          <w:rFonts w:eastAsia="楷体_GB2312"/>
          <w:sz w:val="24"/>
        </w:rPr>
        <w:t>日</w:t>
      </w:r>
      <w:r>
        <w:rPr>
          <w:rFonts w:eastAsia="楷体_GB2312"/>
          <w:sz w:val="24"/>
          <w:u w:val="single"/>
        </w:rPr>
        <w:t xml:space="preserve">             </w:t>
      </w:r>
      <w:r>
        <w:rPr>
          <w:rFonts w:eastAsia="楷体_GB2312"/>
          <w:sz w:val="24"/>
        </w:rPr>
        <w:t>（采购编号）谈判邀请，本签字人愿意参加谈判，提供谈判货物一览表规定的</w:t>
      </w:r>
      <w:r>
        <w:rPr>
          <w:rFonts w:eastAsia="楷体_GB2312"/>
          <w:sz w:val="24"/>
          <w:u w:val="single"/>
        </w:rPr>
        <w:t xml:space="preserve">                 </w:t>
      </w:r>
      <w:r>
        <w:rPr>
          <w:rFonts w:eastAsia="楷体_GB2312"/>
          <w:sz w:val="24"/>
        </w:rPr>
        <w:t>（产品名称），并证明提交的下列文件和说明是准确和真实的。</w:t>
      </w:r>
    </w:p>
    <w:p>
      <w:pPr>
        <w:spacing w:line="500" w:lineRule="exact"/>
        <w:ind w:firstLine="480" w:firstLineChars="200"/>
        <w:rPr>
          <w:rFonts w:eastAsia="楷体_GB2312"/>
          <w:sz w:val="24"/>
        </w:rPr>
      </w:pPr>
      <w:r>
        <w:rPr>
          <w:rFonts w:eastAsia="楷体_GB2312"/>
          <w:sz w:val="24"/>
        </w:rPr>
        <w:t>1、由</w:t>
      </w:r>
      <w:r>
        <w:rPr>
          <w:rFonts w:eastAsia="楷体_GB2312"/>
          <w:sz w:val="24"/>
          <w:u w:val="single"/>
        </w:rPr>
        <w:t xml:space="preserve">              </w:t>
      </w:r>
      <w:r>
        <w:rPr>
          <w:rFonts w:eastAsia="楷体_GB2312"/>
          <w:sz w:val="24"/>
        </w:rPr>
        <w:t>签发的我方工商营业执照副本复印件（加盖公章）一份</w:t>
      </w:r>
    </w:p>
    <w:p>
      <w:pPr>
        <w:spacing w:line="500" w:lineRule="exact"/>
        <w:ind w:firstLine="480" w:firstLineChars="200"/>
        <w:rPr>
          <w:rFonts w:eastAsia="楷体_GB2312"/>
          <w:sz w:val="24"/>
        </w:rPr>
      </w:pPr>
      <w:r>
        <w:rPr>
          <w:rFonts w:eastAsia="楷体_GB2312"/>
          <w:sz w:val="24"/>
        </w:rPr>
        <w:t>2、税务登记证（复印件）</w:t>
      </w:r>
    </w:p>
    <w:p>
      <w:pPr>
        <w:spacing w:line="500" w:lineRule="exact"/>
        <w:ind w:firstLine="504" w:firstLineChars="210"/>
        <w:rPr>
          <w:rFonts w:eastAsia="楷体_GB2312"/>
          <w:sz w:val="24"/>
        </w:rPr>
      </w:pPr>
      <w:r>
        <w:rPr>
          <w:rFonts w:eastAsia="楷体_GB2312"/>
          <w:sz w:val="24"/>
        </w:rPr>
        <w:t>3、法定代表人授权书</w:t>
      </w:r>
    </w:p>
    <w:p>
      <w:pPr>
        <w:spacing w:line="500" w:lineRule="exact"/>
        <w:ind w:firstLine="480" w:firstLineChars="200"/>
        <w:rPr>
          <w:rFonts w:eastAsia="楷体_GB2312"/>
          <w:sz w:val="24"/>
        </w:rPr>
      </w:pPr>
      <w:r>
        <w:rPr>
          <w:rFonts w:eastAsia="楷体_GB2312"/>
          <w:sz w:val="24"/>
        </w:rPr>
        <w:t>4、其他谈判小组或供应商认为需要提供的文件</w:t>
      </w:r>
    </w:p>
    <w:p>
      <w:pPr>
        <w:spacing w:line="500" w:lineRule="exact"/>
        <w:ind w:left="479" w:leftChars="228"/>
        <w:rPr>
          <w:rFonts w:eastAsia="楷体_GB2312"/>
          <w:sz w:val="24"/>
        </w:rPr>
      </w:pPr>
      <w:r>
        <w:rPr>
          <w:rFonts w:eastAsia="楷体_GB2312"/>
          <w:sz w:val="24"/>
        </w:rPr>
        <w:t>5、公司的基本情况（包括公司的规模、设备、人员结构和经营状况及相关项目的经验证明[须提供用户清单及所承担的内容、公司对本项目的优势等介绍]）</w:t>
      </w:r>
    </w:p>
    <w:p>
      <w:pPr>
        <w:spacing w:line="500" w:lineRule="exact"/>
        <w:ind w:left="479" w:leftChars="228" w:firstLine="24" w:firstLineChars="10"/>
        <w:rPr>
          <w:rFonts w:eastAsia="楷体_GB2312"/>
          <w:sz w:val="24"/>
        </w:rPr>
      </w:pPr>
      <w:r>
        <w:rPr>
          <w:rFonts w:eastAsia="楷体_GB2312"/>
          <w:sz w:val="24"/>
        </w:rPr>
        <w:t>6、提供截止</w:t>
      </w:r>
      <w:r>
        <w:rPr>
          <w:rFonts w:eastAsia="楷体_GB2312"/>
          <w:color w:val="FF0000"/>
          <w:sz w:val="24"/>
        </w:rPr>
        <w:t>201</w:t>
      </w:r>
      <w:r>
        <w:rPr>
          <w:rFonts w:hint="eastAsia" w:eastAsia="楷体_GB2312"/>
          <w:color w:val="FF0000"/>
          <w:sz w:val="24"/>
        </w:rPr>
        <w:t>9</w:t>
      </w:r>
      <w:r>
        <w:rPr>
          <w:rFonts w:eastAsia="楷体_GB2312"/>
          <w:color w:val="FF0000"/>
          <w:sz w:val="24"/>
        </w:rPr>
        <w:t>年</w:t>
      </w:r>
      <w:r>
        <w:rPr>
          <w:rFonts w:hint="eastAsia" w:eastAsia="楷体_GB2312"/>
          <w:color w:val="FF0000"/>
          <w:sz w:val="24"/>
        </w:rPr>
        <w:t>12</w:t>
      </w:r>
      <w:r>
        <w:rPr>
          <w:rFonts w:eastAsia="楷体_GB2312"/>
          <w:color w:val="FF0000"/>
          <w:sz w:val="24"/>
        </w:rPr>
        <w:t>月30日</w:t>
      </w:r>
      <w:r>
        <w:rPr>
          <w:rFonts w:eastAsia="楷体_GB2312"/>
          <w:sz w:val="24"/>
        </w:rPr>
        <w:t>的财务报表及</w:t>
      </w:r>
      <w:r>
        <w:rPr>
          <w:rFonts w:eastAsia="楷体_GB2312"/>
          <w:color w:val="FF0000"/>
          <w:sz w:val="24"/>
        </w:rPr>
        <w:t>201</w:t>
      </w:r>
      <w:r>
        <w:rPr>
          <w:rFonts w:hint="eastAsia" w:eastAsia="楷体_GB2312"/>
          <w:color w:val="FF0000"/>
          <w:sz w:val="24"/>
        </w:rPr>
        <w:t>9</w:t>
      </w:r>
      <w:r>
        <w:rPr>
          <w:rFonts w:eastAsia="楷体_GB2312"/>
          <w:color w:val="FF0000"/>
          <w:sz w:val="24"/>
        </w:rPr>
        <w:t>年</w:t>
      </w:r>
      <w:r>
        <w:rPr>
          <w:rFonts w:hint="eastAsia" w:eastAsia="楷体_GB2312"/>
          <w:color w:val="FF0000"/>
          <w:sz w:val="24"/>
        </w:rPr>
        <w:t>12</w:t>
      </w:r>
      <w:r>
        <w:rPr>
          <w:rFonts w:eastAsia="楷体_GB2312"/>
          <w:color w:val="FF0000"/>
          <w:sz w:val="24"/>
        </w:rPr>
        <w:t>月</w:t>
      </w:r>
      <w:r>
        <w:rPr>
          <w:rFonts w:eastAsia="楷体_GB2312"/>
          <w:sz w:val="24"/>
        </w:rPr>
        <w:t>的损益表（境外公司提供银行存款证明）</w:t>
      </w:r>
    </w:p>
    <w:p>
      <w:pPr>
        <w:spacing w:line="500" w:lineRule="exact"/>
        <w:ind w:left="479" w:leftChars="228"/>
        <w:rPr>
          <w:rFonts w:eastAsia="楷体_GB2312"/>
          <w:sz w:val="24"/>
        </w:rPr>
      </w:pPr>
      <w:r>
        <w:rPr>
          <w:rFonts w:eastAsia="楷体_GB2312"/>
          <w:sz w:val="24"/>
        </w:rPr>
        <w:t>7、谈判项目注明要求提供代理资质证明或厂商授权的，须按要求提供相关证明</w:t>
      </w:r>
    </w:p>
    <w:p>
      <w:pPr>
        <w:spacing w:line="500" w:lineRule="exact"/>
        <w:ind w:firstLine="480" w:firstLineChars="200"/>
        <w:rPr>
          <w:rFonts w:eastAsia="楷体_GB2312"/>
          <w:sz w:val="24"/>
        </w:rPr>
      </w:pPr>
      <w:r>
        <w:rPr>
          <w:rFonts w:eastAsia="楷体_GB2312"/>
          <w:sz w:val="24"/>
        </w:rPr>
        <w:t>8、其他</w:t>
      </w:r>
    </w:p>
    <w:p>
      <w:pPr>
        <w:spacing w:line="500" w:lineRule="exact"/>
        <w:ind w:left="540" w:firstLine="30"/>
        <w:rPr>
          <w:rFonts w:eastAsia="楷体_GB2312"/>
          <w:sz w:val="24"/>
        </w:rPr>
      </w:pPr>
      <w:r>
        <w:rPr>
          <w:rFonts w:eastAsia="楷体_GB2312"/>
          <w:sz w:val="24"/>
        </w:rPr>
        <w:t>本签字人确认谈判响应文件中关于资格的一切说明都是真实的、准确的。</w:t>
      </w:r>
    </w:p>
    <w:p>
      <w:pPr>
        <w:spacing w:line="500" w:lineRule="exact"/>
        <w:ind w:left="540" w:firstLine="30"/>
        <w:rPr>
          <w:rFonts w:eastAsia="楷体_GB2312"/>
          <w:sz w:val="24"/>
        </w:rPr>
      </w:pPr>
      <w:r>
        <w:rPr>
          <w:rFonts w:eastAsia="楷体_GB2312"/>
          <w:sz w:val="24"/>
        </w:rPr>
        <w:t>单位名称：</w:t>
      </w:r>
      <w:r>
        <w:rPr>
          <w:rFonts w:eastAsia="楷体_GB2312"/>
          <w:sz w:val="24"/>
          <w:u w:val="single"/>
        </w:rPr>
        <w:t xml:space="preserve">                                  </w:t>
      </w:r>
    </w:p>
    <w:p>
      <w:pPr>
        <w:spacing w:line="500" w:lineRule="exact"/>
        <w:ind w:left="540" w:firstLine="30"/>
        <w:rPr>
          <w:rFonts w:eastAsia="楷体_GB2312"/>
          <w:sz w:val="24"/>
        </w:rPr>
      </w:pPr>
      <w:r>
        <w:rPr>
          <w:rFonts w:eastAsia="楷体_GB2312"/>
          <w:sz w:val="24"/>
        </w:rPr>
        <w:t>单位地址：</w:t>
      </w:r>
      <w:r>
        <w:rPr>
          <w:rFonts w:eastAsia="楷体_GB2312"/>
          <w:sz w:val="24"/>
          <w:u w:val="single"/>
        </w:rPr>
        <w:t xml:space="preserve">                                  </w:t>
      </w:r>
    </w:p>
    <w:p>
      <w:pPr>
        <w:spacing w:line="500" w:lineRule="exact"/>
        <w:ind w:left="540" w:firstLine="30"/>
        <w:rPr>
          <w:rFonts w:eastAsia="楷体_GB2312"/>
          <w:sz w:val="24"/>
        </w:rPr>
      </w:pPr>
      <w:r>
        <w:rPr>
          <w:rFonts w:eastAsia="楷体_GB2312"/>
          <w:sz w:val="24"/>
        </w:rPr>
        <w:t>本资格声明函授权代表签字：</w:t>
      </w:r>
      <w:r>
        <w:rPr>
          <w:rFonts w:eastAsia="楷体_GB2312"/>
          <w:sz w:val="24"/>
          <w:u w:val="single"/>
        </w:rPr>
        <w:t xml:space="preserve">                  </w:t>
      </w:r>
    </w:p>
    <w:p>
      <w:pPr>
        <w:spacing w:line="500" w:lineRule="exact"/>
        <w:ind w:left="540" w:firstLine="30"/>
        <w:rPr>
          <w:rFonts w:eastAsia="楷体_GB2312"/>
          <w:sz w:val="24"/>
          <w:u w:val="single"/>
        </w:rPr>
      </w:pPr>
      <w:r>
        <w:rPr>
          <w:rFonts w:eastAsia="楷体_GB2312"/>
          <w:sz w:val="24"/>
        </w:rPr>
        <w:t>传真：</w:t>
      </w:r>
      <w:r>
        <w:rPr>
          <w:rFonts w:eastAsia="楷体_GB2312"/>
          <w:sz w:val="24"/>
          <w:u w:val="single"/>
        </w:rPr>
        <w:t xml:space="preserve">                </w:t>
      </w:r>
      <w:r>
        <w:rPr>
          <w:rFonts w:eastAsia="楷体_GB2312"/>
          <w:sz w:val="24"/>
        </w:rPr>
        <w:t>邮编：</w:t>
      </w:r>
      <w:r>
        <w:rPr>
          <w:rFonts w:eastAsia="楷体_GB2312"/>
          <w:sz w:val="24"/>
          <w:u w:val="single"/>
        </w:rPr>
        <w:t xml:space="preserve">                </w:t>
      </w:r>
    </w:p>
    <w:p>
      <w:pPr>
        <w:spacing w:line="500" w:lineRule="exact"/>
        <w:ind w:left="540" w:firstLine="30"/>
        <w:rPr>
          <w:rFonts w:eastAsia="楷体_GB2312"/>
          <w:sz w:val="24"/>
          <w:u w:val="single"/>
        </w:rPr>
      </w:pPr>
    </w:p>
    <w:p>
      <w:pPr>
        <w:spacing w:line="500" w:lineRule="exact"/>
        <w:ind w:left="540" w:firstLine="30"/>
        <w:rPr>
          <w:rFonts w:eastAsia="楷体_GB2312"/>
          <w:sz w:val="24"/>
          <w:u w:val="single"/>
        </w:rPr>
      </w:pPr>
    </w:p>
    <w:p>
      <w:pPr>
        <w:spacing w:line="500" w:lineRule="exact"/>
        <w:ind w:left="540" w:firstLine="30"/>
        <w:rPr>
          <w:rFonts w:eastAsia="楷体_GB2312"/>
          <w:sz w:val="24"/>
          <w:u w:val="single"/>
        </w:rPr>
      </w:pPr>
    </w:p>
    <w:p>
      <w:pPr>
        <w:spacing w:line="500" w:lineRule="exact"/>
        <w:rPr>
          <w:sz w:val="24"/>
        </w:rPr>
      </w:pPr>
      <w:r>
        <w:rPr>
          <w:sz w:val="24"/>
        </w:rPr>
        <w:t>附件八：</w:t>
      </w:r>
    </w:p>
    <w:p>
      <w:pPr>
        <w:spacing w:line="500" w:lineRule="exact"/>
        <w:jc w:val="center"/>
        <w:rPr>
          <w:rFonts w:eastAsia="楷体_GB2312"/>
          <w:b/>
          <w:sz w:val="32"/>
          <w:szCs w:val="32"/>
        </w:rPr>
      </w:pPr>
      <w:r>
        <w:rPr>
          <w:rFonts w:eastAsia="黑体"/>
          <w:b/>
          <w:sz w:val="32"/>
          <w:szCs w:val="32"/>
        </w:rPr>
        <w:t>投标方无不良信用记录及违法记录的书面声明（格式自拟）</w:t>
      </w:r>
    </w:p>
    <w:p>
      <w:pPr>
        <w:autoSpaceDE w:val="0"/>
        <w:autoSpaceDN w:val="0"/>
        <w:adjustRightInd w:val="0"/>
        <w:spacing w:line="360" w:lineRule="auto"/>
        <w:ind w:left="1079" w:leftChars="514"/>
        <w:rPr>
          <w:rFonts w:eastAsia="楷体_GB2312"/>
          <w:color w:val="FF0000"/>
          <w:sz w:val="28"/>
          <w:szCs w:val="28"/>
        </w:rPr>
      </w:pPr>
    </w:p>
    <w:p>
      <w:pPr>
        <w:autoSpaceDE w:val="0"/>
        <w:autoSpaceDN w:val="0"/>
        <w:adjustRightInd w:val="0"/>
        <w:spacing w:line="360" w:lineRule="auto"/>
        <w:ind w:left="1079" w:leftChars="514"/>
        <w:rPr>
          <w:rFonts w:eastAsia="楷体_GB2312"/>
          <w:sz w:val="24"/>
        </w:rPr>
      </w:pPr>
      <w:r>
        <w:rPr>
          <w:rFonts w:eastAsia="楷体_GB2312"/>
          <w:sz w:val="24"/>
        </w:rPr>
        <w:t>1、截止谈判响应文件签署之日前无不良信用记录的书面声明，并附上相应网站信用记录查询网页截图。</w:t>
      </w:r>
    </w:p>
    <w:p>
      <w:pPr>
        <w:autoSpaceDE w:val="0"/>
        <w:autoSpaceDN w:val="0"/>
        <w:adjustRightInd w:val="0"/>
        <w:spacing w:line="360" w:lineRule="auto"/>
        <w:ind w:left="1079" w:leftChars="514"/>
        <w:rPr>
          <w:rFonts w:eastAsia="楷体_GB2312"/>
          <w:sz w:val="24"/>
        </w:rPr>
      </w:pPr>
    </w:p>
    <w:p>
      <w:pPr>
        <w:autoSpaceDE w:val="0"/>
        <w:autoSpaceDN w:val="0"/>
        <w:adjustRightInd w:val="0"/>
        <w:spacing w:line="360" w:lineRule="auto"/>
        <w:ind w:left="1079" w:leftChars="514"/>
        <w:rPr>
          <w:rFonts w:eastAsia="楷体_GB2312"/>
          <w:sz w:val="24"/>
        </w:rPr>
      </w:pPr>
    </w:p>
    <w:p>
      <w:pPr>
        <w:autoSpaceDE w:val="0"/>
        <w:autoSpaceDN w:val="0"/>
        <w:adjustRightInd w:val="0"/>
        <w:spacing w:line="360" w:lineRule="auto"/>
        <w:ind w:left="1079" w:leftChars="514"/>
        <w:rPr>
          <w:rFonts w:eastAsia="楷体_GB2312"/>
          <w:sz w:val="24"/>
        </w:rPr>
      </w:pPr>
    </w:p>
    <w:p>
      <w:pPr>
        <w:autoSpaceDE w:val="0"/>
        <w:autoSpaceDN w:val="0"/>
        <w:adjustRightInd w:val="0"/>
        <w:spacing w:line="360" w:lineRule="auto"/>
        <w:ind w:left="1079" w:leftChars="514"/>
        <w:rPr>
          <w:rFonts w:eastAsia="楷体_GB2312"/>
          <w:sz w:val="24"/>
        </w:rPr>
      </w:pPr>
      <w:r>
        <w:rPr>
          <w:rFonts w:eastAsia="楷体_GB2312"/>
          <w:sz w:val="24"/>
        </w:rPr>
        <w:t>2、参加政府采购活动前三年内在经营活动中没有重大违法记录的书面声明；</w:t>
      </w:r>
    </w:p>
    <w:p>
      <w:pPr>
        <w:autoSpaceDE w:val="0"/>
        <w:autoSpaceDN w:val="0"/>
        <w:adjustRightInd w:val="0"/>
        <w:spacing w:line="360" w:lineRule="auto"/>
        <w:ind w:left="1079" w:leftChars="514"/>
        <w:rPr>
          <w:rFonts w:eastAsia="楷体_GB2312"/>
          <w:sz w:val="24"/>
        </w:rPr>
      </w:pPr>
    </w:p>
    <w:p>
      <w:pPr>
        <w:autoSpaceDE w:val="0"/>
        <w:autoSpaceDN w:val="0"/>
        <w:adjustRightInd w:val="0"/>
        <w:spacing w:line="360" w:lineRule="auto"/>
        <w:ind w:left="1079" w:leftChars="514"/>
        <w:rPr>
          <w:rFonts w:eastAsia="楷体_GB2312"/>
          <w:sz w:val="24"/>
        </w:rPr>
      </w:pPr>
    </w:p>
    <w:p>
      <w:pPr>
        <w:autoSpaceDE w:val="0"/>
        <w:autoSpaceDN w:val="0"/>
        <w:adjustRightInd w:val="0"/>
        <w:spacing w:line="360" w:lineRule="auto"/>
        <w:ind w:left="1079" w:leftChars="514"/>
        <w:rPr>
          <w:rFonts w:eastAsia="楷体_GB2312"/>
          <w:sz w:val="24"/>
        </w:rPr>
      </w:pPr>
    </w:p>
    <w:p>
      <w:pPr>
        <w:autoSpaceDE w:val="0"/>
        <w:autoSpaceDN w:val="0"/>
        <w:adjustRightInd w:val="0"/>
        <w:spacing w:line="360" w:lineRule="auto"/>
        <w:ind w:left="1079" w:leftChars="514"/>
        <w:rPr>
          <w:rFonts w:eastAsia="楷体_GB2312"/>
          <w:sz w:val="24"/>
        </w:rPr>
      </w:pPr>
    </w:p>
    <w:p>
      <w:pPr>
        <w:autoSpaceDE w:val="0"/>
        <w:autoSpaceDN w:val="0"/>
        <w:adjustRightInd w:val="0"/>
        <w:spacing w:line="360" w:lineRule="auto"/>
        <w:ind w:left="1079" w:leftChars="514"/>
        <w:rPr>
          <w:rFonts w:eastAsia="楷体_GB2312"/>
          <w:sz w:val="24"/>
        </w:rPr>
      </w:pPr>
      <w:r>
        <w:rPr>
          <w:rFonts w:eastAsia="楷体_GB2312"/>
          <w:sz w:val="24"/>
        </w:rPr>
        <w:t>3、法人代表及财务主管在本次采购活动前五年内没有刑事犯罪记录，没有行贿受贿或者偷税漏税等欺诈行为的书面声明；</w:t>
      </w:r>
    </w:p>
    <w:p>
      <w:pPr>
        <w:autoSpaceDE w:val="0"/>
        <w:autoSpaceDN w:val="0"/>
        <w:adjustRightInd w:val="0"/>
        <w:spacing w:line="360" w:lineRule="auto"/>
        <w:ind w:left="1079" w:leftChars="514"/>
        <w:rPr>
          <w:rFonts w:eastAsia="楷体_GB2312"/>
          <w:color w:val="FF0000"/>
          <w:sz w:val="28"/>
          <w:szCs w:val="28"/>
        </w:rPr>
        <w:sectPr>
          <w:headerReference r:id="rId13" w:type="default"/>
          <w:pgSz w:w="11906" w:h="16838"/>
          <w:pgMar w:top="1418" w:right="1531" w:bottom="1304" w:left="1797" w:header="851" w:footer="992" w:gutter="0"/>
          <w:cols w:space="720" w:num="1"/>
          <w:docGrid w:type="lines" w:linePitch="312" w:charSpace="0"/>
        </w:sectPr>
      </w:pPr>
    </w:p>
    <w:p>
      <w:pPr>
        <w:autoSpaceDE w:val="0"/>
        <w:autoSpaceDN w:val="0"/>
        <w:adjustRightInd w:val="0"/>
        <w:spacing w:line="360" w:lineRule="auto"/>
        <w:rPr>
          <w:rFonts w:eastAsia="楷体_GB2312"/>
          <w:sz w:val="28"/>
          <w:szCs w:val="28"/>
        </w:rPr>
      </w:pPr>
      <w:r>
        <w:rPr>
          <w:rFonts w:eastAsia="楷体_GB2312"/>
          <w:sz w:val="24"/>
        </w:rPr>
        <w:t xml:space="preserve">附件九：               </w:t>
      </w:r>
      <w:r>
        <w:rPr>
          <w:rFonts w:eastAsia="楷体_GB2312"/>
          <w:sz w:val="28"/>
          <w:szCs w:val="28"/>
        </w:rPr>
        <w:t xml:space="preserve">  </w:t>
      </w:r>
      <w:r>
        <w:rPr>
          <w:rFonts w:eastAsia="楷体_GB2312"/>
          <w:sz w:val="28"/>
          <w:szCs w:val="28"/>
          <w:lang w:val="zh-CN"/>
        </w:rPr>
        <w:t xml:space="preserve"> 谈判响应文件封面</w:t>
      </w:r>
    </w:p>
    <w:p>
      <w:pPr>
        <w:autoSpaceDE w:val="0"/>
        <w:autoSpaceDN w:val="0"/>
        <w:adjustRightInd w:val="0"/>
        <w:spacing w:line="360" w:lineRule="auto"/>
        <w:ind w:firstLine="7280"/>
        <w:rPr>
          <w:rFonts w:eastAsia="楷体_GB2312"/>
          <w:sz w:val="28"/>
          <w:szCs w:val="28"/>
        </w:rPr>
      </w:pPr>
      <w:r>
        <w:rPr>
          <w:rFonts w:eastAsia="楷体_GB2312"/>
          <w:sz w:val="28"/>
          <w:szCs w:val="28"/>
          <w:lang w:val="zh-CN"/>
        </w:rPr>
        <w:t>正</w:t>
      </w:r>
      <w:r>
        <w:rPr>
          <w:rFonts w:eastAsia="楷体_GB2312"/>
          <w:sz w:val="28"/>
          <w:szCs w:val="28"/>
        </w:rPr>
        <w:t>（</w:t>
      </w:r>
      <w:r>
        <w:rPr>
          <w:rFonts w:eastAsia="楷体_GB2312"/>
          <w:sz w:val="28"/>
          <w:szCs w:val="28"/>
          <w:lang w:val="zh-CN"/>
        </w:rPr>
        <w:t>副</w:t>
      </w:r>
      <w:r>
        <w:rPr>
          <w:rFonts w:eastAsia="楷体_GB2312"/>
          <w:sz w:val="28"/>
          <w:szCs w:val="28"/>
        </w:rPr>
        <w:t>）</w:t>
      </w:r>
      <w:r>
        <w:rPr>
          <w:rFonts w:eastAsia="楷体_GB2312"/>
          <w:sz w:val="28"/>
          <w:szCs w:val="28"/>
          <w:lang w:val="zh-CN"/>
        </w:rPr>
        <w:t>本</w:t>
      </w:r>
    </w:p>
    <w:p>
      <w:pPr>
        <w:autoSpaceDE w:val="0"/>
        <w:autoSpaceDN w:val="0"/>
        <w:adjustRightInd w:val="0"/>
        <w:spacing w:line="360" w:lineRule="auto"/>
        <w:ind w:firstLine="2380"/>
        <w:rPr>
          <w:rFonts w:eastAsia="楷体_GB2312"/>
          <w:sz w:val="28"/>
          <w:szCs w:val="28"/>
        </w:rPr>
      </w:pPr>
      <w:r>
        <w:rPr>
          <w:rFonts w:eastAsia="楷体_GB2312"/>
          <w:sz w:val="28"/>
          <w:szCs w:val="28"/>
          <w:lang w:val="zh-CN"/>
        </w:rPr>
        <w:t>项目名称：</w:t>
      </w:r>
    </w:p>
    <w:p>
      <w:pPr>
        <w:autoSpaceDE w:val="0"/>
        <w:autoSpaceDN w:val="0"/>
        <w:adjustRightInd w:val="0"/>
        <w:spacing w:line="360" w:lineRule="auto"/>
        <w:ind w:firstLine="2380"/>
        <w:rPr>
          <w:rFonts w:eastAsia="楷体_GB2312"/>
          <w:sz w:val="28"/>
          <w:szCs w:val="28"/>
        </w:rPr>
      </w:pPr>
      <w:r>
        <w:rPr>
          <w:rFonts w:eastAsia="楷体_GB2312"/>
          <w:sz w:val="28"/>
          <w:szCs w:val="28"/>
          <w:lang w:val="zh-CN"/>
        </w:rPr>
        <w:t>项目编号：</w:t>
      </w:r>
      <w:r>
        <w:rPr>
          <w:rFonts w:eastAsia="楷体_GB2312"/>
          <w:color w:val="FF0000"/>
          <w:sz w:val="28"/>
          <w:szCs w:val="28"/>
        </w:rPr>
        <w:t>ZUPC-XXXXXXX</w:t>
      </w:r>
    </w:p>
    <w:p>
      <w:pPr>
        <w:autoSpaceDE w:val="0"/>
        <w:autoSpaceDN w:val="0"/>
        <w:adjustRightInd w:val="0"/>
        <w:spacing w:line="360" w:lineRule="auto"/>
        <w:ind w:firstLine="2380"/>
        <w:rPr>
          <w:rFonts w:eastAsia="楷体_GB2312"/>
          <w:sz w:val="28"/>
          <w:szCs w:val="28"/>
        </w:rPr>
      </w:pPr>
      <w:r>
        <w:rPr>
          <w:rFonts w:eastAsia="楷体_GB2312"/>
          <w:sz w:val="28"/>
          <w:szCs w:val="28"/>
          <w:lang w:val="zh-CN"/>
        </w:rPr>
        <w:t>标项：（如标书有多个标项）</w:t>
      </w:r>
    </w:p>
    <w:p>
      <w:pPr>
        <w:autoSpaceDE w:val="0"/>
        <w:autoSpaceDN w:val="0"/>
        <w:adjustRightInd w:val="0"/>
        <w:spacing w:line="360" w:lineRule="auto"/>
        <w:jc w:val="center"/>
        <w:rPr>
          <w:rFonts w:eastAsia="楷体_GB2312"/>
          <w:sz w:val="28"/>
          <w:szCs w:val="28"/>
        </w:rPr>
      </w:pPr>
      <w:r>
        <w:rPr>
          <w:rFonts w:eastAsia="楷体_GB2312"/>
          <w:sz w:val="28"/>
          <w:szCs w:val="28"/>
        </w:rPr>
        <w:t>谈</w:t>
      </w:r>
    </w:p>
    <w:p>
      <w:pPr>
        <w:autoSpaceDE w:val="0"/>
        <w:autoSpaceDN w:val="0"/>
        <w:adjustRightInd w:val="0"/>
        <w:spacing w:line="360" w:lineRule="auto"/>
        <w:jc w:val="center"/>
        <w:rPr>
          <w:rFonts w:eastAsia="楷体_GB2312"/>
          <w:sz w:val="28"/>
          <w:szCs w:val="28"/>
        </w:rPr>
      </w:pPr>
      <w:r>
        <w:rPr>
          <w:rFonts w:eastAsia="楷体_GB2312"/>
          <w:sz w:val="28"/>
          <w:szCs w:val="28"/>
        </w:rPr>
        <w:t>判</w:t>
      </w:r>
    </w:p>
    <w:p>
      <w:pPr>
        <w:autoSpaceDE w:val="0"/>
        <w:autoSpaceDN w:val="0"/>
        <w:adjustRightInd w:val="0"/>
        <w:spacing w:line="360" w:lineRule="auto"/>
        <w:jc w:val="center"/>
        <w:rPr>
          <w:rFonts w:eastAsia="楷体_GB2312"/>
          <w:sz w:val="28"/>
          <w:szCs w:val="28"/>
        </w:rPr>
      </w:pPr>
      <w:r>
        <w:rPr>
          <w:rFonts w:eastAsia="楷体_GB2312"/>
          <w:sz w:val="28"/>
          <w:szCs w:val="28"/>
          <w:lang w:val="zh-CN"/>
        </w:rPr>
        <w:t>响</w:t>
      </w:r>
    </w:p>
    <w:p>
      <w:pPr>
        <w:autoSpaceDE w:val="0"/>
        <w:autoSpaceDN w:val="0"/>
        <w:adjustRightInd w:val="0"/>
        <w:spacing w:line="360" w:lineRule="auto"/>
        <w:jc w:val="center"/>
        <w:rPr>
          <w:rFonts w:eastAsia="楷体_GB2312"/>
          <w:sz w:val="28"/>
          <w:szCs w:val="28"/>
        </w:rPr>
      </w:pPr>
      <w:r>
        <w:rPr>
          <w:rFonts w:eastAsia="楷体_GB2312"/>
          <w:sz w:val="28"/>
          <w:szCs w:val="28"/>
          <w:lang w:val="zh-CN"/>
        </w:rPr>
        <w:t>应</w:t>
      </w:r>
    </w:p>
    <w:p>
      <w:pPr>
        <w:autoSpaceDE w:val="0"/>
        <w:autoSpaceDN w:val="0"/>
        <w:adjustRightInd w:val="0"/>
        <w:spacing w:line="360" w:lineRule="auto"/>
        <w:jc w:val="center"/>
        <w:rPr>
          <w:rFonts w:eastAsia="楷体_GB2312"/>
          <w:sz w:val="28"/>
          <w:szCs w:val="28"/>
        </w:rPr>
      </w:pPr>
      <w:r>
        <w:rPr>
          <w:rFonts w:eastAsia="楷体_GB2312"/>
          <w:sz w:val="28"/>
          <w:szCs w:val="28"/>
          <w:lang w:val="zh-CN"/>
        </w:rPr>
        <w:t>文</w:t>
      </w:r>
    </w:p>
    <w:p>
      <w:pPr>
        <w:autoSpaceDE w:val="0"/>
        <w:autoSpaceDN w:val="0"/>
        <w:adjustRightInd w:val="0"/>
        <w:spacing w:line="360" w:lineRule="auto"/>
        <w:jc w:val="center"/>
        <w:rPr>
          <w:rFonts w:eastAsia="楷体_GB2312"/>
          <w:sz w:val="28"/>
          <w:szCs w:val="28"/>
        </w:rPr>
      </w:pPr>
      <w:r>
        <w:rPr>
          <w:rFonts w:eastAsia="楷体_GB2312"/>
          <w:sz w:val="28"/>
          <w:szCs w:val="28"/>
          <w:lang w:val="zh-CN"/>
        </w:rPr>
        <w:t>件</w:t>
      </w:r>
    </w:p>
    <w:p>
      <w:pPr>
        <w:autoSpaceDE w:val="0"/>
        <w:autoSpaceDN w:val="0"/>
        <w:adjustRightInd w:val="0"/>
        <w:spacing w:line="360" w:lineRule="auto"/>
        <w:ind w:firstLine="2100"/>
        <w:rPr>
          <w:rFonts w:eastAsia="楷体_GB2312"/>
          <w:sz w:val="28"/>
          <w:szCs w:val="28"/>
        </w:rPr>
      </w:pPr>
    </w:p>
    <w:p>
      <w:pPr>
        <w:autoSpaceDE w:val="0"/>
        <w:autoSpaceDN w:val="0"/>
        <w:adjustRightInd w:val="0"/>
        <w:spacing w:line="360" w:lineRule="auto"/>
        <w:ind w:firstLine="2100"/>
        <w:rPr>
          <w:rFonts w:eastAsia="楷体_GB2312"/>
          <w:sz w:val="28"/>
          <w:szCs w:val="28"/>
        </w:rPr>
      </w:pPr>
    </w:p>
    <w:p>
      <w:pPr>
        <w:autoSpaceDE w:val="0"/>
        <w:autoSpaceDN w:val="0"/>
        <w:adjustRightInd w:val="0"/>
        <w:spacing w:line="360" w:lineRule="auto"/>
        <w:ind w:firstLine="2100"/>
        <w:rPr>
          <w:rFonts w:eastAsia="楷体_GB2312"/>
          <w:sz w:val="28"/>
          <w:szCs w:val="28"/>
        </w:rPr>
      </w:pPr>
    </w:p>
    <w:p>
      <w:pPr>
        <w:tabs>
          <w:tab w:val="left" w:pos="2268"/>
          <w:tab w:val="left" w:pos="2410"/>
        </w:tabs>
        <w:autoSpaceDE w:val="0"/>
        <w:autoSpaceDN w:val="0"/>
        <w:adjustRightInd w:val="0"/>
        <w:spacing w:after="156" w:line="360" w:lineRule="auto"/>
        <w:jc w:val="center"/>
        <w:rPr>
          <w:rFonts w:eastAsia="楷体_GB2312"/>
          <w:sz w:val="28"/>
          <w:szCs w:val="28"/>
        </w:rPr>
      </w:pPr>
      <w:r>
        <w:rPr>
          <w:rFonts w:eastAsia="楷体_GB2312"/>
          <w:sz w:val="28"/>
          <w:szCs w:val="28"/>
          <w:lang w:val="zh-CN"/>
        </w:rPr>
        <w:t xml:space="preserve">   谈判响应方全称：（加盖单位公章）</w:t>
      </w:r>
    </w:p>
    <w:p>
      <w:pPr>
        <w:autoSpaceDE w:val="0"/>
        <w:autoSpaceDN w:val="0"/>
        <w:adjustRightInd w:val="0"/>
        <w:spacing w:line="360" w:lineRule="auto"/>
        <w:jc w:val="center"/>
        <w:rPr>
          <w:rFonts w:eastAsia="楷体_GB2312"/>
          <w:sz w:val="28"/>
          <w:szCs w:val="28"/>
        </w:rPr>
      </w:pPr>
      <w:r>
        <w:rPr>
          <w:rFonts w:eastAsia="楷体_GB2312"/>
          <w:sz w:val="28"/>
          <w:szCs w:val="28"/>
        </w:rPr>
        <w:t xml:space="preserve">  201  </w:t>
      </w:r>
      <w:r>
        <w:rPr>
          <w:rFonts w:eastAsia="楷体_GB2312"/>
          <w:sz w:val="28"/>
          <w:szCs w:val="28"/>
          <w:lang w:val="zh-CN"/>
        </w:rPr>
        <w:t>年</w:t>
      </w:r>
      <w:r>
        <w:rPr>
          <w:rFonts w:eastAsia="楷体_GB2312"/>
          <w:sz w:val="28"/>
          <w:szCs w:val="28"/>
        </w:rPr>
        <w:t xml:space="preserve">  </w:t>
      </w:r>
      <w:r>
        <w:rPr>
          <w:rFonts w:eastAsia="楷体_GB2312"/>
          <w:sz w:val="28"/>
          <w:szCs w:val="28"/>
          <w:lang w:val="zh-CN"/>
        </w:rPr>
        <w:t>月</w:t>
      </w:r>
      <w:r>
        <w:rPr>
          <w:rFonts w:eastAsia="楷体_GB2312"/>
          <w:sz w:val="28"/>
          <w:szCs w:val="28"/>
        </w:rPr>
        <w:t xml:space="preserve">  </w:t>
      </w:r>
      <w:r>
        <w:rPr>
          <w:rFonts w:eastAsia="楷体_GB2312"/>
          <w:sz w:val="28"/>
          <w:szCs w:val="28"/>
          <w:lang w:val="zh-CN"/>
        </w:rPr>
        <w:t>日</w:t>
      </w:r>
    </w:p>
    <w:p>
      <w:pPr>
        <w:autoSpaceDE w:val="0"/>
        <w:autoSpaceDN w:val="0"/>
        <w:adjustRightInd w:val="0"/>
        <w:spacing w:line="360" w:lineRule="auto"/>
        <w:ind w:left="1079" w:leftChars="514"/>
        <w:rPr>
          <w:rFonts w:eastAsia="楷体_GB2312"/>
          <w:color w:val="FF0000"/>
          <w:sz w:val="28"/>
          <w:szCs w:val="28"/>
        </w:rPr>
      </w:pPr>
    </w:p>
    <w:p>
      <w:pPr>
        <w:autoSpaceDE w:val="0"/>
        <w:autoSpaceDN w:val="0"/>
        <w:adjustRightInd w:val="0"/>
        <w:spacing w:line="360" w:lineRule="auto"/>
        <w:ind w:left="1079" w:leftChars="514"/>
        <w:rPr>
          <w:rFonts w:eastAsia="楷体_GB2312"/>
          <w:color w:val="FF0000"/>
          <w:sz w:val="28"/>
          <w:szCs w:val="28"/>
        </w:rPr>
      </w:pPr>
    </w:p>
    <w:p>
      <w:pPr>
        <w:spacing w:line="500" w:lineRule="exact"/>
        <w:ind w:left="540" w:firstLine="30"/>
        <w:rPr>
          <w:rFonts w:eastAsia="楷体_GB2312"/>
          <w:sz w:val="24"/>
          <w:u w:val="single"/>
        </w:rPr>
        <w:sectPr>
          <w:pgSz w:w="11906" w:h="16838"/>
          <w:pgMar w:top="1418" w:right="1531" w:bottom="1304" w:left="1797" w:header="851" w:footer="992" w:gutter="0"/>
          <w:cols w:space="720" w:num="1"/>
          <w:docGrid w:type="lines" w:linePitch="312" w:charSpace="0"/>
        </w:sectPr>
      </w:pPr>
    </w:p>
    <w:p>
      <w:pPr>
        <w:pStyle w:val="6"/>
        <w:numPr>
          <w:ilvl w:val="0"/>
          <w:numId w:val="0"/>
        </w:numPr>
        <w:spacing w:line="500" w:lineRule="exact"/>
        <w:jc w:val="center"/>
        <w:rPr>
          <w:rFonts w:ascii="Times New Roman"/>
          <w:sz w:val="36"/>
        </w:rPr>
      </w:pPr>
      <w:bookmarkStart w:id="17" w:name="_Toc322331142"/>
      <w:bookmarkStart w:id="18" w:name="_Toc322331221"/>
      <w:bookmarkStart w:id="19" w:name="_Toc39049590"/>
      <w:r>
        <w:rPr>
          <w:rFonts w:ascii="Times New Roman"/>
          <w:sz w:val="36"/>
        </w:rPr>
        <w:t>四、单 一 来 源 谈 判 评 审 办 法</w:t>
      </w:r>
      <w:bookmarkEnd w:id="17"/>
      <w:bookmarkEnd w:id="18"/>
      <w:bookmarkEnd w:id="19"/>
    </w:p>
    <w:p>
      <w:pPr>
        <w:pStyle w:val="7"/>
      </w:pPr>
    </w:p>
    <w:p>
      <w:pPr>
        <w:numPr>
          <w:ilvl w:val="0"/>
          <w:numId w:val="3"/>
        </w:numPr>
        <w:spacing w:line="500" w:lineRule="exact"/>
        <w:rPr>
          <w:rFonts w:eastAsia="楷体_GB2312"/>
          <w:b/>
          <w:bCs/>
          <w:sz w:val="24"/>
        </w:rPr>
      </w:pPr>
      <w:r>
        <w:rPr>
          <w:rFonts w:eastAsia="楷体_GB2312"/>
          <w:b/>
          <w:bCs/>
          <w:sz w:val="24"/>
        </w:rPr>
        <w:t>谈判</w:t>
      </w:r>
    </w:p>
    <w:p>
      <w:pPr>
        <w:pStyle w:val="17"/>
        <w:snapToGrid w:val="0"/>
        <w:spacing w:line="500" w:lineRule="exact"/>
        <w:ind w:firstLine="480"/>
        <w:rPr>
          <w:rFonts w:ascii="Times New Roman" w:hAnsi="Times New Roman" w:eastAsia="楷体_GB2312"/>
          <w:sz w:val="24"/>
        </w:rPr>
      </w:pPr>
      <w:r>
        <w:rPr>
          <w:rFonts w:ascii="Times New Roman" w:hAnsi="Times New Roman" w:eastAsia="楷体_GB2312"/>
          <w:sz w:val="24"/>
        </w:rPr>
        <w:t xml:space="preserve">谈判在规定的时间和地点进行，谈判响应方须派代表参加。谈判前，将查验谈判响应文件密封情况，确认无误后拆封该文件。 </w:t>
      </w:r>
    </w:p>
    <w:p>
      <w:pPr>
        <w:pStyle w:val="17"/>
        <w:snapToGrid w:val="0"/>
        <w:spacing w:line="500" w:lineRule="exact"/>
        <w:rPr>
          <w:rFonts w:ascii="Times New Roman" w:hAnsi="Times New Roman" w:eastAsia="楷体_GB2312"/>
          <w:b/>
          <w:sz w:val="24"/>
        </w:rPr>
      </w:pPr>
      <w:r>
        <w:rPr>
          <w:rFonts w:ascii="Times New Roman" w:hAnsi="Times New Roman" w:eastAsia="楷体_GB2312"/>
          <w:b/>
          <w:sz w:val="24"/>
        </w:rPr>
        <w:t>2、谈判小组</w:t>
      </w:r>
    </w:p>
    <w:p>
      <w:pPr>
        <w:pStyle w:val="17"/>
        <w:snapToGrid w:val="0"/>
        <w:spacing w:line="500" w:lineRule="exact"/>
        <w:ind w:firstLine="480"/>
        <w:rPr>
          <w:rFonts w:ascii="Times New Roman" w:hAnsi="Times New Roman" w:eastAsia="楷体_GB2312"/>
          <w:sz w:val="24"/>
        </w:rPr>
      </w:pPr>
      <w:r>
        <w:rPr>
          <w:rFonts w:ascii="Times New Roman" w:hAnsi="Times New Roman" w:eastAsia="楷体_GB2312"/>
          <w:sz w:val="24"/>
        </w:rPr>
        <w:t>谈判小组由</w:t>
      </w:r>
      <w:r>
        <w:rPr>
          <w:rFonts w:ascii="Times New Roman" w:hAnsi="Times New Roman" w:eastAsia="楷体_GB2312"/>
          <w:sz w:val="24"/>
          <w:u w:val="single"/>
        </w:rPr>
        <w:t>3</w:t>
      </w:r>
      <w:r>
        <w:rPr>
          <w:rFonts w:ascii="Times New Roman" w:hAnsi="Times New Roman" w:eastAsia="楷体_GB2312"/>
          <w:sz w:val="24"/>
        </w:rPr>
        <w:t>人以上奇数的人员组成，谈判小组对谈判响应文件进行审查、质疑、评估和比较。谈判期间，谈判响应方法人代表或法人委托人</w:t>
      </w:r>
      <w:r>
        <w:rPr>
          <w:rFonts w:hint="eastAsia" w:ascii="Times New Roman" w:hAnsi="Times New Roman" w:eastAsia="楷体_GB2312"/>
          <w:sz w:val="24"/>
        </w:rPr>
        <w:t>需保持电话、钉钉畅通，</w:t>
      </w:r>
      <w:r>
        <w:rPr>
          <w:rFonts w:ascii="Times New Roman" w:hAnsi="Times New Roman" w:eastAsia="楷体_GB2312"/>
          <w:sz w:val="24"/>
        </w:rPr>
        <w:t>负责解答有关事宜。</w:t>
      </w:r>
    </w:p>
    <w:p>
      <w:pPr>
        <w:pStyle w:val="17"/>
        <w:snapToGrid w:val="0"/>
        <w:spacing w:line="500" w:lineRule="exact"/>
        <w:rPr>
          <w:rFonts w:ascii="Times New Roman" w:hAnsi="Times New Roman" w:eastAsia="楷体_GB2312"/>
          <w:b/>
          <w:sz w:val="24"/>
        </w:rPr>
      </w:pPr>
      <w:r>
        <w:rPr>
          <w:rFonts w:ascii="Times New Roman" w:hAnsi="Times New Roman" w:eastAsia="楷体_GB2312"/>
          <w:b/>
          <w:sz w:val="24"/>
        </w:rPr>
        <w:t>3、对谈判响应文件的审查和响应性的确定</w:t>
      </w:r>
    </w:p>
    <w:p>
      <w:pPr>
        <w:pStyle w:val="17"/>
        <w:snapToGrid w:val="0"/>
        <w:spacing w:line="500" w:lineRule="exact"/>
        <w:ind w:firstLine="480"/>
        <w:rPr>
          <w:rFonts w:ascii="Times New Roman" w:hAnsi="Times New Roman" w:eastAsia="楷体_GB2312"/>
          <w:sz w:val="24"/>
        </w:rPr>
      </w:pPr>
      <w:r>
        <w:rPr>
          <w:rFonts w:ascii="Times New Roman" w:hAnsi="Times New Roman" w:eastAsia="楷体_GB2312"/>
          <w:sz w:val="24"/>
        </w:rPr>
        <w:t>需方将组织审查谈判响应文件是否完整，是否有计算错误，文件是否恰当地签署。《初次报价表》上写明的单价和总价如有出入，以单价为准。如果确定谈判响应方无资格履行合同，将取消其谈判资格。</w:t>
      </w:r>
    </w:p>
    <w:p>
      <w:pPr>
        <w:pStyle w:val="17"/>
        <w:snapToGrid w:val="0"/>
        <w:spacing w:line="500" w:lineRule="exact"/>
        <w:rPr>
          <w:rFonts w:ascii="Times New Roman" w:hAnsi="Times New Roman" w:eastAsia="楷体_GB2312"/>
          <w:b/>
          <w:sz w:val="24"/>
        </w:rPr>
      </w:pPr>
      <w:r>
        <w:rPr>
          <w:rFonts w:ascii="Times New Roman" w:hAnsi="Times New Roman" w:eastAsia="楷体_GB2312"/>
          <w:b/>
          <w:sz w:val="24"/>
        </w:rPr>
        <w:t>4、谈判原则和方法</w:t>
      </w:r>
    </w:p>
    <w:p>
      <w:pPr>
        <w:pStyle w:val="17"/>
        <w:snapToGrid w:val="0"/>
        <w:spacing w:line="500" w:lineRule="exact"/>
        <w:ind w:firstLine="480"/>
        <w:rPr>
          <w:rFonts w:ascii="Times New Roman" w:hAnsi="Times New Roman" w:eastAsia="楷体_GB2312"/>
          <w:sz w:val="24"/>
        </w:rPr>
      </w:pPr>
      <w:r>
        <w:rPr>
          <w:rFonts w:ascii="Times New Roman" w:hAnsi="Times New Roman" w:eastAsia="楷体_GB2312"/>
          <w:sz w:val="24"/>
        </w:rPr>
        <w:t>谈判小组将遵循公开、公平、公正的原则，对谈判响应方提供货物的技术性能、交货期限、状态、售后服务、资信情况、履约能力等进行综合分析考评，由谈判小组综合评定，书面推荐成交者。</w:t>
      </w:r>
    </w:p>
    <w:p>
      <w:pPr>
        <w:pStyle w:val="17"/>
        <w:snapToGrid w:val="0"/>
        <w:spacing w:line="500" w:lineRule="exact"/>
        <w:ind w:firstLine="480"/>
        <w:rPr>
          <w:rFonts w:ascii="Times New Roman" w:hAnsi="Times New Roman" w:eastAsia="楷体_GB2312"/>
          <w:sz w:val="24"/>
        </w:rPr>
      </w:pPr>
      <w:r>
        <w:rPr>
          <w:rFonts w:ascii="Times New Roman" w:hAnsi="Times New Roman" w:eastAsia="楷体_GB2312"/>
          <w:sz w:val="24"/>
        </w:rPr>
        <w:t>客观﹑公正的对待所有谈判响应方，对所有谈判评价，均采用相同的程序和标准。在谈判期间，谈判响应方不得向谈判小组成员询问谈判情况，不得进行旨在影响谈判结果的活动。否则将废除其参加谈判资格。</w:t>
      </w:r>
    </w:p>
    <w:p>
      <w:pPr>
        <w:pStyle w:val="17"/>
        <w:snapToGrid w:val="0"/>
        <w:spacing w:line="500" w:lineRule="exact"/>
        <w:ind w:firstLine="570"/>
        <w:rPr>
          <w:rFonts w:ascii="Times New Roman" w:hAnsi="Times New Roman" w:eastAsia="楷体_GB2312"/>
          <w:sz w:val="24"/>
        </w:rPr>
      </w:pPr>
      <w:r>
        <w:rPr>
          <w:rFonts w:ascii="Times New Roman" w:hAnsi="Times New Roman" w:eastAsia="楷体_GB2312"/>
          <w:sz w:val="24"/>
        </w:rPr>
        <w:t>在谈判过程中，谈判小组成员不得与谈判响应方私下交换意见。在谈判工作结束后，凡与谈判情况有接触的任何人不得将谈判情况扩散出谈判小组成员之外。</w:t>
      </w:r>
    </w:p>
    <w:p>
      <w:pPr>
        <w:pStyle w:val="17"/>
        <w:snapToGrid w:val="0"/>
        <w:spacing w:line="500" w:lineRule="exact"/>
        <w:ind w:firstLine="570"/>
        <w:rPr>
          <w:rFonts w:ascii="Times New Roman" w:hAnsi="Times New Roman" w:eastAsia="楷体_GB2312"/>
          <w:sz w:val="24"/>
        </w:rPr>
      </w:pPr>
      <w:r>
        <w:rPr>
          <w:rFonts w:ascii="Times New Roman" w:hAnsi="Times New Roman" w:eastAsia="楷体_GB2312"/>
          <w:sz w:val="24"/>
        </w:rPr>
        <w:t>谈判小组不向未成交方解释不成交原因，不退还谈判文件。</w:t>
      </w:r>
    </w:p>
    <w:p>
      <w:pPr>
        <w:pStyle w:val="17"/>
        <w:snapToGrid w:val="0"/>
        <w:spacing w:line="500" w:lineRule="exact"/>
        <w:rPr>
          <w:rFonts w:ascii="Times New Roman" w:hAnsi="Times New Roman" w:eastAsia="楷体_GB2312"/>
          <w:b/>
          <w:sz w:val="24"/>
        </w:rPr>
      </w:pPr>
      <w:r>
        <w:rPr>
          <w:rFonts w:ascii="Times New Roman" w:hAnsi="Times New Roman" w:eastAsia="楷体_GB2312"/>
          <w:b/>
          <w:sz w:val="24"/>
        </w:rPr>
        <w:t>5、成交通知</w:t>
      </w:r>
    </w:p>
    <w:p>
      <w:pPr>
        <w:spacing w:line="500" w:lineRule="exact"/>
        <w:ind w:firstLine="480" w:firstLineChars="200"/>
        <w:rPr>
          <w:rFonts w:eastAsia="楷体_GB2312"/>
          <w:sz w:val="24"/>
        </w:rPr>
      </w:pPr>
      <w:r>
        <w:rPr>
          <w:rFonts w:eastAsia="楷体_GB2312"/>
          <w:sz w:val="24"/>
        </w:rPr>
        <w:t>谈判结束并形成谈判结果后，需方将于七个工作日内在浙江大学采购中心网上发布成交公告。</w:t>
      </w:r>
    </w:p>
    <w:p>
      <w:pPr>
        <w:pStyle w:val="17"/>
        <w:snapToGrid w:val="0"/>
        <w:spacing w:line="500" w:lineRule="exact"/>
        <w:rPr>
          <w:rFonts w:ascii="Times New Roman" w:hAnsi="Times New Roman" w:eastAsia="黑体"/>
          <w:b/>
          <w:sz w:val="44"/>
        </w:rPr>
      </w:pPr>
    </w:p>
    <w:p>
      <w:pPr>
        <w:pStyle w:val="17"/>
        <w:snapToGrid w:val="0"/>
        <w:spacing w:line="500" w:lineRule="exact"/>
        <w:rPr>
          <w:rFonts w:ascii="Times New Roman" w:hAnsi="Times New Roman" w:eastAsia="黑体"/>
          <w:b/>
          <w:sz w:val="44"/>
        </w:rPr>
        <w:sectPr>
          <w:headerReference r:id="rId14" w:type="default"/>
          <w:pgSz w:w="11906" w:h="16838"/>
          <w:pgMar w:top="1418" w:right="1531" w:bottom="1304" w:left="1797" w:header="851" w:footer="992" w:gutter="0"/>
          <w:cols w:space="720" w:num="1"/>
          <w:docGrid w:type="lines" w:linePitch="312" w:charSpace="0"/>
        </w:sectPr>
      </w:pPr>
      <w:r>
        <w:rPr>
          <w:rFonts w:ascii="Times New Roman" w:hAnsi="Times New Roman" w:eastAsia="楷体_GB2312"/>
          <w:b/>
          <w:sz w:val="24"/>
          <w:lang w:val="zh-CN"/>
        </w:rPr>
        <w:t>6、特别说明：成交公告公示期满后成交方应按时同需方签订技术协议、合同，若成交方放弃中标或未按时签订合同，需缴纳项目预算2%的赔偿金，同时采购方有权根据《中华人民共和国政府采购法》、《中华人民共和国政府采购法实施条例》等相关法律法规追究其相应的法律责任。</w:t>
      </w:r>
    </w:p>
    <w:p>
      <w:pPr>
        <w:pStyle w:val="6"/>
        <w:numPr>
          <w:ilvl w:val="0"/>
          <w:numId w:val="0"/>
        </w:numPr>
        <w:spacing w:line="500" w:lineRule="exact"/>
        <w:ind w:firstLine="22" w:firstLineChars="6"/>
        <w:jc w:val="center"/>
        <w:rPr>
          <w:rFonts w:ascii="Times New Roman"/>
          <w:sz w:val="36"/>
        </w:rPr>
      </w:pPr>
      <w:bookmarkStart w:id="20" w:name="_Toc39049591"/>
      <w:bookmarkStart w:id="21" w:name="_Toc322331143"/>
      <w:bookmarkStart w:id="22" w:name="_Toc322331222"/>
      <w:r>
        <w:rPr>
          <w:rFonts w:ascii="Times New Roman"/>
          <w:sz w:val="36"/>
        </w:rPr>
        <w:t>五、谈 判 要 点</w:t>
      </w:r>
      <w:bookmarkEnd w:id="20"/>
      <w:bookmarkEnd w:id="21"/>
      <w:bookmarkEnd w:id="22"/>
    </w:p>
    <w:p>
      <w:pPr>
        <w:pStyle w:val="7"/>
      </w:pPr>
    </w:p>
    <w:p>
      <w:pPr>
        <w:pStyle w:val="17"/>
        <w:snapToGrid w:val="0"/>
        <w:spacing w:line="500" w:lineRule="exact"/>
        <w:rPr>
          <w:rFonts w:ascii="Times New Roman" w:hAnsi="Times New Roman" w:eastAsia="楷体_GB2312"/>
          <w:b/>
          <w:sz w:val="24"/>
        </w:rPr>
      </w:pPr>
      <w:r>
        <w:rPr>
          <w:rFonts w:ascii="Times New Roman" w:hAnsi="Times New Roman" w:eastAsia="楷体_GB2312"/>
          <w:b/>
          <w:sz w:val="24"/>
        </w:rPr>
        <w:t>1、谈判响应文件的完整性和符合性审查：</w:t>
      </w:r>
    </w:p>
    <w:p>
      <w:pPr>
        <w:pStyle w:val="17"/>
        <w:snapToGrid w:val="0"/>
        <w:spacing w:line="500" w:lineRule="exact"/>
        <w:ind w:firstLine="420"/>
        <w:rPr>
          <w:rFonts w:ascii="Times New Roman" w:hAnsi="Times New Roman" w:eastAsia="楷体_GB2312"/>
          <w:bCs/>
          <w:sz w:val="24"/>
        </w:rPr>
      </w:pPr>
      <w:r>
        <w:rPr>
          <w:rFonts w:ascii="Times New Roman" w:hAnsi="Times New Roman" w:eastAsia="楷体_GB2312"/>
          <w:bCs/>
          <w:sz w:val="24"/>
        </w:rPr>
        <w:t>谈判响应文件是否按照谈判文件要求内容填写，有否遗漏，资格证明文件是否齐全。</w:t>
      </w:r>
    </w:p>
    <w:p>
      <w:pPr>
        <w:pStyle w:val="17"/>
        <w:snapToGrid w:val="0"/>
        <w:spacing w:line="500" w:lineRule="exact"/>
        <w:ind w:firstLine="570"/>
        <w:rPr>
          <w:rFonts w:ascii="Times New Roman" w:hAnsi="Times New Roman" w:eastAsia="楷体_GB2312"/>
          <w:bCs/>
          <w:sz w:val="24"/>
        </w:rPr>
      </w:pPr>
    </w:p>
    <w:p>
      <w:pPr>
        <w:pStyle w:val="17"/>
        <w:snapToGrid w:val="0"/>
        <w:spacing w:line="500" w:lineRule="exact"/>
        <w:rPr>
          <w:rFonts w:ascii="Times New Roman" w:hAnsi="Times New Roman" w:eastAsia="楷体_GB2312"/>
          <w:b/>
          <w:sz w:val="24"/>
        </w:rPr>
      </w:pPr>
      <w:r>
        <w:rPr>
          <w:rFonts w:ascii="Times New Roman" w:hAnsi="Times New Roman" w:eastAsia="楷体_GB2312"/>
          <w:b/>
          <w:sz w:val="24"/>
        </w:rPr>
        <w:t>2、技术方案、质量等针对本次项目的综合评审：</w:t>
      </w:r>
    </w:p>
    <w:p>
      <w:pPr>
        <w:pStyle w:val="17"/>
        <w:snapToGrid w:val="0"/>
        <w:spacing w:line="500" w:lineRule="exact"/>
        <w:ind w:firstLine="420"/>
        <w:rPr>
          <w:rFonts w:ascii="Times New Roman" w:hAnsi="Times New Roman"/>
          <w:bCs/>
          <w:sz w:val="28"/>
        </w:rPr>
      </w:pPr>
      <w:r>
        <w:rPr>
          <w:rFonts w:ascii="Times New Roman" w:hAnsi="Times New Roman" w:eastAsia="楷体_GB2312"/>
          <w:bCs/>
          <w:sz w:val="24"/>
        </w:rPr>
        <w:t>从技术性能、质量等各个方面综合考评。</w:t>
      </w:r>
    </w:p>
    <w:p>
      <w:pPr>
        <w:pStyle w:val="17"/>
        <w:snapToGrid w:val="0"/>
        <w:spacing w:line="500" w:lineRule="exact"/>
        <w:ind w:firstLine="570"/>
        <w:rPr>
          <w:rFonts w:ascii="Times New Roman" w:hAnsi="Times New Roman"/>
          <w:bCs/>
          <w:sz w:val="28"/>
        </w:rPr>
      </w:pPr>
    </w:p>
    <w:p>
      <w:pPr>
        <w:pStyle w:val="17"/>
        <w:snapToGrid w:val="0"/>
        <w:spacing w:line="500" w:lineRule="exact"/>
        <w:rPr>
          <w:rFonts w:ascii="Times New Roman" w:hAnsi="Times New Roman" w:eastAsia="楷体_GB2312"/>
          <w:b/>
          <w:sz w:val="24"/>
        </w:rPr>
      </w:pPr>
      <w:r>
        <w:rPr>
          <w:rFonts w:ascii="Times New Roman" w:hAnsi="Times New Roman" w:eastAsia="楷体_GB2312"/>
          <w:b/>
          <w:sz w:val="24"/>
        </w:rPr>
        <w:t>3、公司基本情况</w:t>
      </w:r>
    </w:p>
    <w:p>
      <w:pPr>
        <w:pStyle w:val="17"/>
        <w:snapToGrid w:val="0"/>
        <w:spacing w:line="500" w:lineRule="exact"/>
        <w:ind w:firstLine="420"/>
        <w:rPr>
          <w:rFonts w:ascii="Times New Roman" w:hAnsi="Times New Roman" w:eastAsia="楷体_GB2312"/>
          <w:sz w:val="24"/>
        </w:rPr>
      </w:pPr>
      <w:r>
        <w:rPr>
          <w:rFonts w:ascii="Times New Roman" w:hAnsi="Times New Roman" w:eastAsia="楷体_GB2312"/>
          <w:sz w:val="24"/>
        </w:rPr>
        <w:t>公司的规模、设备、人员结构和经营状况及成功案例等。</w:t>
      </w:r>
    </w:p>
    <w:p>
      <w:pPr>
        <w:pStyle w:val="17"/>
        <w:snapToGrid w:val="0"/>
        <w:spacing w:line="500" w:lineRule="exact"/>
        <w:ind w:firstLine="570"/>
        <w:rPr>
          <w:rFonts w:ascii="Times New Roman" w:hAnsi="Times New Roman" w:eastAsia="楷体_GB2312"/>
          <w:sz w:val="24"/>
        </w:rPr>
      </w:pPr>
    </w:p>
    <w:p>
      <w:pPr>
        <w:pStyle w:val="17"/>
        <w:snapToGrid w:val="0"/>
        <w:spacing w:line="500" w:lineRule="exact"/>
        <w:rPr>
          <w:rFonts w:ascii="Times New Roman" w:hAnsi="Times New Roman" w:eastAsia="楷体_GB2312"/>
          <w:b/>
          <w:bCs/>
          <w:sz w:val="24"/>
        </w:rPr>
      </w:pPr>
      <w:r>
        <w:rPr>
          <w:rFonts w:ascii="Times New Roman" w:hAnsi="Times New Roman" w:eastAsia="楷体_GB2312"/>
          <w:b/>
          <w:bCs/>
          <w:sz w:val="24"/>
        </w:rPr>
        <w:t>4、售后服务承诺</w:t>
      </w:r>
    </w:p>
    <w:p>
      <w:pPr>
        <w:pStyle w:val="17"/>
        <w:snapToGrid w:val="0"/>
        <w:spacing w:line="500" w:lineRule="exact"/>
        <w:rPr>
          <w:rFonts w:ascii="Times New Roman" w:hAnsi="Times New Roman" w:eastAsia="楷体_GB2312"/>
          <w:sz w:val="24"/>
        </w:rPr>
      </w:pPr>
    </w:p>
    <w:p>
      <w:pPr>
        <w:pStyle w:val="17"/>
        <w:snapToGrid w:val="0"/>
        <w:spacing w:line="500" w:lineRule="exact"/>
        <w:rPr>
          <w:rFonts w:ascii="Times New Roman" w:hAnsi="Times New Roman" w:eastAsia="楷体_GB2312"/>
          <w:b/>
          <w:bCs/>
          <w:sz w:val="24"/>
        </w:rPr>
      </w:pPr>
      <w:r>
        <w:rPr>
          <w:rFonts w:ascii="Times New Roman" w:hAnsi="Times New Roman" w:eastAsia="楷体_GB2312"/>
          <w:b/>
          <w:bCs/>
          <w:sz w:val="24"/>
        </w:rPr>
        <w:t>5、供货时间</w:t>
      </w:r>
    </w:p>
    <w:p>
      <w:pPr>
        <w:pStyle w:val="17"/>
        <w:snapToGrid w:val="0"/>
        <w:spacing w:line="500" w:lineRule="exact"/>
        <w:rPr>
          <w:rFonts w:ascii="Times New Roman" w:hAnsi="Times New Roman" w:eastAsia="楷体_GB2312"/>
          <w:sz w:val="24"/>
        </w:rPr>
      </w:pPr>
    </w:p>
    <w:p>
      <w:pPr>
        <w:pStyle w:val="17"/>
        <w:snapToGrid w:val="0"/>
        <w:spacing w:line="500" w:lineRule="exact"/>
        <w:rPr>
          <w:rFonts w:ascii="Times New Roman" w:hAnsi="Times New Roman" w:eastAsia="楷体_GB2312"/>
          <w:b/>
          <w:bCs/>
          <w:sz w:val="24"/>
        </w:rPr>
      </w:pPr>
      <w:r>
        <w:rPr>
          <w:rFonts w:ascii="Times New Roman" w:hAnsi="Times New Roman" w:eastAsia="楷体_GB2312"/>
          <w:b/>
          <w:bCs/>
          <w:sz w:val="24"/>
        </w:rPr>
        <w:t>6、最终报价</w:t>
      </w:r>
    </w:p>
    <w:p>
      <w:pPr>
        <w:pStyle w:val="17"/>
        <w:snapToGrid w:val="0"/>
        <w:spacing w:line="500" w:lineRule="exact"/>
        <w:rPr>
          <w:rFonts w:ascii="Times New Roman" w:hAnsi="Times New Roman" w:eastAsia="楷体_GB2312"/>
          <w:sz w:val="24"/>
        </w:rPr>
      </w:pPr>
    </w:p>
    <w:p>
      <w:pPr>
        <w:pStyle w:val="17"/>
        <w:snapToGrid w:val="0"/>
        <w:spacing w:line="500" w:lineRule="exact"/>
        <w:rPr>
          <w:rFonts w:ascii="Times New Roman" w:hAnsi="Times New Roman"/>
          <w:b/>
          <w:bCs/>
          <w:sz w:val="28"/>
        </w:rPr>
      </w:pPr>
      <w:r>
        <w:rPr>
          <w:rFonts w:ascii="Times New Roman" w:hAnsi="Times New Roman" w:eastAsia="楷体_GB2312"/>
          <w:b/>
          <w:bCs/>
          <w:sz w:val="24"/>
        </w:rPr>
        <w:t>7、付款方式：</w:t>
      </w:r>
      <w:r>
        <w:rPr>
          <w:rFonts w:ascii="Times New Roman" w:hAnsi="Times New Roman"/>
          <w:b/>
          <w:bCs/>
          <w:sz w:val="28"/>
        </w:rPr>
        <w:t xml:space="preserve"> </w:t>
      </w:r>
    </w:p>
    <w:p>
      <w:pPr>
        <w:pStyle w:val="17"/>
        <w:snapToGrid w:val="0"/>
        <w:spacing w:line="500" w:lineRule="exact"/>
        <w:rPr>
          <w:rFonts w:ascii="Times New Roman" w:hAnsi="Times New Roman"/>
          <w:b/>
          <w:bCs/>
          <w:sz w:val="28"/>
        </w:rPr>
      </w:pPr>
    </w:p>
    <w:p>
      <w:pPr>
        <w:pStyle w:val="17"/>
        <w:snapToGrid w:val="0"/>
        <w:spacing w:line="500" w:lineRule="exact"/>
        <w:rPr>
          <w:rFonts w:ascii="Times New Roman" w:hAnsi="Times New Roman" w:eastAsia="楷体_GB2312"/>
          <w:b/>
          <w:bCs/>
          <w:sz w:val="24"/>
        </w:rPr>
      </w:pPr>
      <w:r>
        <w:rPr>
          <w:rFonts w:ascii="Times New Roman" w:hAnsi="Times New Roman" w:eastAsia="楷体_GB2312"/>
          <w:b/>
          <w:bCs/>
          <w:sz w:val="24"/>
        </w:rPr>
        <w:t>8、有否特别承诺</w:t>
      </w:r>
    </w:p>
    <w:p>
      <w:pPr>
        <w:pStyle w:val="17"/>
        <w:snapToGrid w:val="0"/>
        <w:spacing w:line="500" w:lineRule="exact"/>
        <w:rPr>
          <w:rFonts w:ascii="Times New Roman" w:hAnsi="Times New Roman" w:eastAsia="楷体_GB2312"/>
          <w:sz w:val="24"/>
        </w:rPr>
      </w:pPr>
    </w:p>
    <w:p>
      <w:pPr>
        <w:pStyle w:val="17"/>
        <w:snapToGrid w:val="0"/>
        <w:spacing w:line="500" w:lineRule="exact"/>
        <w:rPr>
          <w:rFonts w:ascii="Times New Roman" w:hAnsi="Times New Roman" w:eastAsia="楷体_GB2312"/>
          <w:b/>
          <w:bCs/>
          <w:sz w:val="24"/>
        </w:rPr>
      </w:pPr>
      <w:r>
        <w:rPr>
          <w:rFonts w:ascii="Times New Roman" w:hAnsi="Times New Roman" w:eastAsia="楷体_GB2312"/>
          <w:b/>
          <w:bCs/>
          <w:sz w:val="24"/>
        </w:rPr>
        <w:t>9、其他</w:t>
      </w:r>
    </w:p>
    <w:p>
      <w:pPr>
        <w:pStyle w:val="6"/>
        <w:numPr>
          <w:ilvl w:val="0"/>
          <w:numId w:val="0"/>
        </w:numPr>
        <w:spacing w:line="500" w:lineRule="exact"/>
        <w:ind w:firstLine="22" w:firstLineChars="6"/>
        <w:jc w:val="center"/>
        <w:rPr>
          <w:rFonts w:ascii="Times New Roman"/>
          <w:sz w:val="36"/>
        </w:rPr>
        <w:sectPr>
          <w:headerReference r:id="rId15" w:type="default"/>
          <w:pgSz w:w="11906" w:h="16838"/>
          <w:pgMar w:top="1418" w:right="1531" w:bottom="1304" w:left="1797" w:header="851" w:footer="992" w:gutter="0"/>
          <w:cols w:space="720" w:num="1"/>
          <w:docGrid w:type="lines" w:linePitch="312" w:charSpace="0"/>
        </w:sectPr>
      </w:pPr>
    </w:p>
    <w:p>
      <w:pPr>
        <w:pStyle w:val="6"/>
        <w:numPr>
          <w:ilvl w:val="0"/>
          <w:numId w:val="0"/>
        </w:numPr>
        <w:spacing w:line="500" w:lineRule="exact"/>
        <w:ind w:firstLine="22" w:firstLineChars="6"/>
        <w:jc w:val="center"/>
        <w:rPr>
          <w:rFonts w:ascii="Times New Roman"/>
          <w:sz w:val="36"/>
        </w:rPr>
      </w:pPr>
      <w:bookmarkStart w:id="23" w:name="_Toc322331223"/>
      <w:bookmarkStart w:id="24" w:name="_Toc322331144"/>
      <w:bookmarkStart w:id="25" w:name="_Toc39049592"/>
      <w:r>
        <w:rPr>
          <w:rFonts w:ascii="Times New Roman"/>
          <w:sz w:val="36"/>
        </w:rPr>
        <w:t>六、合 同 范 本</w:t>
      </w:r>
      <w:bookmarkEnd w:id="23"/>
      <w:bookmarkEnd w:id="24"/>
      <w:bookmarkEnd w:id="25"/>
    </w:p>
    <w:p>
      <w:pPr>
        <w:pStyle w:val="4"/>
        <w:numPr>
          <w:ilvl w:val="0"/>
          <w:numId w:val="0"/>
        </w:numPr>
        <w:jc w:val="center"/>
        <w:rPr>
          <w:rFonts w:ascii="Times New Roman" w:hAnsi="Times New Roman" w:eastAsia="楷体_GB2312"/>
          <w:bCs/>
          <w:kern w:val="0"/>
          <w:sz w:val="32"/>
          <w:szCs w:val="32"/>
        </w:rPr>
      </w:pPr>
    </w:p>
    <w:tbl>
      <w:tblPr>
        <w:tblStyle w:val="26"/>
        <w:tblW w:w="0" w:type="auto"/>
        <w:tblInd w:w="0" w:type="dxa"/>
        <w:tblLayout w:type="fixed"/>
        <w:tblCellMar>
          <w:top w:w="0" w:type="dxa"/>
          <w:left w:w="108" w:type="dxa"/>
          <w:bottom w:w="0" w:type="dxa"/>
          <w:right w:w="108" w:type="dxa"/>
        </w:tblCellMar>
      </w:tblPr>
      <w:tblGrid>
        <w:gridCol w:w="5688"/>
        <w:gridCol w:w="4140"/>
      </w:tblGrid>
      <w:tr>
        <w:tblPrEx>
          <w:tblCellMar>
            <w:top w:w="0" w:type="dxa"/>
            <w:left w:w="108" w:type="dxa"/>
            <w:bottom w:w="0" w:type="dxa"/>
            <w:right w:w="108" w:type="dxa"/>
          </w:tblCellMar>
        </w:tblPrEx>
        <w:tc>
          <w:tcPr>
            <w:tcW w:w="5688" w:type="dxa"/>
            <w:tcBorders>
              <w:top w:val="nil"/>
              <w:left w:val="nil"/>
              <w:bottom w:val="nil"/>
              <w:right w:val="nil"/>
            </w:tcBorders>
            <w:vAlign w:val="center"/>
          </w:tcPr>
          <w:p>
            <w:pPr>
              <w:autoSpaceDE w:val="0"/>
              <w:autoSpaceDN w:val="0"/>
              <w:adjustRightInd w:val="0"/>
              <w:spacing w:line="360" w:lineRule="auto"/>
              <w:rPr>
                <w:rFonts w:eastAsia="楷体_GB2312"/>
                <w:color w:val="000000"/>
                <w:sz w:val="24"/>
              </w:rPr>
            </w:pPr>
            <w:r>
              <w:rPr>
                <w:rFonts w:eastAsia="楷体_GB2312"/>
                <w:color w:val="000000"/>
                <w:sz w:val="24"/>
                <w:lang w:val="zh-CN"/>
              </w:rPr>
              <w:t>供方</w:t>
            </w:r>
            <w:r>
              <w:rPr>
                <w:rFonts w:eastAsia="楷体_GB2312"/>
                <w:color w:val="000000"/>
                <w:sz w:val="24"/>
              </w:rPr>
              <w:t>：</w:t>
            </w:r>
          </w:p>
        </w:tc>
        <w:tc>
          <w:tcPr>
            <w:tcW w:w="4140" w:type="dxa"/>
            <w:tcBorders>
              <w:top w:val="nil"/>
              <w:left w:val="nil"/>
              <w:bottom w:val="nil"/>
              <w:right w:val="nil"/>
            </w:tcBorders>
            <w:vAlign w:val="center"/>
          </w:tcPr>
          <w:p>
            <w:pPr>
              <w:autoSpaceDE w:val="0"/>
              <w:autoSpaceDN w:val="0"/>
              <w:adjustRightInd w:val="0"/>
              <w:spacing w:line="360" w:lineRule="auto"/>
              <w:ind w:left="1056" w:hanging="1056"/>
              <w:rPr>
                <w:rFonts w:eastAsia="楷体_GB2312"/>
                <w:color w:val="000000"/>
                <w:sz w:val="24"/>
              </w:rPr>
            </w:pPr>
            <w:r>
              <w:rPr>
                <w:rFonts w:eastAsia="楷体_GB2312"/>
                <w:color w:val="000000"/>
                <w:sz w:val="24"/>
                <w:lang w:val="zh-CN"/>
              </w:rPr>
              <w:t>合同编号：</w:t>
            </w:r>
          </w:p>
        </w:tc>
      </w:tr>
      <w:tr>
        <w:tblPrEx>
          <w:tblCellMar>
            <w:top w:w="0" w:type="dxa"/>
            <w:left w:w="108" w:type="dxa"/>
            <w:bottom w:w="0" w:type="dxa"/>
            <w:right w:w="108" w:type="dxa"/>
          </w:tblCellMar>
        </w:tblPrEx>
        <w:tc>
          <w:tcPr>
            <w:tcW w:w="5688" w:type="dxa"/>
            <w:tcBorders>
              <w:top w:val="nil"/>
              <w:left w:val="nil"/>
              <w:bottom w:val="nil"/>
              <w:right w:val="nil"/>
            </w:tcBorders>
            <w:vAlign w:val="center"/>
          </w:tcPr>
          <w:p>
            <w:pPr>
              <w:autoSpaceDE w:val="0"/>
              <w:autoSpaceDN w:val="0"/>
              <w:adjustRightInd w:val="0"/>
              <w:spacing w:line="360" w:lineRule="auto"/>
              <w:rPr>
                <w:rFonts w:eastAsia="楷体_GB2312"/>
                <w:color w:val="000000"/>
                <w:sz w:val="24"/>
              </w:rPr>
            </w:pPr>
            <w:r>
              <w:rPr>
                <w:rFonts w:eastAsia="楷体_GB2312"/>
                <w:color w:val="000000"/>
                <w:sz w:val="24"/>
                <w:lang w:val="zh-CN"/>
              </w:rPr>
              <w:t>需方</w:t>
            </w:r>
            <w:r>
              <w:rPr>
                <w:rFonts w:eastAsia="楷体_GB2312"/>
                <w:color w:val="000000"/>
                <w:sz w:val="24"/>
              </w:rPr>
              <w:t>：</w:t>
            </w:r>
          </w:p>
        </w:tc>
        <w:tc>
          <w:tcPr>
            <w:tcW w:w="4140" w:type="dxa"/>
            <w:tcBorders>
              <w:top w:val="nil"/>
              <w:left w:val="nil"/>
              <w:bottom w:val="nil"/>
              <w:right w:val="nil"/>
            </w:tcBorders>
            <w:vAlign w:val="center"/>
          </w:tcPr>
          <w:p>
            <w:pPr>
              <w:autoSpaceDE w:val="0"/>
              <w:autoSpaceDN w:val="0"/>
              <w:adjustRightInd w:val="0"/>
              <w:spacing w:line="360" w:lineRule="auto"/>
              <w:rPr>
                <w:rFonts w:eastAsia="楷体_GB2312"/>
                <w:color w:val="000000"/>
                <w:sz w:val="24"/>
              </w:rPr>
            </w:pPr>
            <w:r>
              <w:rPr>
                <w:rFonts w:eastAsia="楷体_GB2312"/>
                <w:color w:val="000000"/>
                <w:sz w:val="24"/>
                <w:lang w:val="zh-CN"/>
              </w:rPr>
              <w:t>合同签约地：杭州</w:t>
            </w:r>
          </w:p>
        </w:tc>
      </w:tr>
      <w:tr>
        <w:tblPrEx>
          <w:tblCellMar>
            <w:top w:w="0" w:type="dxa"/>
            <w:left w:w="108" w:type="dxa"/>
            <w:bottom w:w="0" w:type="dxa"/>
            <w:right w:w="108" w:type="dxa"/>
          </w:tblCellMar>
        </w:tblPrEx>
        <w:tc>
          <w:tcPr>
            <w:tcW w:w="5688" w:type="dxa"/>
            <w:tcBorders>
              <w:top w:val="nil"/>
              <w:left w:val="nil"/>
              <w:bottom w:val="nil"/>
              <w:right w:val="nil"/>
            </w:tcBorders>
            <w:vAlign w:val="center"/>
          </w:tcPr>
          <w:p>
            <w:pPr>
              <w:autoSpaceDE w:val="0"/>
              <w:autoSpaceDN w:val="0"/>
              <w:adjustRightInd w:val="0"/>
              <w:spacing w:line="360" w:lineRule="auto"/>
              <w:rPr>
                <w:rFonts w:eastAsia="楷体_GB2312"/>
                <w:color w:val="000000"/>
                <w:sz w:val="24"/>
              </w:rPr>
            </w:pPr>
            <w:r>
              <w:rPr>
                <w:rFonts w:eastAsia="楷体_GB2312"/>
                <w:color w:val="000000"/>
                <w:sz w:val="24"/>
                <w:lang w:val="zh-CN"/>
              </w:rPr>
              <w:t>采购方：浙江大学采购中心</w:t>
            </w:r>
          </w:p>
        </w:tc>
        <w:tc>
          <w:tcPr>
            <w:tcW w:w="4140" w:type="dxa"/>
            <w:tcBorders>
              <w:top w:val="nil"/>
              <w:left w:val="nil"/>
              <w:bottom w:val="nil"/>
              <w:right w:val="nil"/>
            </w:tcBorders>
            <w:vAlign w:val="center"/>
          </w:tcPr>
          <w:p>
            <w:pPr>
              <w:autoSpaceDE w:val="0"/>
              <w:autoSpaceDN w:val="0"/>
              <w:adjustRightInd w:val="0"/>
              <w:spacing w:line="360" w:lineRule="auto"/>
              <w:ind w:left="2016" w:hanging="2016"/>
              <w:rPr>
                <w:rFonts w:eastAsia="楷体_GB2312"/>
                <w:color w:val="000000"/>
                <w:sz w:val="24"/>
              </w:rPr>
            </w:pPr>
            <w:r>
              <w:rPr>
                <w:rFonts w:eastAsia="楷体_GB2312"/>
                <w:color w:val="000000"/>
                <w:sz w:val="24"/>
                <w:lang w:val="zh-CN"/>
              </w:rPr>
              <w:t>签约日期：</w:t>
            </w:r>
            <w:r>
              <w:rPr>
                <w:rFonts w:eastAsia="楷体_GB2312"/>
                <w:color w:val="000000"/>
                <w:sz w:val="24"/>
              </w:rPr>
              <w:t xml:space="preserve">  </w:t>
            </w:r>
            <w:r>
              <w:rPr>
                <w:rFonts w:eastAsia="楷体_GB2312"/>
                <w:color w:val="000000"/>
                <w:sz w:val="24"/>
                <w:lang w:val="zh-CN"/>
              </w:rPr>
              <w:t>年</w:t>
            </w:r>
            <w:r>
              <w:rPr>
                <w:rFonts w:eastAsia="楷体_GB2312"/>
                <w:color w:val="000000"/>
                <w:sz w:val="24"/>
              </w:rPr>
              <w:t xml:space="preserve">  </w:t>
            </w:r>
            <w:r>
              <w:rPr>
                <w:rFonts w:eastAsia="楷体_GB2312"/>
                <w:color w:val="000000"/>
                <w:sz w:val="24"/>
                <w:lang w:val="zh-CN"/>
              </w:rPr>
              <w:t>月</w:t>
            </w:r>
            <w:r>
              <w:rPr>
                <w:rFonts w:eastAsia="楷体_GB2312"/>
                <w:color w:val="000000"/>
                <w:sz w:val="24"/>
              </w:rPr>
              <w:t xml:space="preserve">  </w:t>
            </w:r>
            <w:r>
              <w:rPr>
                <w:rFonts w:eastAsia="楷体_GB2312"/>
                <w:color w:val="000000"/>
                <w:sz w:val="24"/>
                <w:lang w:val="zh-CN"/>
              </w:rPr>
              <w:t>日</w:t>
            </w:r>
          </w:p>
        </w:tc>
      </w:tr>
    </w:tbl>
    <w:p>
      <w:pPr>
        <w:autoSpaceDE w:val="0"/>
        <w:autoSpaceDN w:val="0"/>
        <w:adjustRightInd w:val="0"/>
        <w:spacing w:line="360" w:lineRule="auto"/>
        <w:rPr>
          <w:rFonts w:eastAsia="楷体_GB2312"/>
          <w:color w:val="000000"/>
          <w:sz w:val="24"/>
        </w:rPr>
      </w:pPr>
    </w:p>
    <w:p>
      <w:pPr>
        <w:autoSpaceDE w:val="0"/>
        <w:autoSpaceDN w:val="0"/>
        <w:adjustRightInd w:val="0"/>
        <w:spacing w:line="360" w:lineRule="auto"/>
        <w:ind w:firstLine="560"/>
        <w:rPr>
          <w:rFonts w:eastAsia="楷体_GB2312"/>
          <w:color w:val="000000"/>
          <w:sz w:val="24"/>
        </w:rPr>
      </w:pPr>
      <w:r>
        <w:rPr>
          <w:rFonts w:eastAsia="楷体_GB2312"/>
          <w:color w:val="000000"/>
          <w:sz w:val="24"/>
          <w:lang w:val="zh-CN"/>
        </w:rPr>
        <w:t>浙江大学采购中心受</w:t>
      </w:r>
      <w:r>
        <w:rPr>
          <w:rFonts w:eastAsia="楷体_GB2312"/>
          <w:color w:val="000000"/>
          <w:sz w:val="24"/>
        </w:rPr>
        <w:t>××××××</w:t>
      </w:r>
      <w:r>
        <w:rPr>
          <w:rFonts w:eastAsia="楷体_GB2312"/>
          <w:color w:val="000000"/>
          <w:sz w:val="24"/>
          <w:lang w:val="zh-CN"/>
        </w:rPr>
        <w:t>委托，采购《</w:t>
      </w:r>
      <w:r>
        <w:rPr>
          <w:rFonts w:eastAsia="楷体_GB2312"/>
          <w:color w:val="000000"/>
          <w:sz w:val="24"/>
        </w:rPr>
        <w:t>××××××</w:t>
      </w:r>
      <w:r>
        <w:rPr>
          <w:rFonts w:eastAsia="楷体_GB2312"/>
          <w:color w:val="000000"/>
          <w:sz w:val="24"/>
          <w:lang w:val="zh-CN"/>
        </w:rPr>
        <w:t>》，经谈判，确定</w:t>
      </w:r>
      <w:r>
        <w:rPr>
          <w:rFonts w:eastAsia="楷体_GB2312"/>
          <w:color w:val="000000"/>
          <w:sz w:val="24"/>
        </w:rPr>
        <w:t>××××××</w:t>
      </w:r>
      <w:r>
        <w:rPr>
          <w:rFonts w:eastAsia="楷体_GB2312"/>
          <w:color w:val="000000"/>
          <w:sz w:val="24"/>
          <w:lang w:val="zh-CN"/>
        </w:rPr>
        <w:t>为供货单位。采购方和供方经协商，达成以下条款：</w:t>
      </w:r>
    </w:p>
    <w:p>
      <w:pPr>
        <w:autoSpaceDE w:val="0"/>
        <w:autoSpaceDN w:val="0"/>
        <w:adjustRightInd w:val="0"/>
        <w:spacing w:line="360" w:lineRule="auto"/>
        <w:rPr>
          <w:rFonts w:eastAsia="楷体_GB2312"/>
          <w:color w:val="000000"/>
          <w:sz w:val="24"/>
        </w:rPr>
      </w:pPr>
      <w:r>
        <w:rPr>
          <w:rFonts w:eastAsia="楷体_GB2312"/>
          <w:color w:val="000000"/>
          <w:sz w:val="24"/>
          <w:lang w:val="zh-CN"/>
        </w:rPr>
        <w:t>第一条、货物清单及合同价格</w:t>
      </w:r>
    </w:p>
    <w:tbl>
      <w:tblPr>
        <w:tblStyle w:val="26"/>
        <w:tblW w:w="0" w:type="auto"/>
        <w:tblInd w:w="108" w:type="dxa"/>
        <w:tblLayout w:type="fixed"/>
        <w:tblCellMar>
          <w:top w:w="0" w:type="dxa"/>
          <w:left w:w="108" w:type="dxa"/>
          <w:bottom w:w="0" w:type="dxa"/>
          <w:right w:w="108" w:type="dxa"/>
        </w:tblCellMar>
      </w:tblPr>
      <w:tblGrid>
        <w:gridCol w:w="900"/>
        <w:gridCol w:w="2160"/>
        <w:gridCol w:w="1260"/>
        <w:gridCol w:w="900"/>
        <w:gridCol w:w="720"/>
        <w:gridCol w:w="1620"/>
        <w:gridCol w:w="2160"/>
      </w:tblGrid>
      <w:tr>
        <w:tblPrEx>
          <w:tblCellMar>
            <w:top w:w="0" w:type="dxa"/>
            <w:left w:w="108" w:type="dxa"/>
            <w:bottom w:w="0" w:type="dxa"/>
            <w:right w:w="108" w:type="dxa"/>
          </w:tblCellMar>
        </w:tblPrEx>
        <w:trPr>
          <w:trHeight w:val="615" w:hRule="atLeast"/>
        </w:trPr>
        <w:tc>
          <w:tcPr>
            <w:tcW w:w="900" w:type="dxa"/>
            <w:tcBorders>
              <w:top w:val="single" w:color="auto" w:sz="6" w:space="0"/>
              <w:left w:val="single" w:color="auto" w:sz="6" w:space="0"/>
              <w:bottom w:val="single" w:color="auto" w:sz="6" w:space="0"/>
              <w:right w:val="single" w:color="auto" w:sz="6" w:space="0"/>
            </w:tcBorders>
            <w:vAlign w:val="center"/>
          </w:tcPr>
          <w:p>
            <w:pPr>
              <w:autoSpaceDE w:val="0"/>
              <w:autoSpaceDN w:val="0"/>
              <w:adjustRightInd w:val="0"/>
              <w:jc w:val="center"/>
              <w:rPr>
                <w:rFonts w:eastAsia="楷体_GB2312"/>
                <w:color w:val="000000"/>
                <w:sz w:val="24"/>
              </w:rPr>
            </w:pPr>
            <w:r>
              <w:rPr>
                <w:rFonts w:eastAsia="楷体_GB2312"/>
                <w:color w:val="000000"/>
                <w:sz w:val="24"/>
                <w:lang w:val="zh-CN"/>
              </w:rPr>
              <w:t>序号</w:t>
            </w:r>
          </w:p>
        </w:tc>
        <w:tc>
          <w:tcPr>
            <w:tcW w:w="2160" w:type="dxa"/>
            <w:tcBorders>
              <w:top w:val="single" w:color="auto" w:sz="6" w:space="0"/>
              <w:left w:val="single" w:color="auto" w:sz="6" w:space="0"/>
              <w:bottom w:val="single" w:color="auto" w:sz="6" w:space="0"/>
              <w:right w:val="single" w:color="auto" w:sz="6" w:space="0"/>
            </w:tcBorders>
            <w:vAlign w:val="center"/>
          </w:tcPr>
          <w:p>
            <w:pPr>
              <w:autoSpaceDE w:val="0"/>
              <w:autoSpaceDN w:val="0"/>
              <w:adjustRightInd w:val="0"/>
              <w:jc w:val="center"/>
              <w:rPr>
                <w:rFonts w:eastAsia="楷体_GB2312"/>
                <w:color w:val="000000"/>
                <w:sz w:val="24"/>
              </w:rPr>
            </w:pPr>
            <w:r>
              <w:rPr>
                <w:rFonts w:eastAsia="楷体_GB2312"/>
                <w:color w:val="000000"/>
                <w:sz w:val="24"/>
                <w:lang w:val="zh-CN"/>
              </w:rPr>
              <w:t>名</w:t>
            </w:r>
            <w:r>
              <w:rPr>
                <w:rFonts w:eastAsia="楷体_GB2312"/>
                <w:color w:val="000000"/>
                <w:sz w:val="24"/>
              </w:rPr>
              <w:t xml:space="preserve">  </w:t>
            </w:r>
            <w:r>
              <w:rPr>
                <w:rFonts w:eastAsia="楷体_GB2312"/>
                <w:color w:val="000000"/>
                <w:sz w:val="24"/>
                <w:lang w:val="zh-CN"/>
              </w:rPr>
              <w:t>称</w:t>
            </w:r>
          </w:p>
        </w:tc>
        <w:tc>
          <w:tcPr>
            <w:tcW w:w="1260" w:type="dxa"/>
            <w:tcBorders>
              <w:top w:val="single" w:color="auto" w:sz="6" w:space="0"/>
              <w:left w:val="single" w:color="auto" w:sz="6" w:space="0"/>
              <w:bottom w:val="single" w:color="auto" w:sz="6" w:space="0"/>
              <w:right w:val="single" w:color="auto" w:sz="6" w:space="0"/>
            </w:tcBorders>
            <w:vAlign w:val="center"/>
          </w:tcPr>
          <w:p>
            <w:pPr>
              <w:autoSpaceDE w:val="0"/>
              <w:autoSpaceDN w:val="0"/>
              <w:adjustRightInd w:val="0"/>
              <w:jc w:val="center"/>
              <w:rPr>
                <w:rFonts w:eastAsia="楷体_GB2312"/>
                <w:color w:val="000000"/>
                <w:sz w:val="24"/>
              </w:rPr>
            </w:pPr>
            <w:r>
              <w:rPr>
                <w:rFonts w:eastAsia="楷体_GB2312"/>
                <w:color w:val="000000"/>
                <w:sz w:val="24"/>
                <w:lang w:val="zh-CN"/>
              </w:rPr>
              <w:t>型号</w:t>
            </w:r>
          </w:p>
        </w:tc>
        <w:tc>
          <w:tcPr>
            <w:tcW w:w="900" w:type="dxa"/>
            <w:tcBorders>
              <w:top w:val="single" w:color="auto" w:sz="6" w:space="0"/>
              <w:left w:val="single" w:color="auto" w:sz="6" w:space="0"/>
              <w:bottom w:val="single" w:color="auto" w:sz="6" w:space="0"/>
              <w:right w:val="single" w:color="auto" w:sz="6" w:space="0"/>
            </w:tcBorders>
            <w:vAlign w:val="center"/>
          </w:tcPr>
          <w:p>
            <w:pPr>
              <w:autoSpaceDE w:val="0"/>
              <w:autoSpaceDN w:val="0"/>
              <w:adjustRightInd w:val="0"/>
              <w:jc w:val="center"/>
              <w:rPr>
                <w:rFonts w:eastAsia="楷体_GB2312"/>
                <w:color w:val="000000"/>
                <w:sz w:val="24"/>
              </w:rPr>
            </w:pPr>
            <w:r>
              <w:rPr>
                <w:rFonts w:eastAsia="楷体_GB2312"/>
                <w:color w:val="000000"/>
                <w:sz w:val="24"/>
                <w:lang w:val="zh-CN"/>
              </w:rPr>
              <w:t>单位</w:t>
            </w:r>
          </w:p>
        </w:tc>
        <w:tc>
          <w:tcPr>
            <w:tcW w:w="720" w:type="dxa"/>
            <w:tcBorders>
              <w:top w:val="single" w:color="auto" w:sz="6" w:space="0"/>
              <w:left w:val="single" w:color="auto" w:sz="6" w:space="0"/>
              <w:bottom w:val="single" w:color="auto" w:sz="6" w:space="0"/>
              <w:right w:val="single" w:color="auto" w:sz="6" w:space="0"/>
            </w:tcBorders>
            <w:vAlign w:val="center"/>
          </w:tcPr>
          <w:p>
            <w:pPr>
              <w:autoSpaceDE w:val="0"/>
              <w:autoSpaceDN w:val="0"/>
              <w:adjustRightInd w:val="0"/>
              <w:jc w:val="center"/>
              <w:rPr>
                <w:rFonts w:eastAsia="楷体_GB2312"/>
                <w:color w:val="000000"/>
                <w:sz w:val="24"/>
              </w:rPr>
            </w:pPr>
            <w:r>
              <w:rPr>
                <w:rFonts w:eastAsia="楷体_GB2312"/>
                <w:color w:val="000000"/>
                <w:sz w:val="24"/>
                <w:lang w:val="zh-CN"/>
              </w:rPr>
              <w:t>数量</w:t>
            </w:r>
          </w:p>
        </w:tc>
        <w:tc>
          <w:tcPr>
            <w:tcW w:w="1620" w:type="dxa"/>
            <w:tcBorders>
              <w:top w:val="single" w:color="auto" w:sz="6" w:space="0"/>
              <w:left w:val="single" w:color="auto" w:sz="6" w:space="0"/>
              <w:bottom w:val="single" w:color="auto" w:sz="6" w:space="0"/>
              <w:right w:val="single" w:color="auto" w:sz="6" w:space="0"/>
            </w:tcBorders>
            <w:vAlign w:val="center"/>
          </w:tcPr>
          <w:p>
            <w:pPr>
              <w:autoSpaceDE w:val="0"/>
              <w:autoSpaceDN w:val="0"/>
              <w:adjustRightInd w:val="0"/>
              <w:jc w:val="center"/>
              <w:rPr>
                <w:rFonts w:eastAsia="楷体_GB2312"/>
                <w:color w:val="000000"/>
                <w:sz w:val="24"/>
              </w:rPr>
            </w:pPr>
            <w:r>
              <w:rPr>
                <w:rFonts w:eastAsia="楷体_GB2312"/>
                <w:color w:val="000000"/>
                <w:sz w:val="24"/>
                <w:lang w:val="zh-CN"/>
              </w:rPr>
              <w:t>单</w:t>
            </w:r>
            <w:r>
              <w:rPr>
                <w:rFonts w:eastAsia="楷体_GB2312"/>
                <w:color w:val="000000"/>
                <w:sz w:val="24"/>
              </w:rPr>
              <w:t xml:space="preserve"> </w:t>
            </w:r>
            <w:r>
              <w:rPr>
                <w:rFonts w:eastAsia="楷体_GB2312"/>
                <w:color w:val="000000"/>
                <w:sz w:val="24"/>
                <w:lang w:val="zh-CN"/>
              </w:rPr>
              <w:t>价</w:t>
            </w:r>
          </w:p>
        </w:tc>
        <w:tc>
          <w:tcPr>
            <w:tcW w:w="2160" w:type="dxa"/>
            <w:tcBorders>
              <w:top w:val="single" w:color="auto" w:sz="6" w:space="0"/>
              <w:left w:val="single" w:color="auto" w:sz="6" w:space="0"/>
              <w:bottom w:val="single" w:color="auto" w:sz="6" w:space="0"/>
              <w:right w:val="single" w:color="auto" w:sz="6" w:space="0"/>
            </w:tcBorders>
            <w:vAlign w:val="center"/>
          </w:tcPr>
          <w:p>
            <w:pPr>
              <w:autoSpaceDE w:val="0"/>
              <w:autoSpaceDN w:val="0"/>
              <w:adjustRightInd w:val="0"/>
              <w:jc w:val="center"/>
              <w:rPr>
                <w:rFonts w:eastAsia="楷体_GB2312"/>
                <w:color w:val="000000"/>
                <w:sz w:val="24"/>
              </w:rPr>
            </w:pPr>
            <w:r>
              <w:rPr>
                <w:rFonts w:eastAsia="楷体_GB2312"/>
                <w:color w:val="000000"/>
                <w:sz w:val="24"/>
                <w:lang w:val="zh-CN"/>
              </w:rPr>
              <w:t>总金额</w:t>
            </w:r>
          </w:p>
        </w:tc>
      </w:tr>
      <w:tr>
        <w:tblPrEx>
          <w:tblCellMar>
            <w:top w:w="0" w:type="dxa"/>
            <w:left w:w="108" w:type="dxa"/>
            <w:bottom w:w="0" w:type="dxa"/>
            <w:right w:w="108" w:type="dxa"/>
          </w:tblCellMar>
        </w:tblPrEx>
        <w:trPr>
          <w:trHeight w:val="615" w:hRule="atLeast"/>
        </w:trPr>
        <w:tc>
          <w:tcPr>
            <w:tcW w:w="900" w:type="dxa"/>
            <w:tcBorders>
              <w:top w:val="single" w:color="auto" w:sz="6" w:space="0"/>
              <w:left w:val="single" w:color="auto" w:sz="6" w:space="0"/>
              <w:bottom w:val="single" w:color="auto" w:sz="6" w:space="0"/>
              <w:right w:val="single" w:color="auto" w:sz="6" w:space="0"/>
            </w:tcBorders>
            <w:vAlign w:val="center"/>
          </w:tcPr>
          <w:p>
            <w:pPr>
              <w:autoSpaceDE w:val="0"/>
              <w:autoSpaceDN w:val="0"/>
              <w:adjustRightInd w:val="0"/>
              <w:jc w:val="center"/>
              <w:rPr>
                <w:rFonts w:eastAsia="楷体_GB2312"/>
                <w:color w:val="000000"/>
                <w:sz w:val="24"/>
              </w:rPr>
            </w:pPr>
            <w:r>
              <w:rPr>
                <w:rFonts w:eastAsia="楷体_GB2312"/>
                <w:color w:val="000000"/>
                <w:sz w:val="24"/>
              </w:rPr>
              <w:t>1</w:t>
            </w:r>
          </w:p>
        </w:tc>
        <w:tc>
          <w:tcPr>
            <w:tcW w:w="2160" w:type="dxa"/>
            <w:tcBorders>
              <w:top w:val="single" w:color="auto" w:sz="6" w:space="0"/>
              <w:left w:val="single" w:color="auto" w:sz="6" w:space="0"/>
              <w:bottom w:val="single" w:color="auto" w:sz="6" w:space="0"/>
              <w:right w:val="single" w:color="auto" w:sz="6" w:space="0"/>
            </w:tcBorders>
            <w:vAlign w:val="center"/>
          </w:tcPr>
          <w:p>
            <w:pPr>
              <w:autoSpaceDE w:val="0"/>
              <w:autoSpaceDN w:val="0"/>
              <w:adjustRightInd w:val="0"/>
              <w:jc w:val="center"/>
              <w:rPr>
                <w:rFonts w:eastAsia="楷体_GB2312"/>
                <w:color w:val="000000"/>
                <w:sz w:val="24"/>
              </w:rPr>
            </w:pPr>
          </w:p>
        </w:tc>
        <w:tc>
          <w:tcPr>
            <w:tcW w:w="1260" w:type="dxa"/>
            <w:tcBorders>
              <w:top w:val="single" w:color="auto" w:sz="6" w:space="0"/>
              <w:left w:val="single" w:color="auto" w:sz="6" w:space="0"/>
              <w:bottom w:val="single" w:color="auto" w:sz="6" w:space="0"/>
              <w:right w:val="single" w:color="auto" w:sz="6" w:space="0"/>
            </w:tcBorders>
            <w:vAlign w:val="center"/>
          </w:tcPr>
          <w:p>
            <w:pPr>
              <w:keepNext/>
              <w:keepLines/>
              <w:tabs>
                <w:tab w:val="left" w:pos="360"/>
              </w:tabs>
              <w:autoSpaceDE w:val="0"/>
              <w:autoSpaceDN w:val="0"/>
              <w:adjustRightInd w:val="0"/>
              <w:spacing w:before="340" w:after="330" w:line="360" w:lineRule="auto"/>
              <w:jc w:val="left"/>
              <w:rPr>
                <w:rFonts w:eastAsia="楷体_GB2312"/>
                <w:color w:val="000000"/>
                <w:kern w:val="44"/>
                <w:sz w:val="24"/>
              </w:rPr>
            </w:pPr>
          </w:p>
        </w:tc>
        <w:tc>
          <w:tcPr>
            <w:tcW w:w="900" w:type="dxa"/>
            <w:tcBorders>
              <w:top w:val="single" w:color="auto" w:sz="6" w:space="0"/>
              <w:left w:val="single" w:color="auto" w:sz="6" w:space="0"/>
              <w:bottom w:val="single" w:color="auto" w:sz="6" w:space="0"/>
              <w:right w:val="single" w:color="auto" w:sz="6" w:space="0"/>
            </w:tcBorders>
            <w:vAlign w:val="center"/>
          </w:tcPr>
          <w:p>
            <w:pPr>
              <w:autoSpaceDE w:val="0"/>
              <w:autoSpaceDN w:val="0"/>
              <w:adjustRightInd w:val="0"/>
              <w:jc w:val="center"/>
              <w:rPr>
                <w:rFonts w:eastAsia="楷体_GB2312"/>
                <w:color w:val="000000"/>
                <w:sz w:val="24"/>
              </w:rPr>
            </w:pPr>
          </w:p>
        </w:tc>
        <w:tc>
          <w:tcPr>
            <w:tcW w:w="720" w:type="dxa"/>
            <w:tcBorders>
              <w:top w:val="single" w:color="auto" w:sz="6" w:space="0"/>
              <w:left w:val="single" w:color="auto" w:sz="6" w:space="0"/>
              <w:bottom w:val="single" w:color="auto" w:sz="6" w:space="0"/>
              <w:right w:val="single" w:color="auto" w:sz="6" w:space="0"/>
            </w:tcBorders>
            <w:vAlign w:val="center"/>
          </w:tcPr>
          <w:p>
            <w:pPr>
              <w:autoSpaceDE w:val="0"/>
              <w:autoSpaceDN w:val="0"/>
              <w:adjustRightInd w:val="0"/>
              <w:ind w:firstLine="280"/>
              <w:jc w:val="center"/>
              <w:rPr>
                <w:rFonts w:eastAsia="楷体_GB2312"/>
                <w:color w:val="000000"/>
                <w:sz w:val="24"/>
              </w:rPr>
            </w:pPr>
          </w:p>
        </w:tc>
        <w:tc>
          <w:tcPr>
            <w:tcW w:w="1620" w:type="dxa"/>
            <w:tcBorders>
              <w:top w:val="single" w:color="auto" w:sz="6" w:space="0"/>
              <w:left w:val="single" w:color="auto" w:sz="6" w:space="0"/>
              <w:bottom w:val="single" w:color="auto" w:sz="6" w:space="0"/>
              <w:right w:val="single" w:color="auto" w:sz="6" w:space="0"/>
            </w:tcBorders>
            <w:vAlign w:val="center"/>
          </w:tcPr>
          <w:p>
            <w:pPr>
              <w:autoSpaceDE w:val="0"/>
              <w:autoSpaceDN w:val="0"/>
              <w:adjustRightInd w:val="0"/>
              <w:jc w:val="center"/>
              <w:rPr>
                <w:rFonts w:eastAsia="楷体_GB2312"/>
                <w:color w:val="000000"/>
                <w:sz w:val="24"/>
              </w:rPr>
            </w:pPr>
          </w:p>
        </w:tc>
        <w:tc>
          <w:tcPr>
            <w:tcW w:w="2160" w:type="dxa"/>
            <w:tcBorders>
              <w:top w:val="single" w:color="auto" w:sz="6" w:space="0"/>
              <w:left w:val="single" w:color="auto" w:sz="6" w:space="0"/>
              <w:bottom w:val="single" w:color="auto" w:sz="6" w:space="0"/>
              <w:right w:val="single" w:color="auto" w:sz="6" w:space="0"/>
            </w:tcBorders>
            <w:vAlign w:val="center"/>
          </w:tcPr>
          <w:p>
            <w:pPr>
              <w:autoSpaceDE w:val="0"/>
              <w:autoSpaceDN w:val="0"/>
              <w:adjustRightInd w:val="0"/>
              <w:jc w:val="center"/>
              <w:rPr>
                <w:rFonts w:eastAsia="楷体_GB2312"/>
                <w:color w:val="000000"/>
                <w:sz w:val="24"/>
              </w:rPr>
            </w:pPr>
          </w:p>
        </w:tc>
      </w:tr>
      <w:tr>
        <w:tblPrEx>
          <w:tblCellMar>
            <w:top w:w="0" w:type="dxa"/>
            <w:left w:w="108" w:type="dxa"/>
            <w:bottom w:w="0" w:type="dxa"/>
            <w:right w:w="108" w:type="dxa"/>
          </w:tblCellMar>
        </w:tblPrEx>
        <w:trPr>
          <w:trHeight w:val="615" w:hRule="atLeast"/>
        </w:trPr>
        <w:tc>
          <w:tcPr>
            <w:tcW w:w="900" w:type="dxa"/>
            <w:tcBorders>
              <w:top w:val="single" w:color="auto" w:sz="6" w:space="0"/>
              <w:left w:val="single" w:color="auto" w:sz="6" w:space="0"/>
              <w:bottom w:val="single" w:color="auto" w:sz="6" w:space="0"/>
              <w:right w:val="single" w:color="auto" w:sz="6" w:space="0"/>
            </w:tcBorders>
            <w:vAlign w:val="center"/>
          </w:tcPr>
          <w:p>
            <w:pPr>
              <w:autoSpaceDE w:val="0"/>
              <w:autoSpaceDN w:val="0"/>
              <w:adjustRightInd w:val="0"/>
              <w:jc w:val="center"/>
              <w:rPr>
                <w:rFonts w:eastAsia="楷体_GB2312"/>
                <w:color w:val="000000"/>
                <w:sz w:val="24"/>
              </w:rPr>
            </w:pPr>
            <w:r>
              <w:rPr>
                <w:rFonts w:eastAsia="楷体_GB2312"/>
                <w:color w:val="000000"/>
                <w:sz w:val="24"/>
              </w:rPr>
              <w:t>2</w:t>
            </w:r>
          </w:p>
        </w:tc>
        <w:tc>
          <w:tcPr>
            <w:tcW w:w="2160" w:type="dxa"/>
            <w:tcBorders>
              <w:top w:val="single" w:color="auto" w:sz="6" w:space="0"/>
              <w:left w:val="single" w:color="auto" w:sz="6" w:space="0"/>
              <w:bottom w:val="single" w:color="auto" w:sz="6" w:space="0"/>
              <w:right w:val="single" w:color="auto" w:sz="6" w:space="0"/>
            </w:tcBorders>
            <w:vAlign w:val="center"/>
          </w:tcPr>
          <w:p>
            <w:pPr>
              <w:autoSpaceDE w:val="0"/>
              <w:autoSpaceDN w:val="0"/>
              <w:adjustRightInd w:val="0"/>
              <w:jc w:val="center"/>
              <w:rPr>
                <w:rFonts w:eastAsia="楷体_GB2312"/>
                <w:color w:val="000000"/>
                <w:sz w:val="24"/>
              </w:rPr>
            </w:pPr>
          </w:p>
        </w:tc>
        <w:tc>
          <w:tcPr>
            <w:tcW w:w="1260" w:type="dxa"/>
            <w:tcBorders>
              <w:top w:val="single" w:color="auto" w:sz="6" w:space="0"/>
              <w:left w:val="single" w:color="auto" w:sz="6" w:space="0"/>
              <w:bottom w:val="single" w:color="auto" w:sz="6" w:space="0"/>
              <w:right w:val="single" w:color="auto" w:sz="6" w:space="0"/>
            </w:tcBorders>
            <w:vAlign w:val="center"/>
          </w:tcPr>
          <w:p>
            <w:pPr>
              <w:keepNext/>
              <w:keepLines/>
              <w:tabs>
                <w:tab w:val="left" w:pos="360"/>
              </w:tabs>
              <w:autoSpaceDE w:val="0"/>
              <w:autoSpaceDN w:val="0"/>
              <w:adjustRightInd w:val="0"/>
              <w:spacing w:before="340" w:after="330" w:line="360" w:lineRule="auto"/>
              <w:jc w:val="left"/>
              <w:rPr>
                <w:rFonts w:eastAsia="楷体_GB2312"/>
                <w:color w:val="000000"/>
                <w:kern w:val="44"/>
                <w:sz w:val="24"/>
              </w:rPr>
            </w:pPr>
          </w:p>
        </w:tc>
        <w:tc>
          <w:tcPr>
            <w:tcW w:w="900" w:type="dxa"/>
            <w:tcBorders>
              <w:top w:val="single" w:color="auto" w:sz="6" w:space="0"/>
              <w:left w:val="single" w:color="auto" w:sz="6" w:space="0"/>
              <w:bottom w:val="single" w:color="auto" w:sz="6" w:space="0"/>
              <w:right w:val="single" w:color="auto" w:sz="6" w:space="0"/>
            </w:tcBorders>
            <w:vAlign w:val="center"/>
          </w:tcPr>
          <w:p>
            <w:pPr>
              <w:autoSpaceDE w:val="0"/>
              <w:autoSpaceDN w:val="0"/>
              <w:adjustRightInd w:val="0"/>
              <w:jc w:val="center"/>
              <w:rPr>
                <w:rFonts w:eastAsia="楷体_GB2312"/>
                <w:color w:val="000000"/>
                <w:sz w:val="24"/>
              </w:rPr>
            </w:pPr>
          </w:p>
        </w:tc>
        <w:tc>
          <w:tcPr>
            <w:tcW w:w="720" w:type="dxa"/>
            <w:tcBorders>
              <w:top w:val="single" w:color="auto" w:sz="6" w:space="0"/>
              <w:left w:val="single" w:color="auto" w:sz="6" w:space="0"/>
              <w:bottom w:val="single" w:color="auto" w:sz="6" w:space="0"/>
              <w:right w:val="single" w:color="auto" w:sz="6" w:space="0"/>
            </w:tcBorders>
            <w:vAlign w:val="center"/>
          </w:tcPr>
          <w:p>
            <w:pPr>
              <w:autoSpaceDE w:val="0"/>
              <w:autoSpaceDN w:val="0"/>
              <w:adjustRightInd w:val="0"/>
              <w:ind w:firstLine="280"/>
              <w:jc w:val="center"/>
              <w:rPr>
                <w:rFonts w:eastAsia="楷体_GB2312"/>
                <w:color w:val="000000"/>
                <w:sz w:val="24"/>
              </w:rPr>
            </w:pPr>
          </w:p>
        </w:tc>
        <w:tc>
          <w:tcPr>
            <w:tcW w:w="1620" w:type="dxa"/>
            <w:tcBorders>
              <w:top w:val="single" w:color="auto" w:sz="6" w:space="0"/>
              <w:left w:val="single" w:color="auto" w:sz="6" w:space="0"/>
              <w:bottom w:val="single" w:color="auto" w:sz="6" w:space="0"/>
              <w:right w:val="single" w:color="auto" w:sz="6" w:space="0"/>
            </w:tcBorders>
            <w:vAlign w:val="center"/>
          </w:tcPr>
          <w:p>
            <w:pPr>
              <w:autoSpaceDE w:val="0"/>
              <w:autoSpaceDN w:val="0"/>
              <w:adjustRightInd w:val="0"/>
              <w:jc w:val="center"/>
              <w:rPr>
                <w:rFonts w:eastAsia="楷体_GB2312"/>
                <w:color w:val="000000"/>
                <w:sz w:val="24"/>
              </w:rPr>
            </w:pPr>
          </w:p>
        </w:tc>
        <w:tc>
          <w:tcPr>
            <w:tcW w:w="2160" w:type="dxa"/>
            <w:tcBorders>
              <w:top w:val="single" w:color="auto" w:sz="6" w:space="0"/>
              <w:left w:val="single" w:color="auto" w:sz="6" w:space="0"/>
              <w:bottom w:val="single" w:color="auto" w:sz="6" w:space="0"/>
              <w:right w:val="single" w:color="auto" w:sz="6" w:space="0"/>
            </w:tcBorders>
            <w:vAlign w:val="center"/>
          </w:tcPr>
          <w:p>
            <w:pPr>
              <w:autoSpaceDE w:val="0"/>
              <w:autoSpaceDN w:val="0"/>
              <w:adjustRightInd w:val="0"/>
              <w:jc w:val="center"/>
              <w:rPr>
                <w:rFonts w:eastAsia="楷体_GB2312"/>
                <w:color w:val="000000"/>
                <w:sz w:val="24"/>
              </w:rPr>
            </w:pPr>
          </w:p>
        </w:tc>
      </w:tr>
      <w:tr>
        <w:tblPrEx>
          <w:tblCellMar>
            <w:top w:w="0" w:type="dxa"/>
            <w:left w:w="108" w:type="dxa"/>
            <w:bottom w:w="0" w:type="dxa"/>
            <w:right w:w="108" w:type="dxa"/>
          </w:tblCellMar>
        </w:tblPrEx>
        <w:trPr>
          <w:trHeight w:val="615" w:hRule="atLeast"/>
        </w:trPr>
        <w:tc>
          <w:tcPr>
            <w:tcW w:w="3060" w:type="dxa"/>
            <w:gridSpan w:val="2"/>
            <w:tcBorders>
              <w:top w:val="single" w:color="auto" w:sz="6" w:space="0"/>
              <w:left w:val="single" w:color="auto" w:sz="6" w:space="0"/>
              <w:bottom w:val="single" w:color="auto" w:sz="6" w:space="0"/>
              <w:right w:val="single" w:color="auto" w:sz="6" w:space="0"/>
            </w:tcBorders>
            <w:vAlign w:val="center"/>
          </w:tcPr>
          <w:p>
            <w:pPr>
              <w:autoSpaceDE w:val="0"/>
              <w:autoSpaceDN w:val="0"/>
              <w:adjustRightInd w:val="0"/>
              <w:jc w:val="center"/>
              <w:rPr>
                <w:rFonts w:eastAsia="楷体_GB2312"/>
                <w:color w:val="000000"/>
                <w:sz w:val="24"/>
              </w:rPr>
            </w:pPr>
            <w:r>
              <w:rPr>
                <w:rFonts w:eastAsia="楷体_GB2312"/>
                <w:color w:val="000000"/>
                <w:sz w:val="24"/>
                <w:lang w:val="zh-CN"/>
              </w:rPr>
              <w:t>合</w:t>
            </w:r>
            <w:r>
              <w:rPr>
                <w:rFonts w:eastAsia="楷体_GB2312"/>
                <w:color w:val="000000"/>
                <w:sz w:val="24"/>
              </w:rPr>
              <w:t xml:space="preserve"> </w:t>
            </w:r>
            <w:r>
              <w:rPr>
                <w:rFonts w:eastAsia="楷体_GB2312"/>
                <w:color w:val="000000"/>
                <w:sz w:val="24"/>
                <w:lang w:val="zh-CN"/>
              </w:rPr>
              <w:t>同</w:t>
            </w:r>
            <w:r>
              <w:rPr>
                <w:rFonts w:eastAsia="楷体_GB2312"/>
                <w:color w:val="000000"/>
                <w:sz w:val="24"/>
              </w:rPr>
              <w:t xml:space="preserve"> </w:t>
            </w:r>
            <w:r>
              <w:rPr>
                <w:rFonts w:eastAsia="楷体_GB2312"/>
                <w:color w:val="000000"/>
                <w:sz w:val="24"/>
                <w:lang w:val="zh-CN"/>
              </w:rPr>
              <w:t>总</w:t>
            </w:r>
            <w:r>
              <w:rPr>
                <w:rFonts w:eastAsia="楷体_GB2312"/>
                <w:color w:val="000000"/>
                <w:sz w:val="24"/>
              </w:rPr>
              <w:t xml:space="preserve"> </w:t>
            </w:r>
            <w:r>
              <w:rPr>
                <w:rFonts w:eastAsia="楷体_GB2312"/>
                <w:color w:val="000000"/>
                <w:sz w:val="24"/>
                <w:lang w:val="zh-CN"/>
              </w:rPr>
              <w:t>价</w:t>
            </w:r>
          </w:p>
        </w:tc>
        <w:tc>
          <w:tcPr>
            <w:tcW w:w="6660" w:type="dxa"/>
            <w:gridSpan w:val="5"/>
            <w:tcBorders>
              <w:top w:val="single" w:color="auto" w:sz="6" w:space="0"/>
              <w:left w:val="single" w:color="auto" w:sz="6" w:space="0"/>
              <w:bottom w:val="single" w:color="auto" w:sz="6" w:space="0"/>
              <w:right w:val="single" w:color="auto" w:sz="6" w:space="0"/>
            </w:tcBorders>
            <w:vAlign w:val="center"/>
          </w:tcPr>
          <w:p>
            <w:pPr>
              <w:autoSpaceDE w:val="0"/>
              <w:autoSpaceDN w:val="0"/>
              <w:adjustRightInd w:val="0"/>
              <w:rPr>
                <w:rFonts w:eastAsia="楷体_GB2312"/>
                <w:color w:val="000000"/>
                <w:sz w:val="24"/>
              </w:rPr>
            </w:pPr>
          </w:p>
        </w:tc>
      </w:tr>
    </w:tbl>
    <w:p>
      <w:pPr>
        <w:autoSpaceDE w:val="0"/>
        <w:autoSpaceDN w:val="0"/>
        <w:adjustRightInd w:val="0"/>
        <w:spacing w:line="360" w:lineRule="auto"/>
        <w:rPr>
          <w:rFonts w:eastAsia="楷体_GB2312"/>
          <w:color w:val="000000"/>
          <w:sz w:val="24"/>
        </w:rPr>
      </w:pPr>
      <w:r>
        <w:rPr>
          <w:rFonts w:eastAsia="楷体_GB2312"/>
          <w:color w:val="000000"/>
          <w:sz w:val="24"/>
          <w:lang w:val="zh-CN"/>
        </w:rPr>
        <w:t>注</w:t>
      </w:r>
      <w:r>
        <w:rPr>
          <w:rFonts w:eastAsia="楷体_GB2312"/>
          <w:color w:val="000000"/>
          <w:sz w:val="24"/>
        </w:rPr>
        <w:t>：（</w:t>
      </w:r>
      <w:r>
        <w:rPr>
          <w:rFonts w:eastAsia="楷体_GB2312"/>
          <w:color w:val="000000"/>
          <w:sz w:val="24"/>
          <w:lang w:val="zh-CN"/>
        </w:rPr>
        <w:t>一</w:t>
      </w:r>
      <w:r>
        <w:rPr>
          <w:rFonts w:eastAsia="楷体_GB2312"/>
          <w:color w:val="000000"/>
          <w:sz w:val="24"/>
        </w:rPr>
        <w:t>）</w:t>
      </w:r>
      <w:r>
        <w:rPr>
          <w:rFonts w:eastAsia="楷体_GB2312"/>
          <w:color w:val="000000"/>
          <w:sz w:val="24"/>
          <w:lang w:val="zh-CN"/>
        </w:rPr>
        <w:t>需方地址</w:t>
      </w:r>
      <w:r>
        <w:rPr>
          <w:rFonts w:eastAsia="楷体_GB2312"/>
          <w:color w:val="000000"/>
          <w:sz w:val="24"/>
        </w:rPr>
        <w:t>：</w:t>
      </w:r>
    </w:p>
    <w:p>
      <w:pPr>
        <w:autoSpaceDE w:val="0"/>
        <w:autoSpaceDN w:val="0"/>
        <w:adjustRightInd w:val="0"/>
        <w:spacing w:line="360" w:lineRule="auto"/>
        <w:ind w:firstLine="420"/>
        <w:rPr>
          <w:rFonts w:eastAsia="楷体_GB2312"/>
          <w:color w:val="000000"/>
          <w:sz w:val="24"/>
        </w:rPr>
      </w:pPr>
      <w:r>
        <w:rPr>
          <w:rFonts w:eastAsia="楷体_GB2312"/>
          <w:color w:val="000000"/>
          <w:sz w:val="24"/>
          <w:lang w:val="zh-CN"/>
        </w:rPr>
        <w:t>（二）合同总价包括设备费、运费、保险费、安装调试费、培训费和正常使用必备的附件等费用。</w:t>
      </w:r>
    </w:p>
    <w:p>
      <w:pPr>
        <w:autoSpaceDE w:val="0"/>
        <w:autoSpaceDN w:val="0"/>
        <w:adjustRightInd w:val="0"/>
        <w:spacing w:line="360" w:lineRule="auto"/>
        <w:ind w:firstLine="420"/>
        <w:rPr>
          <w:rFonts w:eastAsia="楷体_GB2312"/>
          <w:color w:val="000000"/>
          <w:sz w:val="24"/>
        </w:rPr>
      </w:pPr>
      <w:r>
        <w:rPr>
          <w:rFonts w:eastAsia="楷体_GB2312"/>
          <w:color w:val="000000"/>
          <w:sz w:val="24"/>
          <w:lang w:val="zh-CN"/>
        </w:rPr>
        <w:t>（三）货物清单、材质说明及设计图纸详见附件《技术协议书》。</w:t>
      </w:r>
    </w:p>
    <w:p>
      <w:pPr>
        <w:autoSpaceDE w:val="0"/>
        <w:autoSpaceDN w:val="0"/>
        <w:adjustRightInd w:val="0"/>
        <w:spacing w:line="360" w:lineRule="auto"/>
        <w:rPr>
          <w:rFonts w:eastAsia="楷体_GB2312"/>
          <w:color w:val="000000"/>
          <w:sz w:val="24"/>
        </w:rPr>
      </w:pPr>
      <w:r>
        <w:rPr>
          <w:rFonts w:eastAsia="楷体_GB2312"/>
          <w:color w:val="000000"/>
          <w:sz w:val="24"/>
          <w:lang w:val="zh-CN"/>
        </w:rPr>
        <w:t>第二条、质量要求</w:t>
      </w:r>
    </w:p>
    <w:p>
      <w:pPr>
        <w:autoSpaceDE w:val="0"/>
        <w:autoSpaceDN w:val="0"/>
        <w:adjustRightInd w:val="0"/>
        <w:spacing w:line="360" w:lineRule="auto"/>
        <w:ind w:firstLine="560"/>
        <w:rPr>
          <w:rFonts w:eastAsia="楷体_GB2312"/>
          <w:color w:val="000000"/>
          <w:sz w:val="24"/>
        </w:rPr>
      </w:pPr>
      <w:r>
        <w:rPr>
          <w:rFonts w:eastAsia="楷体_GB2312"/>
          <w:color w:val="000000"/>
          <w:sz w:val="24"/>
          <w:lang w:val="zh-CN"/>
        </w:rPr>
        <w:t>供方保证供应的产品是</w:t>
      </w:r>
      <w:r>
        <w:rPr>
          <w:rFonts w:eastAsia="楷体_GB2312"/>
          <w:color w:val="000000"/>
          <w:sz w:val="24"/>
        </w:rPr>
        <w:t xml:space="preserve">    </w:t>
      </w:r>
      <w:r>
        <w:rPr>
          <w:rFonts w:eastAsia="楷体_GB2312"/>
          <w:color w:val="000000"/>
          <w:sz w:val="24"/>
          <w:lang w:val="zh-CN"/>
        </w:rPr>
        <w:t>年</w:t>
      </w:r>
      <w:r>
        <w:rPr>
          <w:rFonts w:eastAsia="楷体_GB2312"/>
          <w:color w:val="000000"/>
          <w:sz w:val="24"/>
        </w:rPr>
        <w:t xml:space="preserve">  </w:t>
      </w:r>
      <w:r>
        <w:rPr>
          <w:rFonts w:eastAsia="楷体_GB2312"/>
          <w:color w:val="000000"/>
          <w:sz w:val="24"/>
          <w:lang w:val="zh-CN"/>
        </w:rPr>
        <w:t>月</w:t>
      </w:r>
      <w:r>
        <w:rPr>
          <w:rFonts w:eastAsia="楷体_GB2312"/>
          <w:color w:val="000000"/>
          <w:sz w:val="24"/>
        </w:rPr>
        <w:t xml:space="preserve">  </w:t>
      </w:r>
      <w:r>
        <w:rPr>
          <w:rFonts w:eastAsia="楷体_GB2312"/>
          <w:color w:val="000000"/>
          <w:sz w:val="24"/>
          <w:lang w:val="zh-CN"/>
        </w:rPr>
        <w:t>日以后生产，并且未使用过的原装合格产品，技术规格和质量标准符合国家要求（如进口产品应符合国家商检局安全许可要求）。如发生所供货物与</w:t>
      </w:r>
      <w:r>
        <w:rPr>
          <w:rFonts w:eastAsia="楷体_GB2312"/>
          <w:sz w:val="24"/>
          <w:lang w:val="zh-CN"/>
        </w:rPr>
        <w:t>投标文件（招标文件）、技术协议要求</w:t>
      </w:r>
      <w:r>
        <w:rPr>
          <w:rFonts w:eastAsia="楷体_GB2312"/>
          <w:color w:val="000000"/>
          <w:sz w:val="24"/>
          <w:lang w:val="zh-CN"/>
        </w:rPr>
        <w:t>不符，需方将不予验收。</w:t>
      </w:r>
    </w:p>
    <w:p>
      <w:pPr>
        <w:autoSpaceDE w:val="0"/>
        <w:autoSpaceDN w:val="0"/>
        <w:adjustRightInd w:val="0"/>
        <w:spacing w:line="360" w:lineRule="auto"/>
        <w:rPr>
          <w:rFonts w:eastAsia="楷体_GB2312"/>
          <w:color w:val="000000"/>
          <w:sz w:val="24"/>
        </w:rPr>
      </w:pPr>
      <w:r>
        <w:rPr>
          <w:rFonts w:eastAsia="楷体_GB2312"/>
          <w:color w:val="000000"/>
          <w:sz w:val="24"/>
          <w:lang w:val="zh-CN"/>
        </w:rPr>
        <w:t>第三条、交货时间、地点</w:t>
      </w:r>
    </w:p>
    <w:p>
      <w:pPr>
        <w:tabs>
          <w:tab w:val="left" w:pos="360"/>
        </w:tabs>
        <w:autoSpaceDE w:val="0"/>
        <w:autoSpaceDN w:val="0"/>
        <w:adjustRightInd w:val="0"/>
        <w:spacing w:line="360" w:lineRule="auto"/>
        <w:ind w:firstLine="420"/>
        <w:rPr>
          <w:rFonts w:eastAsia="楷体_GB2312"/>
          <w:sz w:val="24"/>
          <w:lang w:val="zh-CN"/>
        </w:rPr>
      </w:pPr>
      <w:r>
        <w:rPr>
          <w:rFonts w:eastAsia="楷体_GB2312"/>
          <w:sz w:val="24"/>
          <w:lang w:val="zh-CN"/>
        </w:rPr>
        <w:t>（一）交货要求：货物由供方运至现场并安装完毕，经需方验收合格并签字后为正式交货。</w:t>
      </w:r>
    </w:p>
    <w:p>
      <w:pPr>
        <w:autoSpaceDE w:val="0"/>
        <w:autoSpaceDN w:val="0"/>
        <w:adjustRightInd w:val="0"/>
        <w:spacing w:line="360" w:lineRule="auto"/>
        <w:ind w:firstLine="570"/>
        <w:rPr>
          <w:rFonts w:eastAsia="楷体_GB2312"/>
          <w:sz w:val="24"/>
        </w:rPr>
      </w:pPr>
      <w:r>
        <w:rPr>
          <w:rFonts w:eastAsia="楷体_GB2312"/>
          <w:sz w:val="24"/>
          <w:lang w:val="zh-CN"/>
        </w:rPr>
        <w:t>（二）交货时间：根据技术协议。</w:t>
      </w:r>
    </w:p>
    <w:p>
      <w:pPr>
        <w:autoSpaceDE w:val="0"/>
        <w:autoSpaceDN w:val="0"/>
        <w:adjustRightInd w:val="0"/>
        <w:spacing w:line="360" w:lineRule="auto"/>
        <w:ind w:firstLine="570"/>
        <w:rPr>
          <w:rFonts w:eastAsia="楷体_GB2312"/>
          <w:sz w:val="24"/>
        </w:rPr>
      </w:pPr>
      <w:r>
        <w:rPr>
          <w:rFonts w:eastAsia="楷体_GB2312"/>
          <w:sz w:val="24"/>
          <w:lang w:val="zh-CN"/>
        </w:rPr>
        <w:t>（三）交货地点：根据技术协议。</w:t>
      </w:r>
    </w:p>
    <w:p>
      <w:pPr>
        <w:autoSpaceDE w:val="0"/>
        <w:autoSpaceDN w:val="0"/>
        <w:adjustRightInd w:val="0"/>
        <w:spacing w:line="360" w:lineRule="auto"/>
        <w:rPr>
          <w:rFonts w:eastAsia="楷体_GB2312"/>
          <w:color w:val="000000"/>
          <w:sz w:val="24"/>
        </w:rPr>
      </w:pPr>
      <w:r>
        <w:rPr>
          <w:rFonts w:eastAsia="楷体_GB2312"/>
          <w:color w:val="000000"/>
          <w:sz w:val="24"/>
          <w:lang w:val="zh-CN"/>
        </w:rPr>
        <w:t>第四条、验收</w:t>
      </w:r>
    </w:p>
    <w:p>
      <w:pPr>
        <w:autoSpaceDE w:val="0"/>
        <w:autoSpaceDN w:val="0"/>
        <w:adjustRightInd w:val="0"/>
        <w:spacing w:line="360" w:lineRule="auto"/>
        <w:ind w:firstLine="560"/>
        <w:rPr>
          <w:rFonts w:eastAsia="楷体_GB2312"/>
          <w:color w:val="000000"/>
          <w:sz w:val="24"/>
        </w:rPr>
      </w:pPr>
      <w:r>
        <w:rPr>
          <w:rFonts w:eastAsia="楷体_GB2312"/>
          <w:color w:val="000000"/>
          <w:sz w:val="24"/>
          <w:lang w:val="zh-CN"/>
        </w:rPr>
        <w:t>（一）货物由供方安装、调试完毕后，需方根据验收标准进行验收。</w:t>
      </w:r>
    </w:p>
    <w:p>
      <w:pPr>
        <w:autoSpaceDE w:val="0"/>
        <w:autoSpaceDN w:val="0"/>
        <w:adjustRightInd w:val="0"/>
        <w:spacing w:line="360" w:lineRule="auto"/>
        <w:ind w:firstLine="560"/>
        <w:rPr>
          <w:rFonts w:eastAsia="楷体_GB2312"/>
          <w:color w:val="000000"/>
          <w:sz w:val="24"/>
          <w:lang w:val="zh-CN"/>
        </w:rPr>
      </w:pPr>
      <w:r>
        <w:rPr>
          <w:rFonts w:eastAsia="楷体_GB2312"/>
          <w:color w:val="000000"/>
          <w:sz w:val="24"/>
          <w:lang w:val="zh-CN"/>
        </w:rPr>
        <w:t>（二）验收合格，由用户开具《验收合格报告》。</w:t>
      </w:r>
    </w:p>
    <w:p>
      <w:pPr>
        <w:autoSpaceDE w:val="0"/>
        <w:autoSpaceDN w:val="0"/>
        <w:adjustRightInd w:val="0"/>
        <w:spacing w:line="360" w:lineRule="auto"/>
        <w:ind w:firstLine="560"/>
        <w:rPr>
          <w:rFonts w:eastAsia="楷体_GB2312"/>
          <w:color w:val="000000"/>
          <w:sz w:val="24"/>
        </w:rPr>
      </w:pPr>
      <w:r>
        <w:rPr>
          <w:rFonts w:eastAsia="楷体_GB2312"/>
          <w:color w:val="000000"/>
          <w:sz w:val="24"/>
          <w:lang w:val="zh-CN"/>
        </w:rPr>
        <w:t>（三）</w:t>
      </w:r>
      <w:r>
        <w:rPr>
          <w:rFonts w:eastAsia="楷体_GB2312"/>
          <w:sz w:val="24"/>
        </w:rPr>
        <w:t>如发现有重大的质量问题，双方均同意提请国家法定检测机构鉴定，如检测结果证明产品无质量问题，需方承担检测费用；如检测结果证明产品有质量问题，供方承担检测费用，供方同意需方无条件退货并支付给需方货款总价20％的赔偿金</w:t>
      </w:r>
    </w:p>
    <w:p>
      <w:pPr>
        <w:autoSpaceDE w:val="0"/>
        <w:autoSpaceDN w:val="0"/>
        <w:adjustRightInd w:val="0"/>
        <w:spacing w:line="360" w:lineRule="auto"/>
        <w:rPr>
          <w:rFonts w:eastAsia="楷体_GB2312"/>
          <w:color w:val="000000"/>
          <w:sz w:val="24"/>
        </w:rPr>
      </w:pPr>
      <w:r>
        <w:rPr>
          <w:rFonts w:eastAsia="楷体_GB2312"/>
          <w:color w:val="000000"/>
          <w:sz w:val="24"/>
          <w:lang w:val="zh-CN"/>
        </w:rPr>
        <w:t>第五条、售后服务</w:t>
      </w:r>
    </w:p>
    <w:p>
      <w:pPr>
        <w:autoSpaceDE w:val="0"/>
        <w:autoSpaceDN w:val="0"/>
        <w:adjustRightInd w:val="0"/>
        <w:spacing w:line="360" w:lineRule="auto"/>
        <w:ind w:firstLine="560"/>
        <w:rPr>
          <w:rFonts w:eastAsia="楷体_GB2312"/>
          <w:color w:val="000000"/>
          <w:sz w:val="24"/>
        </w:rPr>
      </w:pPr>
      <w:r>
        <w:rPr>
          <w:rFonts w:eastAsia="楷体_GB2312"/>
          <w:color w:val="000000"/>
          <w:sz w:val="24"/>
          <w:lang w:val="zh-CN"/>
        </w:rPr>
        <w:t>（一）质保期：自货物验收合格后共</w:t>
      </w:r>
      <w:r>
        <w:rPr>
          <w:rFonts w:eastAsia="楷体_GB2312"/>
          <w:color w:val="000000"/>
          <w:sz w:val="24"/>
        </w:rPr>
        <w:t xml:space="preserve">   </w:t>
      </w:r>
      <w:r>
        <w:rPr>
          <w:rFonts w:eastAsia="楷体_GB2312"/>
          <w:color w:val="000000"/>
          <w:sz w:val="24"/>
          <w:lang w:val="zh-CN"/>
        </w:rPr>
        <w:t>个月。质保期内货物发生故障，供方应在</w:t>
      </w:r>
      <w:r>
        <w:rPr>
          <w:rFonts w:eastAsia="楷体_GB2312"/>
          <w:color w:val="000000"/>
          <w:sz w:val="24"/>
        </w:rPr>
        <w:t xml:space="preserve">   </w:t>
      </w:r>
      <w:r>
        <w:rPr>
          <w:rFonts w:eastAsia="楷体_GB2312"/>
          <w:color w:val="000000"/>
          <w:sz w:val="24"/>
          <w:lang w:val="zh-CN"/>
        </w:rPr>
        <w:t>小时响应，如需现场维修，供方应在</w:t>
      </w:r>
      <w:r>
        <w:rPr>
          <w:rFonts w:eastAsia="楷体_GB2312"/>
          <w:color w:val="000000"/>
          <w:sz w:val="24"/>
        </w:rPr>
        <w:t xml:space="preserve">    </w:t>
      </w:r>
      <w:r>
        <w:rPr>
          <w:rFonts w:eastAsia="楷体_GB2312"/>
          <w:color w:val="000000"/>
          <w:sz w:val="24"/>
          <w:lang w:val="zh-CN"/>
        </w:rPr>
        <w:t>小时内到达。</w:t>
      </w:r>
    </w:p>
    <w:p>
      <w:pPr>
        <w:autoSpaceDE w:val="0"/>
        <w:autoSpaceDN w:val="0"/>
        <w:adjustRightInd w:val="0"/>
        <w:spacing w:line="360" w:lineRule="auto"/>
        <w:ind w:firstLine="560"/>
        <w:rPr>
          <w:rFonts w:eastAsia="楷体_GB2312"/>
          <w:color w:val="000000"/>
          <w:sz w:val="24"/>
        </w:rPr>
      </w:pPr>
      <w:r>
        <w:rPr>
          <w:rFonts w:eastAsia="楷体_GB2312"/>
          <w:color w:val="000000"/>
          <w:sz w:val="24"/>
          <w:lang w:val="zh-CN"/>
        </w:rPr>
        <w:t>（二）质保期后的维修，时间要求和质保期相同，（是否收费，按每一个项目谈判的结果而定）。</w:t>
      </w:r>
    </w:p>
    <w:p>
      <w:pPr>
        <w:autoSpaceDE w:val="0"/>
        <w:autoSpaceDN w:val="0"/>
        <w:adjustRightInd w:val="0"/>
        <w:spacing w:line="360" w:lineRule="auto"/>
        <w:rPr>
          <w:rFonts w:eastAsia="楷体_GB2312"/>
          <w:color w:val="000000"/>
          <w:sz w:val="24"/>
        </w:rPr>
      </w:pPr>
      <w:r>
        <w:rPr>
          <w:rFonts w:eastAsia="楷体_GB2312"/>
          <w:color w:val="000000"/>
          <w:sz w:val="24"/>
          <w:lang w:val="zh-CN"/>
        </w:rPr>
        <w:t>第六条</w:t>
      </w:r>
      <w:r>
        <w:rPr>
          <w:rFonts w:eastAsia="楷体_GB2312"/>
          <w:color w:val="000000"/>
          <w:sz w:val="24"/>
        </w:rPr>
        <w:t xml:space="preserve">  </w:t>
      </w:r>
      <w:r>
        <w:rPr>
          <w:rFonts w:eastAsia="楷体_GB2312"/>
          <w:color w:val="000000"/>
          <w:sz w:val="24"/>
          <w:lang w:val="zh-CN"/>
        </w:rPr>
        <w:t>财务结算</w:t>
      </w:r>
    </w:p>
    <w:p>
      <w:pPr>
        <w:autoSpaceDE w:val="0"/>
        <w:autoSpaceDN w:val="0"/>
        <w:adjustRightInd w:val="0"/>
        <w:spacing w:line="360" w:lineRule="auto"/>
        <w:ind w:firstLine="538"/>
        <w:rPr>
          <w:rFonts w:eastAsia="楷体_GB2312"/>
          <w:sz w:val="24"/>
        </w:rPr>
      </w:pPr>
      <w:r>
        <w:rPr>
          <w:rFonts w:eastAsia="楷体_GB2312"/>
          <w:sz w:val="24"/>
          <w:lang w:val="zh-CN"/>
        </w:rPr>
        <w:t>（一）参见谈判须知</w:t>
      </w:r>
      <w:r>
        <w:rPr>
          <w:rFonts w:eastAsia="楷体_GB2312"/>
          <w:sz w:val="24"/>
        </w:rPr>
        <w:t>。</w:t>
      </w:r>
    </w:p>
    <w:p>
      <w:pPr>
        <w:autoSpaceDE w:val="0"/>
        <w:autoSpaceDN w:val="0"/>
        <w:adjustRightInd w:val="0"/>
        <w:spacing w:line="360" w:lineRule="auto"/>
        <w:ind w:firstLine="538"/>
        <w:rPr>
          <w:rFonts w:eastAsia="楷体_GB2312"/>
          <w:sz w:val="24"/>
        </w:rPr>
      </w:pPr>
      <w:r>
        <w:rPr>
          <w:rFonts w:eastAsia="楷体_GB2312"/>
          <w:sz w:val="24"/>
          <w:lang w:val="zh-CN"/>
        </w:rPr>
        <w:t>（二）</w:t>
      </w:r>
      <w:r>
        <w:rPr>
          <w:rFonts w:eastAsia="楷体_GB2312"/>
          <w:color w:val="000000"/>
          <w:sz w:val="24"/>
        </w:rPr>
        <w:t>货款由需方负责支付。</w:t>
      </w:r>
    </w:p>
    <w:p>
      <w:pPr>
        <w:autoSpaceDE w:val="0"/>
        <w:autoSpaceDN w:val="0"/>
        <w:adjustRightInd w:val="0"/>
        <w:spacing w:line="360" w:lineRule="auto"/>
        <w:rPr>
          <w:rFonts w:eastAsia="楷体_GB2312"/>
          <w:color w:val="000000"/>
          <w:sz w:val="24"/>
        </w:rPr>
      </w:pPr>
      <w:r>
        <w:rPr>
          <w:rFonts w:eastAsia="楷体_GB2312"/>
          <w:color w:val="000000"/>
          <w:sz w:val="24"/>
          <w:lang w:val="zh-CN"/>
        </w:rPr>
        <w:t>第七条、违约责任</w:t>
      </w:r>
    </w:p>
    <w:p>
      <w:pPr>
        <w:autoSpaceDE w:val="0"/>
        <w:autoSpaceDN w:val="0"/>
        <w:adjustRightInd w:val="0"/>
        <w:spacing w:line="360" w:lineRule="auto"/>
        <w:ind w:firstLine="560"/>
        <w:rPr>
          <w:rFonts w:eastAsia="楷体_GB2312"/>
          <w:color w:val="000000"/>
          <w:sz w:val="24"/>
        </w:rPr>
      </w:pPr>
      <w:r>
        <w:rPr>
          <w:rFonts w:eastAsia="楷体_GB2312"/>
          <w:color w:val="000000"/>
          <w:sz w:val="24"/>
          <w:lang w:val="zh-CN"/>
        </w:rPr>
        <w:t>（一）供方逾期供货，自逾期之日起，每天应向采购方赔付合同总价万分之五的违约金，如逾期超过</w:t>
      </w:r>
      <w:r>
        <w:rPr>
          <w:rFonts w:eastAsia="楷体_GB2312"/>
          <w:color w:val="000000"/>
          <w:sz w:val="24"/>
        </w:rPr>
        <w:t>30</w:t>
      </w:r>
      <w:r>
        <w:rPr>
          <w:rFonts w:eastAsia="楷体_GB2312"/>
          <w:color w:val="000000"/>
          <w:sz w:val="24"/>
          <w:lang w:val="zh-CN"/>
        </w:rPr>
        <w:t>天，供方应向采购方支付合同总价百分之五的违约金。</w:t>
      </w:r>
    </w:p>
    <w:p>
      <w:pPr>
        <w:autoSpaceDE w:val="0"/>
        <w:autoSpaceDN w:val="0"/>
        <w:adjustRightInd w:val="0"/>
        <w:spacing w:line="360" w:lineRule="auto"/>
        <w:rPr>
          <w:rFonts w:eastAsia="楷体_GB2312"/>
          <w:b/>
          <w:bCs/>
          <w:color w:val="000000"/>
          <w:sz w:val="24"/>
        </w:rPr>
      </w:pPr>
      <w:r>
        <w:rPr>
          <w:rFonts w:eastAsia="楷体_GB2312"/>
          <w:color w:val="000000"/>
          <w:sz w:val="24"/>
        </w:rPr>
        <w:t xml:space="preserve">    </w:t>
      </w:r>
      <w:r>
        <w:rPr>
          <w:rFonts w:eastAsia="楷体_GB2312"/>
          <w:color w:val="000000"/>
          <w:sz w:val="24"/>
          <w:lang w:val="zh-CN"/>
        </w:rPr>
        <w:t>（二）</w:t>
      </w:r>
      <w:r>
        <w:rPr>
          <w:rFonts w:eastAsia="楷体_GB2312"/>
          <w:sz w:val="24"/>
        </w:rPr>
        <w:t>如验收不能达到质量功能（性能）标准，设备由供方在一周内撤出，需方不支付任何费用。如供方在一个月内不处理（搬走）设备，视为供方放弃该设备，需方有权自行处置（包括废物处理）。同时，供方要支付给需方总货款的20％作为违约赔偿金</w:t>
      </w:r>
      <w:r>
        <w:rPr>
          <w:rFonts w:eastAsia="楷体_GB2312"/>
          <w:color w:val="000000"/>
          <w:sz w:val="24"/>
          <w:lang w:val="zh-CN"/>
        </w:rPr>
        <w:t>。</w:t>
      </w:r>
    </w:p>
    <w:p>
      <w:pPr>
        <w:autoSpaceDE w:val="0"/>
        <w:autoSpaceDN w:val="0"/>
        <w:adjustRightInd w:val="0"/>
        <w:spacing w:line="360" w:lineRule="auto"/>
        <w:rPr>
          <w:rFonts w:eastAsia="楷体_GB2312"/>
          <w:color w:val="000000"/>
          <w:sz w:val="24"/>
        </w:rPr>
      </w:pPr>
      <w:r>
        <w:rPr>
          <w:rFonts w:eastAsia="楷体_GB2312"/>
          <w:color w:val="000000"/>
          <w:sz w:val="24"/>
          <w:lang w:val="zh-CN"/>
        </w:rPr>
        <w:t>第八条、争议解决</w:t>
      </w:r>
    </w:p>
    <w:p>
      <w:pPr>
        <w:autoSpaceDE w:val="0"/>
        <w:autoSpaceDN w:val="0"/>
        <w:adjustRightInd w:val="0"/>
        <w:spacing w:line="360" w:lineRule="auto"/>
        <w:ind w:firstLine="560"/>
        <w:rPr>
          <w:rFonts w:eastAsia="楷体_GB2312"/>
          <w:color w:val="000000"/>
          <w:sz w:val="24"/>
        </w:rPr>
      </w:pPr>
      <w:r>
        <w:rPr>
          <w:rFonts w:eastAsia="楷体_GB2312"/>
          <w:sz w:val="24"/>
        </w:rPr>
        <w:t>本合同，在发生所供商品的质量、售后服务等问题时，需方有权直接向供方索赔，签订必要的书面处理协议，如协商不成，双方同意将本合同引起的争议提交杭州仲裁委员会仲裁解决，仲裁为终局</w:t>
      </w:r>
      <w:r>
        <w:rPr>
          <w:rFonts w:eastAsia="楷体_GB2312"/>
          <w:color w:val="000000"/>
          <w:sz w:val="24"/>
          <w:lang w:val="zh-CN"/>
        </w:rPr>
        <w:t>。</w:t>
      </w:r>
    </w:p>
    <w:p>
      <w:pPr>
        <w:autoSpaceDE w:val="0"/>
        <w:autoSpaceDN w:val="0"/>
        <w:adjustRightInd w:val="0"/>
        <w:spacing w:line="360" w:lineRule="auto"/>
        <w:rPr>
          <w:rFonts w:eastAsia="楷体_GB2312"/>
          <w:color w:val="000000"/>
          <w:sz w:val="24"/>
        </w:rPr>
      </w:pPr>
      <w:r>
        <w:rPr>
          <w:rFonts w:eastAsia="楷体_GB2312"/>
          <w:color w:val="000000"/>
          <w:sz w:val="24"/>
          <w:lang w:val="zh-CN"/>
        </w:rPr>
        <w:t>第九条、其他</w:t>
      </w:r>
    </w:p>
    <w:p>
      <w:pPr>
        <w:autoSpaceDE w:val="0"/>
        <w:autoSpaceDN w:val="0"/>
        <w:adjustRightInd w:val="0"/>
        <w:spacing w:line="360" w:lineRule="auto"/>
        <w:ind w:firstLine="560"/>
        <w:rPr>
          <w:rFonts w:eastAsia="楷体_GB2312"/>
          <w:color w:val="000000"/>
          <w:sz w:val="24"/>
        </w:rPr>
      </w:pPr>
      <w:r>
        <w:rPr>
          <w:rFonts w:eastAsia="楷体_GB2312"/>
          <w:color w:val="000000"/>
          <w:sz w:val="24"/>
          <w:lang w:val="zh-CN"/>
        </w:rPr>
        <w:t>内容根据项目实际情况而定。</w:t>
      </w:r>
    </w:p>
    <w:p>
      <w:pPr>
        <w:autoSpaceDE w:val="0"/>
        <w:autoSpaceDN w:val="0"/>
        <w:adjustRightInd w:val="0"/>
        <w:spacing w:line="360" w:lineRule="auto"/>
        <w:rPr>
          <w:rFonts w:eastAsia="楷体_GB2312"/>
          <w:color w:val="000000"/>
          <w:sz w:val="24"/>
        </w:rPr>
      </w:pPr>
      <w:r>
        <w:rPr>
          <w:rFonts w:eastAsia="楷体_GB2312"/>
          <w:color w:val="000000"/>
          <w:sz w:val="24"/>
          <w:lang w:val="zh-CN"/>
        </w:rPr>
        <w:t>第十条、合同生效</w:t>
      </w:r>
    </w:p>
    <w:p>
      <w:pPr>
        <w:autoSpaceDE w:val="0"/>
        <w:autoSpaceDN w:val="0"/>
        <w:adjustRightInd w:val="0"/>
        <w:spacing w:line="360" w:lineRule="auto"/>
        <w:ind w:firstLine="560"/>
        <w:rPr>
          <w:rFonts w:eastAsia="楷体_GB2312"/>
          <w:color w:val="000000"/>
          <w:sz w:val="24"/>
        </w:rPr>
      </w:pPr>
      <w:r>
        <w:rPr>
          <w:rFonts w:eastAsia="楷体_GB2312"/>
          <w:color w:val="000000"/>
          <w:sz w:val="24"/>
          <w:lang w:val="zh-CN"/>
        </w:rPr>
        <w:t>（一）本合同自签字盖章后生效。</w:t>
      </w:r>
    </w:p>
    <w:p>
      <w:pPr>
        <w:autoSpaceDE w:val="0"/>
        <w:autoSpaceDN w:val="0"/>
        <w:adjustRightInd w:val="0"/>
        <w:spacing w:line="360" w:lineRule="auto"/>
        <w:ind w:firstLine="560"/>
        <w:rPr>
          <w:rFonts w:eastAsia="楷体_GB2312"/>
          <w:color w:val="000000"/>
          <w:sz w:val="24"/>
        </w:rPr>
      </w:pPr>
      <w:r>
        <w:rPr>
          <w:rFonts w:eastAsia="楷体_GB2312"/>
          <w:color w:val="000000"/>
          <w:sz w:val="24"/>
          <w:lang w:val="zh-CN"/>
        </w:rPr>
        <w:t>（二）本合同一式陆份，供方、需方和采购方各执贰份。</w:t>
      </w:r>
    </w:p>
    <w:p>
      <w:pPr>
        <w:autoSpaceDE w:val="0"/>
        <w:autoSpaceDN w:val="0"/>
        <w:adjustRightInd w:val="0"/>
        <w:spacing w:line="360" w:lineRule="auto"/>
        <w:ind w:firstLine="560"/>
        <w:rPr>
          <w:rFonts w:eastAsia="楷体_GB2312"/>
          <w:color w:val="000000"/>
          <w:sz w:val="24"/>
        </w:rPr>
      </w:pPr>
      <w:r>
        <w:rPr>
          <w:rFonts w:eastAsia="楷体_GB2312"/>
          <w:color w:val="000000"/>
          <w:sz w:val="24"/>
          <w:lang w:val="zh-CN"/>
        </w:rPr>
        <w:t>（三）投标（招标）记录等相关文件与本合同具有同等法律效力。</w:t>
      </w:r>
    </w:p>
    <w:p>
      <w:pPr>
        <w:autoSpaceDE w:val="0"/>
        <w:autoSpaceDN w:val="0"/>
        <w:adjustRightInd w:val="0"/>
        <w:spacing w:line="360" w:lineRule="auto"/>
        <w:ind w:firstLine="560"/>
        <w:rPr>
          <w:rFonts w:eastAsia="楷体_GB2312"/>
          <w:color w:val="000000"/>
          <w:sz w:val="24"/>
        </w:rPr>
      </w:pPr>
      <w:r>
        <w:rPr>
          <w:rFonts w:eastAsia="楷体_GB2312"/>
          <w:color w:val="000000"/>
          <w:sz w:val="24"/>
          <w:lang w:val="zh-CN"/>
        </w:rPr>
        <w:t>（四）本合同未尽事宜，合同签订方协商解决。</w:t>
      </w:r>
    </w:p>
    <w:p>
      <w:pPr>
        <w:autoSpaceDE w:val="0"/>
        <w:autoSpaceDN w:val="0"/>
        <w:adjustRightInd w:val="0"/>
        <w:spacing w:line="360" w:lineRule="auto"/>
        <w:ind w:left="600"/>
        <w:rPr>
          <w:rFonts w:eastAsia="楷体_GB2312"/>
          <w:color w:val="000000"/>
          <w:sz w:val="24"/>
        </w:rPr>
      </w:pPr>
    </w:p>
    <w:tbl>
      <w:tblPr>
        <w:tblStyle w:val="26"/>
        <w:tblW w:w="0" w:type="auto"/>
        <w:tblInd w:w="108" w:type="dxa"/>
        <w:tblLayout w:type="fixed"/>
        <w:tblCellMar>
          <w:top w:w="0" w:type="dxa"/>
          <w:left w:w="108" w:type="dxa"/>
          <w:bottom w:w="0" w:type="dxa"/>
          <w:right w:w="108" w:type="dxa"/>
        </w:tblCellMar>
      </w:tblPr>
      <w:tblGrid>
        <w:gridCol w:w="4320"/>
        <w:gridCol w:w="4320"/>
      </w:tblGrid>
      <w:tr>
        <w:tblPrEx>
          <w:tblCellMar>
            <w:top w:w="0" w:type="dxa"/>
            <w:left w:w="108" w:type="dxa"/>
            <w:bottom w:w="0" w:type="dxa"/>
            <w:right w:w="108" w:type="dxa"/>
          </w:tblCellMar>
        </w:tblPrEx>
        <w:trPr>
          <w:trHeight w:val="1089" w:hRule="atLeast"/>
        </w:trPr>
        <w:tc>
          <w:tcPr>
            <w:tcW w:w="4320" w:type="dxa"/>
          </w:tcPr>
          <w:p>
            <w:pPr>
              <w:autoSpaceDE w:val="0"/>
              <w:autoSpaceDN w:val="0"/>
              <w:adjustRightInd w:val="0"/>
              <w:spacing w:line="360" w:lineRule="auto"/>
              <w:rPr>
                <w:rFonts w:eastAsia="楷体_GB2312"/>
                <w:color w:val="000000"/>
                <w:sz w:val="24"/>
              </w:rPr>
            </w:pPr>
          </w:p>
          <w:p>
            <w:pPr>
              <w:autoSpaceDE w:val="0"/>
              <w:autoSpaceDN w:val="0"/>
              <w:adjustRightInd w:val="0"/>
              <w:rPr>
                <w:rFonts w:eastAsia="楷体_GB2312"/>
                <w:color w:val="000000"/>
                <w:sz w:val="24"/>
              </w:rPr>
            </w:pPr>
            <w:r>
              <w:rPr>
                <w:rFonts w:eastAsia="楷体_GB2312"/>
                <w:color w:val="000000"/>
                <w:sz w:val="24"/>
                <w:lang w:val="zh-CN"/>
              </w:rPr>
              <w:t>供方（盖章）：</w:t>
            </w:r>
            <w:r>
              <w:rPr>
                <w:rFonts w:eastAsia="楷体_GB2312"/>
                <w:color w:val="000000"/>
                <w:sz w:val="24"/>
              </w:rPr>
              <w:t xml:space="preserve"> </w:t>
            </w:r>
          </w:p>
        </w:tc>
        <w:tc>
          <w:tcPr>
            <w:tcW w:w="4320" w:type="dxa"/>
          </w:tcPr>
          <w:p>
            <w:pPr>
              <w:autoSpaceDE w:val="0"/>
              <w:autoSpaceDN w:val="0"/>
              <w:adjustRightInd w:val="0"/>
              <w:spacing w:line="360" w:lineRule="auto"/>
              <w:rPr>
                <w:rFonts w:eastAsia="楷体_GB2312"/>
                <w:color w:val="000000"/>
                <w:sz w:val="24"/>
              </w:rPr>
            </w:pPr>
          </w:p>
          <w:p>
            <w:pPr>
              <w:autoSpaceDE w:val="0"/>
              <w:autoSpaceDN w:val="0"/>
              <w:adjustRightInd w:val="0"/>
              <w:spacing w:line="360" w:lineRule="auto"/>
              <w:rPr>
                <w:rFonts w:eastAsia="楷体_GB2312"/>
                <w:color w:val="000000"/>
                <w:sz w:val="24"/>
              </w:rPr>
            </w:pPr>
            <w:r>
              <w:rPr>
                <w:rFonts w:eastAsia="楷体_GB2312"/>
                <w:color w:val="000000"/>
                <w:sz w:val="24"/>
                <w:lang w:val="zh-CN"/>
              </w:rPr>
              <w:t>需方（盖章）：</w:t>
            </w:r>
          </w:p>
        </w:tc>
      </w:tr>
      <w:tr>
        <w:tblPrEx>
          <w:tblCellMar>
            <w:top w:w="0" w:type="dxa"/>
            <w:left w:w="108" w:type="dxa"/>
            <w:bottom w:w="0" w:type="dxa"/>
            <w:right w:w="108" w:type="dxa"/>
          </w:tblCellMar>
        </w:tblPrEx>
        <w:tc>
          <w:tcPr>
            <w:tcW w:w="4320" w:type="dxa"/>
          </w:tcPr>
          <w:p>
            <w:pPr>
              <w:autoSpaceDE w:val="0"/>
              <w:autoSpaceDN w:val="0"/>
              <w:adjustRightInd w:val="0"/>
              <w:spacing w:line="360" w:lineRule="auto"/>
              <w:rPr>
                <w:rFonts w:eastAsia="楷体_GB2312"/>
                <w:color w:val="000000"/>
                <w:sz w:val="24"/>
              </w:rPr>
            </w:pPr>
            <w:r>
              <w:rPr>
                <w:rFonts w:eastAsia="楷体_GB2312"/>
                <w:color w:val="000000"/>
                <w:sz w:val="24"/>
                <w:lang w:val="zh-CN"/>
              </w:rPr>
              <w:t>法定代表人或委托受权人（签字）：</w:t>
            </w:r>
          </w:p>
        </w:tc>
        <w:tc>
          <w:tcPr>
            <w:tcW w:w="4320" w:type="dxa"/>
          </w:tcPr>
          <w:p>
            <w:pPr>
              <w:autoSpaceDE w:val="0"/>
              <w:autoSpaceDN w:val="0"/>
              <w:adjustRightInd w:val="0"/>
              <w:spacing w:line="360" w:lineRule="auto"/>
              <w:rPr>
                <w:rFonts w:eastAsia="楷体_GB2312"/>
                <w:color w:val="000000"/>
                <w:sz w:val="24"/>
              </w:rPr>
            </w:pPr>
            <w:r>
              <w:rPr>
                <w:rFonts w:eastAsia="楷体_GB2312"/>
                <w:color w:val="000000"/>
                <w:sz w:val="24"/>
                <w:lang w:val="zh-CN"/>
              </w:rPr>
              <w:t>法定代表人或委托受权人（签字）：</w:t>
            </w:r>
          </w:p>
        </w:tc>
      </w:tr>
      <w:tr>
        <w:tblPrEx>
          <w:tblCellMar>
            <w:top w:w="0" w:type="dxa"/>
            <w:left w:w="108" w:type="dxa"/>
            <w:bottom w:w="0" w:type="dxa"/>
            <w:right w:w="108" w:type="dxa"/>
          </w:tblCellMar>
        </w:tblPrEx>
        <w:tc>
          <w:tcPr>
            <w:tcW w:w="4320" w:type="dxa"/>
          </w:tcPr>
          <w:p>
            <w:pPr>
              <w:autoSpaceDE w:val="0"/>
              <w:autoSpaceDN w:val="0"/>
              <w:adjustRightInd w:val="0"/>
              <w:spacing w:line="360" w:lineRule="auto"/>
              <w:rPr>
                <w:rFonts w:eastAsia="楷体_GB2312"/>
                <w:color w:val="000000"/>
                <w:sz w:val="24"/>
              </w:rPr>
            </w:pPr>
          </w:p>
        </w:tc>
        <w:tc>
          <w:tcPr>
            <w:tcW w:w="4320" w:type="dxa"/>
          </w:tcPr>
          <w:p>
            <w:pPr>
              <w:autoSpaceDE w:val="0"/>
              <w:autoSpaceDN w:val="0"/>
              <w:adjustRightInd w:val="0"/>
              <w:spacing w:line="360" w:lineRule="auto"/>
              <w:rPr>
                <w:rFonts w:eastAsia="楷体_GB2312"/>
                <w:color w:val="000000"/>
                <w:sz w:val="24"/>
              </w:rPr>
            </w:pPr>
          </w:p>
        </w:tc>
      </w:tr>
      <w:tr>
        <w:tblPrEx>
          <w:tblCellMar>
            <w:top w:w="0" w:type="dxa"/>
            <w:left w:w="108" w:type="dxa"/>
            <w:bottom w:w="0" w:type="dxa"/>
            <w:right w:w="108" w:type="dxa"/>
          </w:tblCellMar>
        </w:tblPrEx>
        <w:tc>
          <w:tcPr>
            <w:tcW w:w="4320" w:type="dxa"/>
          </w:tcPr>
          <w:p>
            <w:pPr>
              <w:autoSpaceDE w:val="0"/>
              <w:autoSpaceDN w:val="0"/>
              <w:adjustRightInd w:val="0"/>
              <w:spacing w:line="360" w:lineRule="auto"/>
              <w:rPr>
                <w:rFonts w:eastAsia="楷体_GB2312"/>
                <w:color w:val="000000"/>
                <w:sz w:val="24"/>
              </w:rPr>
            </w:pPr>
            <w:r>
              <w:rPr>
                <w:rFonts w:eastAsia="楷体_GB2312"/>
                <w:color w:val="000000"/>
                <w:sz w:val="24"/>
                <w:lang w:val="zh-CN"/>
              </w:rPr>
              <w:t>地址</w:t>
            </w:r>
            <w:r>
              <w:rPr>
                <w:rFonts w:eastAsia="楷体_GB2312"/>
                <w:color w:val="000000"/>
                <w:sz w:val="24"/>
              </w:rPr>
              <w:t>：</w:t>
            </w:r>
            <w:r>
              <w:rPr>
                <w:rFonts w:eastAsia="楷体_GB2312"/>
                <w:color w:val="000000"/>
                <w:sz w:val="24"/>
              </w:rPr>
              <w:tab/>
            </w:r>
          </w:p>
        </w:tc>
        <w:tc>
          <w:tcPr>
            <w:tcW w:w="4320" w:type="dxa"/>
          </w:tcPr>
          <w:p>
            <w:pPr>
              <w:autoSpaceDE w:val="0"/>
              <w:autoSpaceDN w:val="0"/>
              <w:adjustRightInd w:val="0"/>
              <w:spacing w:line="360" w:lineRule="auto"/>
              <w:rPr>
                <w:rFonts w:eastAsia="楷体_GB2312"/>
                <w:color w:val="000000"/>
                <w:sz w:val="24"/>
              </w:rPr>
            </w:pPr>
            <w:r>
              <w:rPr>
                <w:rFonts w:eastAsia="楷体_GB2312"/>
                <w:color w:val="000000"/>
                <w:sz w:val="24"/>
                <w:lang w:val="zh-CN"/>
              </w:rPr>
              <w:t>地址</w:t>
            </w:r>
            <w:r>
              <w:rPr>
                <w:rFonts w:eastAsia="楷体_GB2312"/>
                <w:color w:val="000000"/>
                <w:sz w:val="24"/>
              </w:rPr>
              <w:t>：</w:t>
            </w:r>
            <w:r>
              <w:rPr>
                <w:rFonts w:eastAsia="楷体_GB2312"/>
                <w:color w:val="000000"/>
                <w:sz w:val="24"/>
              </w:rPr>
              <w:tab/>
            </w:r>
          </w:p>
        </w:tc>
      </w:tr>
      <w:tr>
        <w:tblPrEx>
          <w:tblCellMar>
            <w:top w:w="0" w:type="dxa"/>
            <w:left w:w="108" w:type="dxa"/>
            <w:bottom w:w="0" w:type="dxa"/>
            <w:right w:w="108" w:type="dxa"/>
          </w:tblCellMar>
        </w:tblPrEx>
        <w:tc>
          <w:tcPr>
            <w:tcW w:w="4320" w:type="dxa"/>
          </w:tcPr>
          <w:p>
            <w:pPr>
              <w:autoSpaceDE w:val="0"/>
              <w:autoSpaceDN w:val="0"/>
              <w:adjustRightInd w:val="0"/>
              <w:spacing w:line="360" w:lineRule="auto"/>
              <w:rPr>
                <w:rFonts w:eastAsia="楷体_GB2312"/>
                <w:color w:val="000000"/>
                <w:sz w:val="24"/>
              </w:rPr>
            </w:pPr>
            <w:r>
              <w:rPr>
                <w:rFonts w:eastAsia="楷体_GB2312"/>
                <w:color w:val="000000"/>
                <w:sz w:val="24"/>
                <w:lang w:val="zh-CN"/>
              </w:rPr>
              <w:t>邮编：</w:t>
            </w:r>
          </w:p>
        </w:tc>
        <w:tc>
          <w:tcPr>
            <w:tcW w:w="4320" w:type="dxa"/>
          </w:tcPr>
          <w:p>
            <w:pPr>
              <w:autoSpaceDE w:val="0"/>
              <w:autoSpaceDN w:val="0"/>
              <w:adjustRightInd w:val="0"/>
              <w:spacing w:line="360" w:lineRule="auto"/>
              <w:rPr>
                <w:rFonts w:eastAsia="楷体_GB2312"/>
                <w:color w:val="000000"/>
                <w:sz w:val="24"/>
              </w:rPr>
            </w:pPr>
            <w:r>
              <w:rPr>
                <w:rFonts w:eastAsia="楷体_GB2312"/>
                <w:color w:val="000000"/>
                <w:sz w:val="24"/>
                <w:lang w:val="zh-CN"/>
              </w:rPr>
              <w:t>邮编：</w:t>
            </w:r>
            <w:r>
              <w:rPr>
                <w:rFonts w:eastAsia="楷体_GB2312"/>
                <w:color w:val="000000"/>
                <w:sz w:val="24"/>
              </w:rPr>
              <w:tab/>
            </w:r>
          </w:p>
        </w:tc>
      </w:tr>
      <w:tr>
        <w:tblPrEx>
          <w:tblCellMar>
            <w:top w:w="0" w:type="dxa"/>
            <w:left w:w="108" w:type="dxa"/>
            <w:bottom w:w="0" w:type="dxa"/>
            <w:right w:w="108" w:type="dxa"/>
          </w:tblCellMar>
        </w:tblPrEx>
        <w:tc>
          <w:tcPr>
            <w:tcW w:w="4320" w:type="dxa"/>
          </w:tcPr>
          <w:p>
            <w:pPr>
              <w:autoSpaceDE w:val="0"/>
              <w:autoSpaceDN w:val="0"/>
              <w:adjustRightInd w:val="0"/>
              <w:rPr>
                <w:rFonts w:eastAsia="楷体_GB2312"/>
                <w:color w:val="000000"/>
                <w:sz w:val="24"/>
              </w:rPr>
            </w:pPr>
            <w:r>
              <w:rPr>
                <w:rFonts w:eastAsia="楷体_GB2312"/>
                <w:color w:val="000000"/>
                <w:sz w:val="24"/>
                <w:lang w:val="zh-CN"/>
              </w:rPr>
              <w:t>电话：</w:t>
            </w:r>
          </w:p>
        </w:tc>
        <w:tc>
          <w:tcPr>
            <w:tcW w:w="4320" w:type="dxa"/>
          </w:tcPr>
          <w:p>
            <w:pPr>
              <w:autoSpaceDE w:val="0"/>
              <w:autoSpaceDN w:val="0"/>
              <w:adjustRightInd w:val="0"/>
              <w:spacing w:line="360" w:lineRule="auto"/>
              <w:rPr>
                <w:rFonts w:eastAsia="楷体_GB2312"/>
                <w:color w:val="000000"/>
                <w:sz w:val="24"/>
              </w:rPr>
            </w:pPr>
            <w:r>
              <w:rPr>
                <w:rFonts w:eastAsia="楷体_GB2312"/>
                <w:color w:val="000000"/>
                <w:sz w:val="24"/>
                <w:lang w:val="zh-CN"/>
              </w:rPr>
              <w:t>电话：</w:t>
            </w:r>
            <w:r>
              <w:rPr>
                <w:rFonts w:eastAsia="楷体_GB2312"/>
                <w:color w:val="000000"/>
                <w:sz w:val="24"/>
              </w:rPr>
              <w:tab/>
            </w:r>
          </w:p>
        </w:tc>
      </w:tr>
      <w:tr>
        <w:tblPrEx>
          <w:tblCellMar>
            <w:top w:w="0" w:type="dxa"/>
            <w:left w:w="108" w:type="dxa"/>
            <w:bottom w:w="0" w:type="dxa"/>
            <w:right w:w="108" w:type="dxa"/>
          </w:tblCellMar>
        </w:tblPrEx>
        <w:tc>
          <w:tcPr>
            <w:tcW w:w="4320" w:type="dxa"/>
          </w:tcPr>
          <w:p>
            <w:pPr>
              <w:autoSpaceDE w:val="0"/>
              <w:autoSpaceDN w:val="0"/>
              <w:adjustRightInd w:val="0"/>
              <w:spacing w:line="360" w:lineRule="auto"/>
              <w:rPr>
                <w:rFonts w:eastAsia="楷体_GB2312"/>
                <w:color w:val="000000"/>
                <w:sz w:val="24"/>
              </w:rPr>
            </w:pPr>
            <w:r>
              <w:rPr>
                <w:rFonts w:eastAsia="楷体_GB2312"/>
                <w:color w:val="000000"/>
                <w:sz w:val="24"/>
                <w:lang w:val="zh-CN"/>
              </w:rPr>
              <w:t>传真：</w:t>
            </w:r>
          </w:p>
        </w:tc>
        <w:tc>
          <w:tcPr>
            <w:tcW w:w="4320" w:type="dxa"/>
          </w:tcPr>
          <w:p>
            <w:pPr>
              <w:autoSpaceDE w:val="0"/>
              <w:autoSpaceDN w:val="0"/>
              <w:adjustRightInd w:val="0"/>
              <w:spacing w:line="360" w:lineRule="auto"/>
              <w:rPr>
                <w:rFonts w:eastAsia="楷体_GB2312"/>
                <w:color w:val="000000"/>
                <w:sz w:val="24"/>
              </w:rPr>
            </w:pPr>
            <w:r>
              <w:rPr>
                <w:rFonts w:eastAsia="楷体_GB2312"/>
                <w:color w:val="000000"/>
                <w:sz w:val="24"/>
                <w:lang w:val="zh-CN"/>
              </w:rPr>
              <w:t>传真：</w:t>
            </w:r>
            <w:r>
              <w:rPr>
                <w:rFonts w:eastAsia="楷体_GB2312"/>
                <w:color w:val="000000"/>
                <w:sz w:val="24"/>
              </w:rPr>
              <w:tab/>
            </w:r>
            <w:r>
              <w:rPr>
                <w:rFonts w:eastAsia="楷体_GB2312"/>
                <w:color w:val="000000"/>
                <w:sz w:val="24"/>
              </w:rPr>
              <w:tab/>
            </w:r>
          </w:p>
        </w:tc>
      </w:tr>
      <w:tr>
        <w:tblPrEx>
          <w:tblCellMar>
            <w:top w:w="0" w:type="dxa"/>
            <w:left w:w="108" w:type="dxa"/>
            <w:bottom w:w="0" w:type="dxa"/>
            <w:right w:w="108" w:type="dxa"/>
          </w:tblCellMar>
        </w:tblPrEx>
        <w:tc>
          <w:tcPr>
            <w:tcW w:w="4320" w:type="dxa"/>
          </w:tcPr>
          <w:p>
            <w:pPr>
              <w:autoSpaceDE w:val="0"/>
              <w:autoSpaceDN w:val="0"/>
              <w:adjustRightInd w:val="0"/>
              <w:spacing w:line="360" w:lineRule="auto"/>
              <w:rPr>
                <w:rFonts w:eastAsia="楷体_GB2312"/>
                <w:color w:val="000000"/>
                <w:sz w:val="24"/>
              </w:rPr>
            </w:pPr>
            <w:r>
              <w:rPr>
                <w:rFonts w:eastAsia="楷体_GB2312"/>
                <w:color w:val="000000"/>
                <w:sz w:val="24"/>
                <w:lang w:val="zh-CN"/>
              </w:rPr>
              <w:t>开户银行：</w:t>
            </w:r>
          </w:p>
        </w:tc>
        <w:tc>
          <w:tcPr>
            <w:tcW w:w="4320" w:type="dxa"/>
          </w:tcPr>
          <w:p>
            <w:pPr>
              <w:autoSpaceDE w:val="0"/>
              <w:autoSpaceDN w:val="0"/>
              <w:adjustRightInd w:val="0"/>
              <w:spacing w:line="360" w:lineRule="auto"/>
              <w:rPr>
                <w:rFonts w:eastAsia="楷体_GB2312"/>
                <w:color w:val="000000"/>
                <w:sz w:val="24"/>
              </w:rPr>
            </w:pPr>
            <w:r>
              <w:rPr>
                <w:rFonts w:eastAsia="楷体_GB2312"/>
                <w:color w:val="000000"/>
                <w:sz w:val="24"/>
                <w:lang w:val="zh-CN"/>
              </w:rPr>
              <w:t>开户银行：</w:t>
            </w:r>
            <w:r>
              <w:rPr>
                <w:rFonts w:eastAsia="楷体_GB2312"/>
                <w:color w:val="000000"/>
                <w:sz w:val="24"/>
              </w:rPr>
              <w:tab/>
            </w:r>
          </w:p>
        </w:tc>
      </w:tr>
      <w:tr>
        <w:tblPrEx>
          <w:tblCellMar>
            <w:top w:w="0" w:type="dxa"/>
            <w:left w:w="108" w:type="dxa"/>
            <w:bottom w:w="0" w:type="dxa"/>
            <w:right w:w="108" w:type="dxa"/>
          </w:tblCellMar>
        </w:tblPrEx>
        <w:tc>
          <w:tcPr>
            <w:tcW w:w="4320" w:type="dxa"/>
          </w:tcPr>
          <w:p>
            <w:pPr>
              <w:autoSpaceDE w:val="0"/>
              <w:autoSpaceDN w:val="0"/>
              <w:adjustRightInd w:val="0"/>
              <w:spacing w:line="360" w:lineRule="auto"/>
              <w:rPr>
                <w:rFonts w:eastAsia="楷体_GB2312"/>
                <w:color w:val="000000"/>
                <w:sz w:val="24"/>
              </w:rPr>
            </w:pPr>
            <w:r>
              <w:rPr>
                <w:rFonts w:eastAsia="楷体_GB2312"/>
                <w:color w:val="000000"/>
                <w:sz w:val="24"/>
                <w:lang w:val="zh-CN"/>
              </w:rPr>
              <w:t>帐号：</w:t>
            </w:r>
            <w:r>
              <w:rPr>
                <w:rFonts w:eastAsia="楷体_GB2312"/>
                <w:color w:val="000000"/>
                <w:sz w:val="24"/>
              </w:rPr>
              <w:t xml:space="preserve"> </w:t>
            </w:r>
          </w:p>
        </w:tc>
        <w:tc>
          <w:tcPr>
            <w:tcW w:w="4320" w:type="dxa"/>
          </w:tcPr>
          <w:p>
            <w:pPr>
              <w:autoSpaceDE w:val="0"/>
              <w:autoSpaceDN w:val="0"/>
              <w:adjustRightInd w:val="0"/>
              <w:spacing w:line="360" w:lineRule="auto"/>
              <w:rPr>
                <w:rFonts w:eastAsia="楷体_GB2312"/>
                <w:color w:val="000000"/>
                <w:sz w:val="24"/>
              </w:rPr>
            </w:pPr>
            <w:r>
              <w:rPr>
                <w:rFonts w:eastAsia="楷体_GB2312"/>
                <w:color w:val="000000"/>
                <w:sz w:val="24"/>
                <w:lang w:val="zh-CN"/>
              </w:rPr>
              <w:t>帐号：</w:t>
            </w:r>
            <w:r>
              <w:rPr>
                <w:rFonts w:eastAsia="楷体_GB2312"/>
                <w:color w:val="000000"/>
                <w:sz w:val="24"/>
              </w:rPr>
              <w:tab/>
            </w:r>
            <w:r>
              <w:rPr>
                <w:rFonts w:eastAsia="楷体_GB2312"/>
                <w:color w:val="000000"/>
                <w:sz w:val="24"/>
              </w:rPr>
              <w:tab/>
            </w:r>
          </w:p>
        </w:tc>
      </w:tr>
      <w:tr>
        <w:tblPrEx>
          <w:tblCellMar>
            <w:top w:w="0" w:type="dxa"/>
            <w:left w:w="108" w:type="dxa"/>
            <w:bottom w:w="0" w:type="dxa"/>
            <w:right w:w="108" w:type="dxa"/>
          </w:tblCellMar>
        </w:tblPrEx>
        <w:trPr>
          <w:trHeight w:val="614" w:hRule="atLeast"/>
        </w:trPr>
        <w:tc>
          <w:tcPr>
            <w:tcW w:w="4320" w:type="dxa"/>
          </w:tcPr>
          <w:p>
            <w:pPr>
              <w:autoSpaceDE w:val="0"/>
              <w:autoSpaceDN w:val="0"/>
              <w:adjustRightInd w:val="0"/>
              <w:spacing w:line="360" w:lineRule="auto"/>
              <w:rPr>
                <w:rFonts w:eastAsia="楷体_GB2312"/>
                <w:color w:val="000000"/>
                <w:sz w:val="24"/>
              </w:rPr>
            </w:pPr>
            <w:r>
              <w:rPr>
                <w:rFonts w:eastAsia="楷体_GB2312"/>
                <w:color w:val="000000"/>
                <w:sz w:val="24"/>
                <w:lang w:val="zh-CN"/>
              </w:rPr>
              <w:t>采购方（盖章）：</w:t>
            </w:r>
            <w:r>
              <w:rPr>
                <w:rFonts w:eastAsia="楷体_GB2312"/>
                <w:color w:val="000000"/>
                <w:sz w:val="24"/>
              </w:rPr>
              <w:t xml:space="preserve"> </w:t>
            </w:r>
          </w:p>
        </w:tc>
        <w:tc>
          <w:tcPr>
            <w:tcW w:w="4320" w:type="dxa"/>
          </w:tcPr>
          <w:p>
            <w:pPr>
              <w:autoSpaceDE w:val="0"/>
              <w:autoSpaceDN w:val="0"/>
              <w:adjustRightInd w:val="0"/>
              <w:spacing w:line="360" w:lineRule="auto"/>
              <w:rPr>
                <w:rFonts w:eastAsia="楷体_GB2312"/>
                <w:color w:val="000000"/>
                <w:sz w:val="24"/>
              </w:rPr>
            </w:pPr>
          </w:p>
        </w:tc>
      </w:tr>
      <w:tr>
        <w:tblPrEx>
          <w:tblCellMar>
            <w:top w:w="0" w:type="dxa"/>
            <w:left w:w="108" w:type="dxa"/>
            <w:bottom w:w="0" w:type="dxa"/>
            <w:right w:w="108" w:type="dxa"/>
          </w:tblCellMar>
        </w:tblPrEx>
        <w:tc>
          <w:tcPr>
            <w:tcW w:w="4320" w:type="dxa"/>
          </w:tcPr>
          <w:p>
            <w:pPr>
              <w:autoSpaceDE w:val="0"/>
              <w:autoSpaceDN w:val="0"/>
              <w:adjustRightInd w:val="0"/>
              <w:spacing w:line="360" w:lineRule="auto"/>
              <w:rPr>
                <w:rFonts w:eastAsia="楷体_GB2312"/>
                <w:color w:val="000000"/>
                <w:sz w:val="24"/>
              </w:rPr>
            </w:pPr>
            <w:r>
              <w:rPr>
                <w:rFonts w:eastAsia="楷体_GB2312"/>
                <w:color w:val="000000"/>
                <w:sz w:val="24"/>
                <w:lang w:val="zh-CN"/>
              </w:rPr>
              <w:t>法定代表人或委托受权人：</w:t>
            </w:r>
          </w:p>
        </w:tc>
        <w:tc>
          <w:tcPr>
            <w:tcW w:w="4320" w:type="dxa"/>
          </w:tcPr>
          <w:p>
            <w:pPr>
              <w:autoSpaceDE w:val="0"/>
              <w:autoSpaceDN w:val="0"/>
              <w:adjustRightInd w:val="0"/>
              <w:spacing w:line="360" w:lineRule="auto"/>
              <w:rPr>
                <w:rFonts w:eastAsia="楷体_GB2312"/>
                <w:color w:val="000000"/>
                <w:sz w:val="24"/>
              </w:rPr>
            </w:pPr>
          </w:p>
        </w:tc>
      </w:tr>
      <w:tr>
        <w:tblPrEx>
          <w:tblCellMar>
            <w:top w:w="0" w:type="dxa"/>
            <w:left w:w="108" w:type="dxa"/>
            <w:bottom w:w="0" w:type="dxa"/>
            <w:right w:w="108" w:type="dxa"/>
          </w:tblCellMar>
        </w:tblPrEx>
        <w:tc>
          <w:tcPr>
            <w:tcW w:w="4320" w:type="dxa"/>
          </w:tcPr>
          <w:p>
            <w:pPr>
              <w:autoSpaceDE w:val="0"/>
              <w:autoSpaceDN w:val="0"/>
              <w:adjustRightInd w:val="0"/>
              <w:spacing w:line="360" w:lineRule="auto"/>
              <w:rPr>
                <w:rFonts w:eastAsia="楷体_GB2312"/>
                <w:color w:val="000000"/>
                <w:sz w:val="24"/>
              </w:rPr>
            </w:pPr>
            <w:r>
              <w:rPr>
                <w:rFonts w:eastAsia="楷体_GB2312"/>
                <w:color w:val="000000"/>
                <w:sz w:val="24"/>
                <w:lang w:val="zh-CN"/>
              </w:rPr>
              <w:t>（签字）</w:t>
            </w:r>
          </w:p>
        </w:tc>
        <w:tc>
          <w:tcPr>
            <w:tcW w:w="4320" w:type="dxa"/>
          </w:tcPr>
          <w:p>
            <w:pPr>
              <w:autoSpaceDE w:val="0"/>
              <w:autoSpaceDN w:val="0"/>
              <w:adjustRightInd w:val="0"/>
              <w:spacing w:line="360" w:lineRule="auto"/>
              <w:rPr>
                <w:rFonts w:eastAsia="楷体_GB2312"/>
                <w:color w:val="000000"/>
                <w:sz w:val="24"/>
              </w:rPr>
            </w:pPr>
          </w:p>
        </w:tc>
      </w:tr>
      <w:tr>
        <w:tblPrEx>
          <w:tblCellMar>
            <w:top w:w="0" w:type="dxa"/>
            <w:left w:w="108" w:type="dxa"/>
            <w:bottom w:w="0" w:type="dxa"/>
            <w:right w:w="108" w:type="dxa"/>
          </w:tblCellMar>
        </w:tblPrEx>
        <w:tc>
          <w:tcPr>
            <w:tcW w:w="4320" w:type="dxa"/>
          </w:tcPr>
          <w:p>
            <w:pPr>
              <w:autoSpaceDE w:val="0"/>
              <w:autoSpaceDN w:val="0"/>
              <w:adjustRightInd w:val="0"/>
              <w:spacing w:line="360" w:lineRule="auto"/>
              <w:rPr>
                <w:rFonts w:eastAsia="楷体_GB2312"/>
                <w:color w:val="000000"/>
                <w:sz w:val="24"/>
              </w:rPr>
            </w:pPr>
            <w:r>
              <w:rPr>
                <w:rFonts w:eastAsia="楷体_GB2312"/>
                <w:color w:val="000000"/>
                <w:sz w:val="24"/>
                <w:lang w:val="zh-CN"/>
              </w:rPr>
              <w:t>地址：</w:t>
            </w:r>
            <w:r>
              <w:rPr>
                <w:rFonts w:eastAsia="楷体_GB2312"/>
                <w:color w:val="000000"/>
                <w:sz w:val="24"/>
              </w:rPr>
              <w:tab/>
            </w:r>
            <w:r>
              <w:rPr>
                <w:rFonts w:eastAsia="楷体_GB2312"/>
                <w:color w:val="000000"/>
                <w:sz w:val="24"/>
                <w:lang w:val="zh-CN"/>
              </w:rPr>
              <w:t>杭州市余杭塘路</w:t>
            </w:r>
            <w:r>
              <w:rPr>
                <w:rFonts w:eastAsia="楷体_GB2312"/>
                <w:color w:val="000000"/>
                <w:sz w:val="24"/>
              </w:rPr>
              <w:t>866</w:t>
            </w:r>
            <w:r>
              <w:rPr>
                <w:rFonts w:eastAsia="楷体_GB2312"/>
                <w:color w:val="000000"/>
                <w:sz w:val="24"/>
                <w:lang w:val="zh-CN"/>
              </w:rPr>
              <w:t>号</w:t>
            </w:r>
          </w:p>
        </w:tc>
        <w:tc>
          <w:tcPr>
            <w:tcW w:w="4320" w:type="dxa"/>
          </w:tcPr>
          <w:p>
            <w:pPr>
              <w:autoSpaceDE w:val="0"/>
              <w:autoSpaceDN w:val="0"/>
              <w:adjustRightInd w:val="0"/>
              <w:spacing w:line="360" w:lineRule="auto"/>
              <w:rPr>
                <w:rFonts w:eastAsia="楷体_GB2312"/>
                <w:color w:val="000000"/>
                <w:sz w:val="24"/>
              </w:rPr>
            </w:pPr>
          </w:p>
        </w:tc>
      </w:tr>
      <w:tr>
        <w:tblPrEx>
          <w:tblCellMar>
            <w:top w:w="0" w:type="dxa"/>
            <w:left w:w="108" w:type="dxa"/>
            <w:bottom w:w="0" w:type="dxa"/>
            <w:right w:w="108" w:type="dxa"/>
          </w:tblCellMar>
        </w:tblPrEx>
        <w:tc>
          <w:tcPr>
            <w:tcW w:w="4320" w:type="dxa"/>
          </w:tcPr>
          <w:p>
            <w:pPr>
              <w:autoSpaceDE w:val="0"/>
              <w:autoSpaceDN w:val="0"/>
              <w:adjustRightInd w:val="0"/>
              <w:spacing w:line="360" w:lineRule="auto"/>
              <w:rPr>
                <w:rFonts w:eastAsia="楷体_GB2312"/>
                <w:color w:val="000000"/>
                <w:sz w:val="24"/>
              </w:rPr>
            </w:pPr>
            <w:r>
              <w:rPr>
                <w:rFonts w:eastAsia="楷体_GB2312"/>
                <w:color w:val="000000"/>
                <w:sz w:val="24"/>
                <w:lang w:val="zh-CN"/>
              </w:rPr>
              <w:t>邮编：</w:t>
            </w:r>
            <w:r>
              <w:rPr>
                <w:rFonts w:eastAsia="楷体_GB2312"/>
                <w:color w:val="000000"/>
                <w:sz w:val="24"/>
              </w:rPr>
              <w:tab/>
            </w:r>
            <w:r>
              <w:rPr>
                <w:rFonts w:eastAsia="楷体_GB2312"/>
                <w:color w:val="000000"/>
                <w:sz w:val="24"/>
              </w:rPr>
              <w:t>310058</w:t>
            </w:r>
          </w:p>
        </w:tc>
        <w:tc>
          <w:tcPr>
            <w:tcW w:w="4320" w:type="dxa"/>
          </w:tcPr>
          <w:p>
            <w:pPr>
              <w:autoSpaceDE w:val="0"/>
              <w:autoSpaceDN w:val="0"/>
              <w:adjustRightInd w:val="0"/>
              <w:spacing w:line="360" w:lineRule="auto"/>
              <w:rPr>
                <w:rFonts w:eastAsia="楷体_GB2312"/>
                <w:color w:val="000000"/>
                <w:sz w:val="24"/>
              </w:rPr>
            </w:pPr>
          </w:p>
        </w:tc>
      </w:tr>
      <w:tr>
        <w:tblPrEx>
          <w:tblCellMar>
            <w:top w:w="0" w:type="dxa"/>
            <w:left w:w="108" w:type="dxa"/>
            <w:bottom w:w="0" w:type="dxa"/>
            <w:right w:w="108" w:type="dxa"/>
          </w:tblCellMar>
        </w:tblPrEx>
        <w:tc>
          <w:tcPr>
            <w:tcW w:w="4320" w:type="dxa"/>
          </w:tcPr>
          <w:p>
            <w:pPr>
              <w:autoSpaceDE w:val="0"/>
              <w:autoSpaceDN w:val="0"/>
              <w:adjustRightInd w:val="0"/>
              <w:spacing w:line="360" w:lineRule="auto"/>
              <w:rPr>
                <w:rFonts w:eastAsia="楷体_GB2312"/>
                <w:color w:val="000000"/>
                <w:sz w:val="24"/>
              </w:rPr>
            </w:pPr>
            <w:r>
              <w:rPr>
                <w:rFonts w:eastAsia="楷体_GB2312"/>
                <w:color w:val="000000"/>
                <w:sz w:val="24"/>
                <w:lang w:val="zh-CN"/>
              </w:rPr>
              <w:t>电话：</w:t>
            </w:r>
            <w:r>
              <w:rPr>
                <w:rFonts w:eastAsia="楷体_GB2312"/>
                <w:color w:val="000000"/>
                <w:sz w:val="24"/>
              </w:rPr>
              <w:tab/>
            </w:r>
            <w:r>
              <w:rPr>
                <w:rFonts w:eastAsia="楷体_GB2312"/>
                <w:color w:val="000000"/>
                <w:sz w:val="24"/>
              </w:rPr>
              <w:t>0571-88981399</w:t>
            </w:r>
          </w:p>
        </w:tc>
        <w:tc>
          <w:tcPr>
            <w:tcW w:w="4320" w:type="dxa"/>
          </w:tcPr>
          <w:p>
            <w:pPr>
              <w:autoSpaceDE w:val="0"/>
              <w:autoSpaceDN w:val="0"/>
              <w:adjustRightInd w:val="0"/>
              <w:spacing w:line="360" w:lineRule="auto"/>
              <w:rPr>
                <w:rFonts w:eastAsia="楷体_GB2312"/>
                <w:color w:val="000000"/>
                <w:sz w:val="24"/>
              </w:rPr>
            </w:pPr>
          </w:p>
        </w:tc>
      </w:tr>
      <w:tr>
        <w:tblPrEx>
          <w:tblCellMar>
            <w:top w:w="0" w:type="dxa"/>
            <w:left w:w="108" w:type="dxa"/>
            <w:bottom w:w="0" w:type="dxa"/>
            <w:right w:w="108" w:type="dxa"/>
          </w:tblCellMar>
        </w:tblPrEx>
        <w:tc>
          <w:tcPr>
            <w:tcW w:w="4320" w:type="dxa"/>
          </w:tcPr>
          <w:p>
            <w:pPr>
              <w:autoSpaceDE w:val="0"/>
              <w:autoSpaceDN w:val="0"/>
              <w:adjustRightInd w:val="0"/>
              <w:spacing w:line="360" w:lineRule="auto"/>
              <w:rPr>
                <w:rFonts w:eastAsia="楷体_GB2312"/>
                <w:color w:val="000000"/>
                <w:sz w:val="24"/>
              </w:rPr>
            </w:pPr>
            <w:r>
              <w:rPr>
                <w:rFonts w:eastAsia="楷体_GB2312"/>
                <w:color w:val="000000"/>
                <w:sz w:val="24"/>
                <w:lang w:val="zh-CN"/>
              </w:rPr>
              <w:t>传真：</w:t>
            </w:r>
            <w:r>
              <w:rPr>
                <w:rFonts w:eastAsia="楷体_GB2312"/>
                <w:color w:val="000000"/>
                <w:sz w:val="24"/>
              </w:rPr>
              <w:tab/>
            </w:r>
            <w:r>
              <w:rPr>
                <w:rFonts w:eastAsia="楷体_GB2312"/>
                <w:color w:val="000000"/>
                <w:sz w:val="24"/>
              </w:rPr>
              <w:t>0571-88981382</w:t>
            </w:r>
          </w:p>
        </w:tc>
        <w:tc>
          <w:tcPr>
            <w:tcW w:w="4320" w:type="dxa"/>
          </w:tcPr>
          <w:p>
            <w:pPr>
              <w:autoSpaceDE w:val="0"/>
              <w:autoSpaceDN w:val="0"/>
              <w:adjustRightInd w:val="0"/>
              <w:spacing w:line="360" w:lineRule="auto"/>
              <w:rPr>
                <w:rFonts w:eastAsia="楷体_GB2312"/>
                <w:color w:val="000000"/>
                <w:sz w:val="24"/>
              </w:rPr>
            </w:pPr>
          </w:p>
        </w:tc>
      </w:tr>
      <w:tr>
        <w:tblPrEx>
          <w:tblCellMar>
            <w:top w:w="0" w:type="dxa"/>
            <w:left w:w="108" w:type="dxa"/>
            <w:bottom w:w="0" w:type="dxa"/>
            <w:right w:w="108" w:type="dxa"/>
          </w:tblCellMar>
        </w:tblPrEx>
        <w:tc>
          <w:tcPr>
            <w:tcW w:w="4320" w:type="dxa"/>
          </w:tcPr>
          <w:p>
            <w:pPr>
              <w:autoSpaceDE w:val="0"/>
              <w:autoSpaceDN w:val="0"/>
              <w:adjustRightInd w:val="0"/>
              <w:spacing w:line="360" w:lineRule="auto"/>
              <w:rPr>
                <w:rFonts w:eastAsia="楷体_GB2312"/>
                <w:color w:val="000000"/>
                <w:sz w:val="24"/>
              </w:rPr>
            </w:pPr>
            <w:r>
              <w:rPr>
                <w:rFonts w:eastAsia="楷体_GB2312"/>
                <w:color w:val="000000"/>
                <w:sz w:val="24"/>
                <w:lang w:val="zh-CN"/>
              </w:rPr>
              <w:t>单位名称：浙江大学</w:t>
            </w:r>
          </w:p>
        </w:tc>
        <w:tc>
          <w:tcPr>
            <w:tcW w:w="4320" w:type="dxa"/>
          </w:tcPr>
          <w:p>
            <w:pPr>
              <w:autoSpaceDE w:val="0"/>
              <w:autoSpaceDN w:val="0"/>
              <w:adjustRightInd w:val="0"/>
              <w:spacing w:line="360" w:lineRule="auto"/>
              <w:rPr>
                <w:rFonts w:eastAsia="楷体_GB2312"/>
                <w:color w:val="000000"/>
                <w:sz w:val="24"/>
              </w:rPr>
            </w:pPr>
          </w:p>
        </w:tc>
      </w:tr>
      <w:tr>
        <w:tblPrEx>
          <w:tblCellMar>
            <w:top w:w="0" w:type="dxa"/>
            <w:left w:w="108" w:type="dxa"/>
            <w:bottom w:w="0" w:type="dxa"/>
            <w:right w:w="108" w:type="dxa"/>
          </w:tblCellMar>
        </w:tblPrEx>
        <w:tc>
          <w:tcPr>
            <w:tcW w:w="4320" w:type="dxa"/>
          </w:tcPr>
          <w:p>
            <w:pPr>
              <w:autoSpaceDE w:val="0"/>
              <w:autoSpaceDN w:val="0"/>
              <w:adjustRightInd w:val="0"/>
              <w:spacing w:line="360" w:lineRule="auto"/>
              <w:ind w:left="1540" w:hanging="1540"/>
              <w:rPr>
                <w:rFonts w:eastAsia="楷体_GB2312"/>
                <w:color w:val="000000"/>
                <w:sz w:val="24"/>
              </w:rPr>
            </w:pPr>
            <w:r>
              <w:rPr>
                <w:rFonts w:eastAsia="楷体_GB2312"/>
                <w:color w:val="000000"/>
                <w:sz w:val="24"/>
                <w:lang w:val="zh-CN"/>
              </w:rPr>
              <w:t>开户银行：农行杭州市浙大支行紫金港分理处</w:t>
            </w:r>
          </w:p>
        </w:tc>
        <w:tc>
          <w:tcPr>
            <w:tcW w:w="4320" w:type="dxa"/>
          </w:tcPr>
          <w:p>
            <w:pPr>
              <w:autoSpaceDE w:val="0"/>
              <w:autoSpaceDN w:val="0"/>
              <w:adjustRightInd w:val="0"/>
              <w:spacing w:line="360" w:lineRule="auto"/>
              <w:rPr>
                <w:rFonts w:eastAsia="楷体_GB2312"/>
                <w:color w:val="000000"/>
                <w:sz w:val="24"/>
              </w:rPr>
            </w:pPr>
          </w:p>
        </w:tc>
      </w:tr>
      <w:tr>
        <w:tblPrEx>
          <w:tblCellMar>
            <w:top w:w="0" w:type="dxa"/>
            <w:left w:w="108" w:type="dxa"/>
            <w:bottom w:w="0" w:type="dxa"/>
            <w:right w:w="108" w:type="dxa"/>
          </w:tblCellMar>
        </w:tblPrEx>
        <w:tc>
          <w:tcPr>
            <w:tcW w:w="4320" w:type="dxa"/>
          </w:tcPr>
          <w:p>
            <w:pPr>
              <w:autoSpaceDE w:val="0"/>
              <w:autoSpaceDN w:val="0"/>
              <w:adjustRightInd w:val="0"/>
              <w:spacing w:line="360" w:lineRule="auto"/>
              <w:rPr>
                <w:rFonts w:eastAsia="楷体_GB2312"/>
                <w:color w:val="000000"/>
                <w:sz w:val="24"/>
              </w:rPr>
            </w:pPr>
            <w:r>
              <w:rPr>
                <w:rFonts w:eastAsia="楷体_GB2312"/>
                <w:color w:val="000000"/>
                <w:sz w:val="24"/>
                <w:lang w:val="zh-CN"/>
              </w:rPr>
              <w:t>银行帐号：19</w:t>
            </w:r>
            <w:r>
              <w:rPr>
                <w:rFonts w:eastAsia="楷体_GB2312"/>
                <w:color w:val="000000"/>
                <w:sz w:val="24"/>
              </w:rPr>
              <w:t>042201040000014</w:t>
            </w:r>
          </w:p>
        </w:tc>
        <w:tc>
          <w:tcPr>
            <w:tcW w:w="4320" w:type="dxa"/>
          </w:tcPr>
          <w:p>
            <w:pPr>
              <w:autoSpaceDE w:val="0"/>
              <w:autoSpaceDN w:val="0"/>
              <w:adjustRightInd w:val="0"/>
              <w:spacing w:line="360" w:lineRule="auto"/>
              <w:rPr>
                <w:rFonts w:eastAsia="楷体_GB2312"/>
                <w:color w:val="000000"/>
                <w:sz w:val="24"/>
              </w:rPr>
            </w:pPr>
          </w:p>
        </w:tc>
      </w:tr>
    </w:tbl>
    <w:p/>
    <w:sectPr>
      <w:headerReference r:id="rId16" w:type="default"/>
      <w:pgSz w:w="11906" w:h="16838"/>
      <w:pgMar w:top="1418" w:right="1531" w:bottom="1304" w:left="1797"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Arial">
    <w:panose1 w:val="020B0604020202020204"/>
    <w:charset w:val="00"/>
    <w:family w:val="swiss"/>
    <w:pitch w:val="default"/>
    <w:sig w:usb0="E0002AFF" w:usb1="C0007843" w:usb2="00000009" w:usb3="00000000" w:csb0="400001FF" w:csb1="FFFF0000"/>
  </w:font>
  <w:font w:name="楷体">
    <w:panose1 w:val="02010609060101010101"/>
    <w:charset w:val="86"/>
    <w:family w:val="modern"/>
    <w:pitch w:val="default"/>
    <w:sig w:usb0="800002BF" w:usb1="38CF7CFA" w:usb2="00000016" w:usb3="00000000" w:csb0="00040001" w:csb1="00000000"/>
  </w:font>
  <w:font w:name="Cambria">
    <w:panose1 w:val="02040503050406030204"/>
    <w:charset w:val="00"/>
    <w:family w:val="roman"/>
    <w:pitch w:val="default"/>
    <w:sig w:usb0="E00002FF" w:usb1="400004FF" w:usb2="00000000" w:usb3="00000000" w:csb0="2000019F" w:csb1="00000000"/>
  </w:font>
  <w:font w:name="Courier New">
    <w:panose1 w:val="02070309020205020404"/>
    <w:charset w:val="00"/>
    <w:family w:val="modern"/>
    <w:pitch w:val="default"/>
    <w:sig w:usb0="E0002AFF" w:usb1="C0007843" w:usb2="00000009" w:usb3="00000000" w:csb0="400001FF" w:csb1="FFFF0000"/>
  </w:font>
  <w:font w:name="仿宋_GB2312">
    <w:altName w:val="仿宋"/>
    <w:panose1 w:val="02010609030101010101"/>
    <w:charset w:val="86"/>
    <w:family w:val="modern"/>
    <w:pitch w:val="default"/>
    <w:sig w:usb0="00000000" w:usb1="00000000" w:usb2="00000010" w:usb3="00000000" w:csb0="00040000" w:csb1="00000000"/>
  </w:font>
  <w:font w:name="微软雅黑">
    <w:panose1 w:val="020B0503020204020204"/>
    <w:charset w:val="86"/>
    <w:family w:val="swiss"/>
    <w:pitch w:val="default"/>
    <w:sig w:usb0="80000287" w:usb1="280F3C52" w:usb2="00000016" w:usb3="00000000" w:csb0="0004001F" w:csb1="00000000"/>
  </w:font>
  <w:font w:name="新宋体">
    <w:panose1 w:val="02010609030101010101"/>
    <w:charset w:val="86"/>
    <w:family w:val="modern"/>
    <w:pitch w:val="default"/>
    <w:sig w:usb0="00000003" w:usb1="288F0000" w:usb2="00000006" w:usb3="00000000" w:csb0="00040001" w:csb1="00000000"/>
  </w:font>
  <w:font w:name="PMingLiU">
    <w:panose1 w:val="02020500000000000000"/>
    <w:charset w:val="88"/>
    <w:family w:val="roman"/>
    <w:pitch w:val="default"/>
    <w:sig w:usb0="A00002FF" w:usb1="28CFFCFA" w:usb2="00000016" w:usb3="00000000" w:csb0="00100001" w:csb1="00000000"/>
  </w:font>
  <w:font w:name="楷体_GB2312">
    <w:panose1 w:val="02010609030101010101"/>
    <w:charset w:val="86"/>
    <w:family w:val="modern"/>
    <w:pitch w:val="default"/>
    <w:sig w:usb0="00000001" w:usb1="080E0000" w:usb2="00000000" w:usb3="00000000" w:csb0="00040000" w:csb1="00000000"/>
  </w:font>
  <w:font w:name="仿宋">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0"/>
      <w:framePr w:wrap="around" w:vAnchor="text" w:hAnchor="page" w:x="6279" w:y="-68"/>
      <w:rPr>
        <w:rStyle w:val="30"/>
      </w:rPr>
    </w:pPr>
  </w:p>
  <w:p>
    <w:pPr>
      <w:pStyle w:val="2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0"/>
      <w:framePr w:wrap="around" w:vAnchor="text" w:hAnchor="page" w:x="6279" w:y="-68"/>
      <w:rPr>
        <w:rStyle w:val="30"/>
      </w:rPr>
    </w:pPr>
    <w:r>
      <w:fldChar w:fldCharType="begin"/>
    </w:r>
    <w:r>
      <w:rPr>
        <w:rStyle w:val="30"/>
      </w:rPr>
      <w:instrText xml:space="preserve">PAGE  </w:instrText>
    </w:r>
    <w:r>
      <w:fldChar w:fldCharType="separate"/>
    </w:r>
    <w:r>
      <w:rPr>
        <w:rStyle w:val="30"/>
      </w:rPr>
      <w:t>7</w:t>
    </w:r>
    <w:r>
      <w:fldChar w:fldCharType="end"/>
    </w:r>
  </w:p>
  <w:p>
    <w:pPr>
      <w:pStyle w:val="20"/>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1"/>
      <w:pBdr>
        <w:bottom w:val="single" w:color="auto" w:sz="6" w:space="3"/>
      </w:pBdr>
    </w:pPr>
    <w:r>
      <w:rPr>
        <w:rFonts w:hint="eastAsia"/>
      </w:rPr>
      <w:t>浙江大学单一来源谈判采购文件（目录）</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1"/>
      <w:pBdr>
        <w:bottom w:val="single" w:color="auto" w:sz="6" w:space="3"/>
      </w:pBdr>
    </w:pPr>
    <w:r>
      <w:rPr>
        <w:rFonts w:hint="eastAsia"/>
      </w:rPr>
      <w:t>浙江大学单一来源谈判采购文件（采购公告）</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1"/>
      <w:pBdr>
        <w:bottom w:val="single" w:color="auto" w:sz="6" w:space="3"/>
      </w:pBdr>
    </w:pPr>
    <w:r>
      <w:rPr>
        <w:rFonts w:hint="eastAsia"/>
      </w:rPr>
      <w:t>浙江大学单一来源谈判采购文件（谈判须知）</w:t>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1"/>
      <w:pBdr>
        <w:bottom w:val="single" w:color="auto" w:sz="6" w:space="3"/>
      </w:pBdr>
    </w:pPr>
    <w:r>
      <w:rPr>
        <w:rFonts w:hint="eastAsia"/>
      </w:rPr>
      <w:t>浙江大学单一来源谈判采购文件（附件--------谈判响应书）</w:t>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1"/>
      <w:pBdr>
        <w:bottom w:val="single" w:color="auto" w:sz="6" w:space="3"/>
      </w:pBdr>
    </w:pPr>
    <w:r>
      <w:rPr>
        <w:rFonts w:hint="eastAsia"/>
      </w:rPr>
      <w:t>浙江大学单一来源谈判采购文件（附件--------初次报价表）</w:t>
    </w: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1"/>
      <w:pBdr>
        <w:bottom w:val="single" w:color="auto" w:sz="6" w:space="3"/>
      </w:pBdr>
    </w:pPr>
    <w:r>
      <w:rPr>
        <w:rFonts w:hint="eastAsia"/>
      </w:rPr>
      <w:t>浙江大学单一来源谈判采购文件（附件-------货物说明一览表）</w:t>
    </w: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1"/>
      <w:pBdr>
        <w:bottom w:val="single" w:color="auto" w:sz="6" w:space="3"/>
      </w:pBdr>
    </w:pPr>
    <w:r>
      <w:rPr>
        <w:rFonts w:hint="eastAsia"/>
      </w:rPr>
      <w:t>浙江大学单一来源谈判采购文件（附件-------技术偏离表）</w:t>
    </w:r>
  </w:p>
</w:hdr>
</file>

<file path=word/header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1"/>
      <w:pBdr>
        <w:bottom w:val="single" w:color="auto" w:sz="6" w:space="3"/>
      </w:pBdr>
    </w:pPr>
    <w:r>
      <w:rPr>
        <w:rFonts w:hint="eastAsia"/>
      </w:rPr>
      <w:t>浙江大学单一来源谈判采购文件（附件--------法定代表人授权书）</w:t>
    </w:r>
  </w:p>
</w:hdr>
</file>

<file path=word/header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1"/>
      <w:pBdr>
        <w:bottom w:val="single" w:color="auto" w:sz="6" w:space="3"/>
      </w:pBdr>
    </w:pPr>
    <w:r>
      <w:rPr>
        <w:rFonts w:hint="eastAsia"/>
      </w:rPr>
      <w:t>浙江大学单一来源谈判采购文件（附件--------关于资格的声明函）</w:t>
    </w:r>
  </w:p>
</w:hdr>
</file>

<file path=word/header10.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1"/>
      <w:pBdr>
        <w:bottom w:val="single" w:color="auto" w:sz="6" w:space="3"/>
      </w:pBdr>
    </w:pPr>
    <w:r>
      <w:rPr>
        <w:rFonts w:hint="eastAsia"/>
      </w:rPr>
      <w:t>浙江大学单一来源谈判采购文件（评审办法）</w:t>
    </w:r>
  </w:p>
</w:hdr>
</file>

<file path=word/header1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1"/>
      <w:pBdr>
        <w:bottom w:val="single" w:color="auto" w:sz="6" w:space="3"/>
      </w:pBdr>
    </w:pPr>
    <w:r>
      <w:rPr>
        <w:rFonts w:hint="eastAsia"/>
      </w:rPr>
      <w:t>浙江大学单一来源谈判采购文件（谈判要点）</w:t>
    </w:r>
  </w:p>
</w:hdr>
</file>

<file path=word/header1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1"/>
      <w:pBdr>
        <w:bottom w:val="single" w:color="auto" w:sz="6" w:space="3"/>
      </w:pBdr>
    </w:pPr>
    <w:r>
      <w:rPr>
        <w:rFonts w:hint="eastAsia"/>
      </w:rPr>
      <w:t>浙江大学单一来源谈判采购文件（合同范本）</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88A76B"/>
    <w:multiLevelType w:val="singleLevel"/>
    <w:tmpl w:val="0188A76B"/>
    <w:lvl w:ilvl="0" w:tentative="0">
      <w:start w:val="1"/>
      <w:numFmt w:val="decimal"/>
      <w:lvlText w:val="%1."/>
      <w:lvlJc w:val="left"/>
      <w:pPr>
        <w:ind w:left="425" w:hanging="425"/>
      </w:pPr>
      <w:rPr>
        <w:rFonts w:hint="default"/>
      </w:rPr>
    </w:lvl>
  </w:abstractNum>
  <w:abstractNum w:abstractNumId="1">
    <w:nsid w:val="52346D36"/>
    <w:multiLevelType w:val="multilevel"/>
    <w:tmpl w:val="52346D36"/>
    <w:lvl w:ilvl="0" w:tentative="0">
      <w:start w:val="1"/>
      <w:numFmt w:val="decimal"/>
      <w:lvlText w:val="%1、"/>
      <w:lvlJc w:val="left"/>
      <w:pPr>
        <w:tabs>
          <w:tab w:val="left" w:pos="360"/>
        </w:tabs>
        <w:ind w:left="360" w:hanging="360"/>
      </w:pPr>
      <w:rPr>
        <w:rFonts w:hint="eastAsia"/>
      </w:rPr>
    </w:lvl>
    <w:lvl w:ilvl="1" w:tentative="0">
      <w:start w:val="1"/>
      <w:numFmt w:val="lowerLetter"/>
      <w:lvlText w:val="%2)"/>
      <w:lvlJc w:val="left"/>
      <w:pPr>
        <w:tabs>
          <w:tab w:val="left" w:pos="840"/>
        </w:tabs>
        <w:ind w:left="840" w:hanging="420"/>
      </w:pPr>
    </w:lvl>
    <w:lvl w:ilvl="2" w:tentative="0">
      <w:start w:val="1"/>
      <w:numFmt w:val="lowerRoman"/>
      <w:lvlText w:val="%3."/>
      <w:lvlJc w:val="right"/>
      <w:pPr>
        <w:tabs>
          <w:tab w:val="left" w:pos="1260"/>
        </w:tabs>
        <w:ind w:left="1260" w:hanging="420"/>
      </w:p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abstractNum w:abstractNumId="2">
    <w:nsid w:val="74344862"/>
    <w:multiLevelType w:val="multilevel"/>
    <w:tmpl w:val="74344862"/>
    <w:lvl w:ilvl="0" w:tentative="0">
      <w:start w:val="1"/>
      <w:numFmt w:val="decimal"/>
      <w:pStyle w:val="4"/>
      <w:isLgl/>
      <w:lvlText w:val="%1."/>
      <w:lvlJc w:val="left"/>
      <w:pPr>
        <w:tabs>
          <w:tab w:val="left" w:pos="360"/>
        </w:tabs>
        <w:ind w:left="0" w:firstLine="0"/>
      </w:pPr>
      <w:rPr>
        <w:rFonts w:hint="default" w:ascii="Arial" w:hAnsi="Arial"/>
        <w:b/>
        <w:i w:val="0"/>
        <w:sz w:val="32"/>
      </w:rPr>
    </w:lvl>
    <w:lvl w:ilvl="1" w:tentative="0">
      <w:start w:val="1"/>
      <w:numFmt w:val="decimal"/>
      <w:pStyle w:val="5"/>
      <w:lvlText w:val="%1.%2."/>
      <w:lvlJc w:val="left"/>
      <w:pPr>
        <w:tabs>
          <w:tab w:val="left" w:pos="720"/>
        </w:tabs>
        <w:ind w:left="567" w:hanging="567"/>
      </w:pPr>
      <w:rPr>
        <w:rFonts w:hint="eastAsia"/>
      </w:rPr>
    </w:lvl>
    <w:lvl w:ilvl="2" w:tentative="0">
      <w:start w:val="1"/>
      <w:numFmt w:val="decimal"/>
      <w:pStyle w:val="6"/>
      <w:lvlText w:val="%1.%2.%3."/>
      <w:lvlJc w:val="left"/>
      <w:pPr>
        <w:tabs>
          <w:tab w:val="left" w:pos="709"/>
        </w:tabs>
        <w:ind w:left="709" w:hanging="709"/>
      </w:pPr>
      <w:rPr>
        <w:rFonts w:hint="eastAsia"/>
      </w:rPr>
    </w:lvl>
    <w:lvl w:ilvl="3" w:tentative="0">
      <w:start w:val="1"/>
      <w:numFmt w:val="decimal"/>
      <w:lvlText w:val="%1.%2.%3.%4."/>
      <w:lvlJc w:val="left"/>
      <w:pPr>
        <w:tabs>
          <w:tab w:val="left" w:pos="851"/>
        </w:tabs>
        <w:ind w:left="851" w:hanging="851"/>
      </w:pPr>
      <w:rPr>
        <w:rFonts w:hint="eastAsia"/>
      </w:rPr>
    </w:lvl>
    <w:lvl w:ilvl="4" w:tentative="0">
      <w:start w:val="1"/>
      <w:numFmt w:val="decimal"/>
      <w:lvlText w:val="%1.%2.%3.%4.%5."/>
      <w:lvlJc w:val="left"/>
      <w:pPr>
        <w:tabs>
          <w:tab w:val="left" w:pos="992"/>
        </w:tabs>
        <w:ind w:left="992" w:hanging="992"/>
      </w:pPr>
      <w:rPr>
        <w:rFonts w:hint="eastAsia"/>
      </w:rPr>
    </w:lvl>
    <w:lvl w:ilvl="5" w:tentative="0">
      <w:start w:val="1"/>
      <w:numFmt w:val="decimal"/>
      <w:lvlText w:val="%1.%2.%3.%4.%5.%6."/>
      <w:lvlJc w:val="left"/>
      <w:pPr>
        <w:tabs>
          <w:tab w:val="left" w:pos="1134"/>
        </w:tabs>
        <w:ind w:left="1134" w:hanging="1134"/>
      </w:pPr>
      <w:rPr>
        <w:rFonts w:hint="eastAsia"/>
      </w:rPr>
    </w:lvl>
    <w:lvl w:ilvl="6" w:tentative="0">
      <w:start w:val="1"/>
      <w:numFmt w:val="decimal"/>
      <w:lvlText w:val="%1.%2.%3.%4.%5.%6.%7."/>
      <w:lvlJc w:val="left"/>
      <w:pPr>
        <w:tabs>
          <w:tab w:val="left" w:pos="1276"/>
        </w:tabs>
        <w:ind w:left="1276" w:hanging="1276"/>
      </w:pPr>
      <w:rPr>
        <w:rFonts w:hint="eastAsia"/>
      </w:rPr>
    </w:lvl>
    <w:lvl w:ilvl="7" w:tentative="0">
      <w:start w:val="1"/>
      <w:numFmt w:val="decimal"/>
      <w:lvlText w:val="%1.%2.%3.%4.%5.%6.%7.%8."/>
      <w:lvlJc w:val="left"/>
      <w:pPr>
        <w:tabs>
          <w:tab w:val="left" w:pos="1418"/>
        </w:tabs>
        <w:ind w:left="1418" w:hanging="1418"/>
      </w:pPr>
      <w:rPr>
        <w:rFonts w:hint="eastAsia"/>
      </w:rPr>
    </w:lvl>
    <w:lvl w:ilvl="8" w:tentative="0">
      <w:start w:val="1"/>
      <w:numFmt w:val="decimal"/>
      <w:lvlText w:val="%1.%2.%3.%4.%5.%6.%7.%8.%9."/>
      <w:lvlJc w:val="left"/>
      <w:pPr>
        <w:tabs>
          <w:tab w:val="left" w:pos="1559"/>
        </w:tabs>
        <w:ind w:left="1559" w:hanging="1559"/>
      </w:pPr>
      <w:rPr>
        <w:rFonts w:hint="eastAsia"/>
      </w:r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bordersDoNotSurroundHeader w:val="1"/>
  <w:bordersDoNotSurroundFooter w:val="1"/>
  <w:hideSpellingErrors/>
  <w:hideGrammaticalErrors/>
  <w:doNotTrackMoves/>
  <w:documentProtection w:enforcement="0"/>
  <w:defaultTabStop w:val="0"/>
  <w:drawingGridVerticalSpacing w:val="156"/>
  <w:noPunctuationKerning w:val="1"/>
  <w:characterSpacingControl w:val="compressPunctuation"/>
  <w:compat>
    <w:spaceForUL/>
    <w:balanceSingleByteDoubleByteWidth/>
    <w:doNotLeaveBackslashAlone/>
    <w:ulTrailSpace/>
    <w:doNotExpandShiftReturn/>
    <w:adjustLineHeightInTable/>
    <w:doNotBreakWrappedTables/>
    <w:doNotWrapTextWithPunct/>
    <w:doNotUseEastAsianBreakRules/>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727A4C"/>
    <w:rsid w:val="0000005C"/>
    <w:rsid w:val="0000088A"/>
    <w:rsid w:val="00000EFE"/>
    <w:rsid w:val="00002450"/>
    <w:rsid w:val="00002546"/>
    <w:rsid w:val="000029D7"/>
    <w:rsid w:val="00004671"/>
    <w:rsid w:val="0000580B"/>
    <w:rsid w:val="0000601F"/>
    <w:rsid w:val="00006742"/>
    <w:rsid w:val="0000771D"/>
    <w:rsid w:val="0000781A"/>
    <w:rsid w:val="00010234"/>
    <w:rsid w:val="00010848"/>
    <w:rsid w:val="00010F5E"/>
    <w:rsid w:val="000114C3"/>
    <w:rsid w:val="00011C30"/>
    <w:rsid w:val="00012390"/>
    <w:rsid w:val="000136CE"/>
    <w:rsid w:val="00013955"/>
    <w:rsid w:val="000143EF"/>
    <w:rsid w:val="00015304"/>
    <w:rsid w:val="000158EE"/>
    <w:rsid w:val="0001591B"/>
    <w:rsid w:val="00016213"/>
    <w:rsid w:val="000162F0"/>
    <w:rsid w:val="00017B5A"/>
    <w:rsid w:val="0002005F"/>
    <w:rsid w:val="0002098D"/>
    <w:rsid w:val="00021182"/>
    <w:rsid w:val="00021733"/>
    <w:rsid w:val="00021DDE"/>
    <w:rsid w:val="00022937"/>
    <w:rsid w:val="00023B8B"/>
    <w:rsid w:val="000240FC"/>
    <w:rsid w:val="00024D5B"/>
    <w:rsid w:val="00024E53"/>
    <w:rsid w:val="000252AA"/>
    <w:rsid w:val="0002560C"/>
    <w:rsid w:val="000256C0"/>
    <w:rsid w:val="00025AEE"/>
    <w:rsid w:val="00027F2A"/>
    <w:rsid w:val="00030208"/>
    <w:rsid w:val="000304E9"/>
    <w:rsid w:val="000306D7"/>
    <w:rsid w:val="000316DD"/>
    <w:rsid w:val="000317BA"/>
    <w:rsid w:val="00031F54"/>
    <w:rsid w:val="0003214A"/>
    <w:rsid w:val="00033611"/>
    <w:rsid w:val="0003493C"/>
    <w:rsid w:val="00034AA0"/>
    <w:rsid w:val="00034C47"/>
    <w:rsid w:val="00034E6D"/>
    <w:rsid w:val="000354D3"/>
    <w:rsid w:val="0003655B"/>
    <w:rsid w:val="00037296"/>
    <w:rsid w:val="000378ED"/>
    <w:rsid w:val="000419F7"/>
    <w:rsid w:val="00041AB2"/>
    <w:rsid w:val="00041F24"/>
    <w:rsid w:val="000428EC"/>
    <w:rsid w:val="000439E8"/>
    <w:rsid w:val="00043E6D"/>
    <w:rsid w:val="0004416E"/>
    <w:rsid w:val="000451D2"/>
    <w:rsid w:val="00046785"/>
    <w:rsid w:val="00046EA1"/>
    <w:rsid w:val="0004706F"/>
    <w:rsid w:val="00047484"/>
    <w:rsid w:val="00047848"/>
    <w:rsid w:val="000478E1"/>
    <w:rsid w:val="00047DE7"/>
    <w:rsid w:val="00052216"/>
    <w:rsid w:val="00052CFD"/>
    <w:rsid w:val="000532BD"/>
    <w:rsid w:val="00054033"/>
    <w:rsid w:val="000545E5"/>
    <w:rsid w:val="00056532"/>
    <w:rsid w:val="00057CF5"/>
    <w:rsid w:val="00057D17"/>
    <w:rsid w:val="000603C9"/>
    <w:rsid w:val="00060463"/>
    <w:rsid w:val="00060E8B"/>
    <w:rsid w:val="000621A0"/>
    <w:rsid w:val="000628DF"/>
    <w:rsid w:val="00062DF6"/>
    <w:rsid w:val="00062ECC"/>
    <w:rsid w:val="000634A5"/>
    <w:rsid w:val="00064592"/>
    <w:rsid w:val="00064D35"/>
    <w:rsid w:val="000653C2"/>
    <w:rsid w:val="00065612"/>
    <w:rsid w:val="000658FA"/>
    <w:rsid w:val="00065C9C"/>
    <w:rsid w:val="00065D93"/>
    <w:rsid w:val="000677DF"/>
    <w:rsid w:val="00070409"/>
    <w:rsid w:val="00070FFE"/>
    <w:rsid w:val="0007108D"/>
    <w:rsid w:val="0007119C"/>
    <w:rsid w:val="0007276D"/>
    <w:rsid w:val="000736CC"/>
    <w:rsid w:val="0007490B"/>
    <w:rsid w:val="00075092"/>
    <w:rsid w:val="000768B5"/>
    <w:rsid w:val="000774D0"/>
    <w:rsid w:val="0007782C"/>
    <w:rsid w:val="00080D77"/>
    <w:rsid w:val="000813FE"/>
    <w:rsid w:val="00081876"/>
    <w:rsid w:val="00081C4E"/>
    <w:rsid w:val="000826CB"/>
    <w:rsid w:val="00082A56"/>
    <w:rsid w:val="00083016"/>
    <w:rsid w:val="0008320D"/>
    <w:rsid w:val="0008381B"/>
    <w:rsid w:val="00087198"/>
    <w:rsid w:val="00087246"/>
    <w:rsid w:val="0008731D"/>
    <w:rsid w:val="00087573"/>
    <w:rsid w:val="00090DEC"/>
    <w:rsid w:val="000916BD"/>
    <w:rsid w:val="000924A9"/>
    <w:rsid w:val="00092765"/>
    <w:rsid w:val="00093169"/>
    <w:rsid w:val="000936AE"/>
    <w:rsid w:val="00093ECE"/>
    <w:rsid w:val="0009403B"/>
    <w:rsid w:val="00094230"/>
    <w:rsid w:val="000951F7"/>
    <w:rsid w:val="000952F3"/>
    <w:rsid w:val="00095778"/>
    <w:rsid w:val="0009587F"/>
    <w:rsid w:val="00096BAB"/>
    <w:rsid w:val="00096E4D"/>
    <w:rsid w:val="00096E54"/>
    <w:rsid w:val="00097933"/>
    <w:rsid w:val="00097C46"/>
    <w:rsid w:val="00097E4A"/>
    <w:rsid w:val="000A07A4"/>
    <w:rsid w:val="000A14A5"/>
    <w:rsid w:val="000A231A"/>
    <w:rsid w:val="000A24DF"/>
    <w:rsid w:val="000A24E2"/>
    <w:rsid w:val="000A2FBE"/>
    <w:rsid w:val="000A3DEB"/>
    <w:rsid w:val="000A60FE"/>
    <w:rsid w:val="000A628B"/>
    <w:rsid w:val="000A74EC"/>
    <w:rsid w:val="000A7858"/>
    <w:rsid w:val="000A7C5F"/>
    <w:rsid w:val="000A7EBA"/>
    <w:rsid w:val="000B0B6C"/>
    <w:rsid w:val="000B1047"/>
    <w:rsid w:val="000B1585"/>
    <w:rsid w:val="000B305D"/>
    <w:rsid w:val="000B3872"/>
    <w:rsid w:val="000B3FFB"/>
    <w:rsid w:val="000B4AE7"/>
    <w:rsid w:val="000B526A"/>
    <w:rsid w:val="000B6887"/>
    <w:rsid w:val="000B6AB8"/>
    <w:rsid w:val="000C0124"/>
    <w:rsid w:val="000C090D"/>
    <w:rsid w:val="000C0D57"/>
    <w:rsid w:val="000C0EA2"/>
    <w:rsid w:val="000C13D5"/>
    <w:rsid w:val="000C1B4F"/>
    <w:rsid w:val="000C207B"/>
    <w:rsid w:val="000C23B7"/>
    <w:rsid w:val="000C3736"/>
    <w:rsid w:val="000C40C6"/>
    <w:rsid w:val="000C4DAD"/>
    <w:rsid w:val="000C51D8"/>
    <w:rsid w:val="000C527B"/>
    <w:rsid w:val="000C53BF"/>
    <w:rsid w:val="000C5A41"/>
    <w:rsid w:val="000C5BD7"/>
    <w:rsid w:val="000D0FB6"/>
    <w:rsid w:val="000D3AB9"/>
    <w:rsid w:val="000D41F1"/>
    <w:rsid w:val="000D4214"/>
    <w:rsid w:val="000D48FE"/>
    <w:rsid w:val="000D5FF1"/>
    <w:rsid w:val="000D62FA"/>
    <w:rsid w:val="000D6D57"/>
    <w:rsid w:val="000D72C5"/>
    <w:rsid w:val="000E1214"/>
    <w:rsid w:val="000E19D4"/>
    <w:rsid w:val="000E1CED"/>
    <w:rsid w:val="000E21E0"/>
    <w:rsid w:val="000E2910"/>
    <w:rsid w:val="000E2DB0"/>
    <w:rsid w:val="000E34AE"/>
    <w:rsid w:val="000E3B10"/>
    <w:rsid w:val="000E3DDF"/>
    <w:rsid w:val="000E400D"/>
    <w:rsid w:val="000E45DC"/>
    <w:rsid w:val="000E49C3"/>
    <w:rsid w:val="000E4B8F"/>
    <w:rsid w:val="000E6345"/>
    <w:rsid w:val="000E6428"/>
    <w:rsid w:val="000E6568"/>
    <w:rsid w:val="000E6875"/>
    <w:rsid w:val="000E6B07"/>
    <w:rsid w:val="000E7465"/>
    <w:rsid w:val="000E7630"/>
    <w:rsid w:val="000F07BB"/>
    <w:rsid w:val="000F0D65"/>
    <w:rsid w:val="000F0DF3"/>
    <w:rsid w:val="000F2DAC"/>
    <w:rsid w:val="000F2F2F"/>
    <w:rsid w:val="000F3275"/>
    <w:rsid w:val="000F4803"/>
    <w:rsid w:val="000F48B4"/>
    <w:rsid w:val="000F52CD"/>
    <w:rsid w:val="000F52EB"/>
    <w:rsid w:val="000F5C73"/>
    <w:rsid w:val="000F5F08"/>
    <w:rsid w:val="000F6370"/>
    <w:rsid w:val="000F637F"/>
    <w:rsid w:val="000F64B0"/>
    <w:rsid w:val="000F65D4"/>
    <w:rsid w:val="000F75D5"/>
    <w:rsid w:val="000F76D2"/>
    <w:rsid w:val="000F7903"/>
    <w:rsid w:val="000F7BBB"/>
    <w:rsid w:val="001001ED"/>
    <w:rsid w:val="00100AE2"/>
    <w:rsid w:val="0010296B"/>
    <w:rsid w:val="00102977"/>
    <w:rsid w:val="00103D20"/>
    <w:rsid w:val="0010408B"/>
    <w:rsid w:val="00104C06"/>
    <w:rsid w:val="00105E00"/>
    <w:rsid w:val="00105ED9"/>
    <w:rsid w:val="00105F96"/>
    <w:rsid w:val="001060F4"/>
    <w:rsid w:val="0010642F"/>
    <w:rsid w:val="00106765"/>
    <w:rsid w:val="001078F4"/>
    <w:rsid w:val="00107AEB"/>
    <w:rsid w:val="00107B2E"/>
    <w:rsid w:val="001108F5"/>
    <w:rsid w:val="00110C8E"/>
    <w:rsid w:val="00111AAC"/>
    <w:rsid w:val="0011234A"/>
    <w:rsid w:val="00112679"/>
    <w:rsid w:val="001127EA"/>
    <w:rsid w:val="00112F2B"/>
    <w:rsid w:val="00114CC2"/>
    <w:rsid w:val="00116563"/>
    <w:rsid w:val="00117B81"/>
    <w:rsid w:val="00117E9D"/>
    <w:rsid w:val="00117ED8"/>
    <w:rsid w:val="00117F80"/>
    <w:rsid w:val="00120BE3"/>
    <w:rsid w:val="00121A04"/>
    <w:rsid w:val="00121B18"/>
    <w:rsid w:val="00121C08"/>
    <w:rsid w:val="00121D89"/>
    <w:rsid w:val="001220F6"/>
    <w:rsid w:val="00124E42"/>
    <w:rsid w:val="001256F5"/>
    <w:rsid w:val="00125D47"/>
    <w:rsid w:val="00125DF7"/>
    <w:rsid w:val="0012664C"/>
    <w:rsid w:val="001275E2"/>
    <w:rsid w:val="00127B33"/>
    <w:rsid w:val="0013096E"/>
    <w:rsid w:val="00131890"/>
    <w:rsid w:val="00132952"/>
    <w:rsid w:val="00132B57"/>
    <w:rsid w:val="001331BE"/>
    <w:rsid w:val="001332EC"/>
    <w:rsid w:val="00133317"/>
    <w:rsid w:val="001345E4"/>
    <w:rsid w:val="00134FE7"/>
    <w:rsid w:val="001369A9"/>
    <w:rsid w:val="00136BC5"/>
    <w:rsid w:val="00137003"/>
    <w:rsid w:val="00137D47"/>
    <w:rsid w:val="001409B8"/>
    <w:rsid w:val="00140C74"/>
    <w:rsid w:val="00140EE3"/>
    <w:rsid w:val="00140F8F"/>
    <w:rsid w:val="001418E4"/>
    <w:rsid w:val="0014246F"/>
    <w:rsid w:val="00142A0C"/>
    <w:rsid w:val="00142C8D"/>
    <w:rsid w:val="0014343F"/>
    <w:rsid w:val="001441E1"/>
    <w:rsid w:val="0014436D"/>
    <w:rsid w:val="00144E2B"/>
    <w:rsid w:val="00145FA0"/>
    <w:rsid w:val="00146E71"/>
    <w:rsid w:val="00146EAD"/>
    <w:rsid w:val="001476BD"/>
    <w:rsid w:val="00147E6B"/>
    <w:rsid w:val="00151401"/>
    <w:rsid w:val="00153AE0"/>
    <w:rsid w:val="00153B28"/>
    <w:rsid w:val="00154574"/>
    <w:rsid w:val="001549EE"/>
    <w:rsid w:val="00154E67"/>
    <w:rsid w:val="00155BA8"/>
    <w:rsid w:val="00156068"/>
    <w:rsid w:val="00156169"/>
    <w:rsid w:val="00156F53"/>
    <w:rsid w:val="00157B8D"/>
    <w:rsid w:val="00161B4E"/>
    <w:rsid w:val="001628E4"/>
    <w:rsid w:val="0016353C"/>
    <w:rsid w:val="00163779"/>
    <w:rsid w:val="00164C82"/>
    <w:rsid w:val="001650D4"/>
    <w:rsid w:val="0016566F"/>
    <w:rsid w:val="00165B01"/>
    <w:rsid w:val="00165BD2"/>
    <w:rsid w:val="00167187"/>
    <w:rsid w:val="0016780E"/>
    <w:rsid w:val="001706EC"/>
    <w:rsid w:val="00170C11"/>
    <w:rsid w:val="0017107E"/>
    <w:rsid w:val="001710C0"/>
    <w:rsid w:val="0017150D"/>
    <w:rsid w:val="001717AD"/>
    <w:rsid w:val="00171875"/>
    <w:rsid w:val="00171ADC"/>
    <w:rsid w:val="0017404E"/>
    <w:rsid w:val="0017447F"/>
    <w:rsid w:val="00174FA3"/>
    <w:rsid w:val="00175767"/>
    <w:rsid w:val="00175796"/>
    <w:rsid w:val="00175DB4"/>
    <w:rsid w:val="00176B2B"/>
    <w:rsid w:val="001771E8"/>
    <w:rsid w:val="00177AE1"/>
    <w:rsid w:val="00177C30"/>
    <w:rsid w:val="00177F85"/>
    <w:rsid w:val="00180564"/>
    <w:rsid w:val="00181CD2"/>
    <w:rsid w:val="00182E81"/>
    <w:rsid w:val="00183095"/>
    <w:rsid w:val="00183578"/>
    <w:rsid w:val="00183656"/>
    <w:rsid w:val="00183692"/>
    <w:rsid w:val="001836A2"/>
    <w:rsid w:val="001842BE"/>
    <w:rsid w:val="0018459A"/>
    <w:rsid w:val="00185116"/>
    <w:rsid w:val="001852D4"/>
    <w:rsid w:val="00185F64"/>
    <w:rsid w:val="0018605C"/>
    <w:rsid w:val="00186553"/>
    <w:rsid w:val="00186E5F"/>
    <w:rsid w:val="001873E7"/>
    <w:rsid w:val="001875ED"/>
    <w:rsid w:val="00190D8A"/>
    <w:rsid w:val="001915CD"/>
    <w:rsid w:val="00191B03"/>
    <w:rsid w:val="00191B30"/>
    <w:rsid w:val="00191C38"/>
    <w:rsid w:val="00191D1F"/>
    <w:rsid w:val="00191DB2"/>
    <w:rsid w:val="00191E03"/>
    <w:rsid w:val="00193CC2"/>
    <w:rsid w:val="0019422B"/>
    <w:rsid w:val="00194709"/>
    <w:rsid w:val="001960D8"/>
    <w:rsid w:val="00196294"/>
    <w:rsid w:val="00196D91"/>
    <w:rsid w:val="00197020"/>
    <w:rsid w:val="0019767F"/>
    <w:rsid w:val="00197DC2"/>
    <w:rsid w:val="00197E74"/>
    <w:rsid w:val="001A0801"/>
    <w:rsid w:val="001A08AE"/>
    <w:rsid w:val="001A100A"/>
    <w:rsid w:val="001A1C37"/>
    <w:rsid w:val="001A2737"/>
    <w:rsid w:val="001A3122"/>
    <w:rsid w:val="001A481A"/>
    <w:rsid w:val="001A4AA0"/>
    <w:rsid w:val="001A569F"/>
    <w:rsid w:val="001A709E"/>
    <w:rsid w:val="001B0650"/>
    <w:rsid w:val="001B0AC8"/>
    <w:rsid w:val="001B0EB9"/>
    <w:rsid w:val="001B187E"/>
    <w:rsid w:val="001B25F8"/>
    <w:rsid w:val="001B25FC"/>
    <w:rsid w:val="001B335B"/>
    <w:rsid w:val="001B3F87"/>
    <w:rsid w:val="001B41D4"/>
    <w:rsid w:val="001B4218"/>
    <w:rsid w:val="001B4B89"/>
    <w:rsid w:val="001B55CA"/>
    <w:rsid w:val="001B5A53"/>
    <w:rsid w:val="001B6193"/>
    <w:rsid w:val="001C0D41"/>
    <w:rsid w:val="001C17AE"/>
    <w:rsid w:val="001C2324"/>
    <w:rsid w:val="001C3036"/>
    <w:rsid w:val="001C32FD"/>
    <w:rsid w:val="001C3937"/>
    <w:rsid w:val="001C3D68"/>
    <w:rsid w:val="001C42EB"/>
    <w:rsid w:val="001C438D"/>
    <w:rsid w:val="001C4DE1"/>
    <w:rsid w:val="001C5893"/>
    <w:rsid w:val="001C5C2C"/>
    <w:rsid w:val="001C5F50"/>
    <w:rsid w:val="001C63DC"/>
    <w:rsid w:val="001C6624"/>
    <w:rsid w:val="001C663A"/>
    <w:rsid w:val="001C6646"/>
    <w:rsid w:val="001C6797"/>
    <w:rsid w:val="001C6C3C"/>
    <w:rsid w:val="001C728B"/>
    <w:rsid w:val="001C7B2F"/>
    <w:rsid w:val="001C7F9B"/>
    <w:rsid w:val="001D0CE7"/>
    <w:rsid w:val="001D1065"/>
    <w:rsid w:val="001D1343"/>
    <w:rsid w:val="001D1EB2"/>
    <w:rsid w:val="001D29DA"/>
    <w:rsid w:val="001D2C03"/>
    <w:rsid w:val="001D2D02"/>
    <w:rsid w:val="001D332E"/>
    <w:rsid w:val="001D3C97"/>
    <w:rsid w:val="001D3EEC"/>
    <w:rsid w:val="001D5293"/>
    <w:rsid w:val="001D7130"/>
    <w:rsid w:val="001E10BF"/>
    <w:rsid w:val="001E190B"/>
    <w:rsid w:val="001E2D8F"/>
    <w:rsid w:val="001E2ED8"/>
    <w:rsid w:val="001E372D"/>
    <w:rsid w:val="001E3A3E"/>
    <w:rsid w:val="001E4A4B"/>
    <w:rsid w:val="001E4E73"/>
    <w:rsid w:val="001E4E98"/>
    <w:rsid w:val="001E6814"/>
    <w:rsid w:val="001E6A2E"/>
    <w:rsid w:val="001E6E73"/>
    <w:rsid w:val="001E75AA"/>
    <w:rsid w:val="001F1BB2"/>
    <w:rsid w:val="001F2A00"/>
    <w:rsid w:val="001F361E"/>
    <w:rsid w:val="001F3BFF"/>
    <w:rsid w:val="001F598E"/>
    <w:rsid w:val="001F5D8F"/>
    <w:rsid w:val="001F680C"/>
    <w:rsid w:val="001F7C7E"/>
    <w:rsid w:val="00200FB1"/>
    <w:rsid w:val="002016FF"/>
    <w:rsid w:val="00201AF8"/>
    <w:rsid w:val="00202239"/>
    <w:rsid w:val="0020296F"/>
    <w:rsid w:val="0020330D"/>
    <w:rsid w:val="002046DA"/>
    <w:rsid w:val="00207930"/>
    <w:rsid w:val="00207E01"/>
    <w:rsid w:val="00210CF1"/>
    <w:rsid w:val="00211E9D"/>
    <w:rsid w:val="00212BEA"/>
    <w:rsid w:val="00213D3C"/>
    <w:rsid w:val="002145AF"/>
    <w:rsid w:val="00215487"/>
    <w:rsid w:val="0021607C"/>
    <w:rsid w:val="00216117"/>
    <w:rsid w:val="00216305"/>
    <w:rsid w:val="00217694"/>
    <w:rsid w:val="002178B1"/>
    <w:rsid w:val="00217DEC"/>
    <w:rsid w:val="002200EF"/>
    <w:rsid w:val="002201DE"/>
    <w:rsid w:val="00220241"/>
    <w:rsid w:val="00220994"/>
    <w:rsid w:val="00222306"/>
    <w:rsid w:val="00222AAB"/>
    <w:rsid w:val="00222FC0"/>
    <w:rsid w:val="002239A8"/>
    <w:rsid w:val="002239DA"/>
    <w:rsid w:val="002243D7"/>
    <w:rsid w:val="00224782"/>
    <w:rsid w:val="00224FE2"/>
    <w:rsid w:val="00225525"/>
    <w:rsid w:val="00225A91"/>
    <w:rsid w:val="00225E38"/>
    <w:rsid w:val="00226692"/>
    <w:rsid w:val="00226F63"/>
    <w:rsid w:val="002270CA"/>
    <w:rsid w:val="00227731"/>
    <w:rsid w:val="00230926"/>
    <w:rsid w:val="00230AE4"/>
    <w:rsid w:val="0023132F"/>
    <w:rsid w:val="00231551"/>
    <w:rsid w:val="00231D38"/>
    <w:rsid w:val="00231F12"/>
    <w:rsid w:val="00232C5E"/>
    <w:rsid w:val="0023329C"/>
    <w:rsid w:val="0023368B"/>
    <w:rsid w:val="00235B5E"/>
    <w:rsid w:val="00235F53"/>
    <w:rsid w:val="00236837"/>
    <w:rsid w:val="00236C68"/>
    <w:rsid w:val="00237377"/>
    <w:rsid w:val="002407BE"/>
    <w:rsid w:val="00240B67"/>
    <w:rsid w:val="002411E6"/>
    <w:rsid w:val="00242E90"/>
    <w:rsid w:val="0024492B"/>
    <w:rsid w:val="00244C18"/>
    <w:rsid w:val="00244D2F"/>
    <w:rsid w:val="00244F60"/>
    <w:rsid w:val="00246D4B"/>
    <w:rsid w:val="002470FB"/>
    <w:rsid w:val="00250074"/>
    <w:rsid w:val="00250E7C"/>
    <w:rsid w:val="00251C82"/>
    <w:rsid w:val="00253B18"/>
    <w:rsid w:val="00254058"/>
    <w:rsid w:val="002552C1"/>
    <w:rsid w:val="00255B6D"/>
    <w:rsid w:val="00256D8E"/>
    <w:rsid w:val="0025758D"/>
    <w:rsid w:val="0026020B"/>
    <w:rsid w:val="00260772"/>
    <w:rsid w:val="00260ABA"/>
    <w:rsid w:val="00261560"/>
    <w:rsid w:val="00261BDC"/>
    <w:rsid w:val="002625DF"/>
    <w:rsid w:val="00262FE1"/>
    <w:rsid w:val="00263175"/>
    <w:rsid w:val="00263372"/>
    <w:rsid w:val="00265025"/>
    <w:rsid w:val="0026531E"/>
    <w:rsid w:val="00265E1F"/>
    <w:rsid w:val="00265EB3"/>
    <w:rsid w:val="00266DCE"/>
    <w:rsid w:val="00267030"/>
    <w:rsid w:val="002676A8"/>
    <w:rsid w:val="00267CDC"/>
    <w:rsid w:val="0027019E"/>
    <w:rsid w:val="002704A1"/>
    <w:rsid w:val="00270D1A"/>
    <w:rsid w:val="002719DF"/>
    <w:rsid w:val="00271EEB"/>
    <w:rsid w:val="00271F0A"/>
    <w:rsid w:val="00272374"/>
    <w:rsid w:val="002732A2"/>
    <w:rsid w:val="002734AA"/>
    <w:rsid w:val="002738D7"/>
    <w:rsid w:val="0027468C"/>
    <w:rsid w:val="00274FBC"/>
    <w:rsid w:val="00275A91"/>
    <w:rsid w:val="00276AA4"/>
    <w:rsid w:val="00277DA6"/>
    <w:rsid w:val="002801EC"/>
    <w:rsid w:val="00280485"/>
    <w:rsid w:val="002804C3"/>
    <w:rsid w:val="00280901"/>
    <w:rsid w:val="00280A49"/>
    <w:rsid w:val="002811C6"/>
    <w:rsid w:val="0028176A"/>
    <w:rsid w:val="002835E9"/>
    <w:rsid w:val="00283642"/>
    <w:rsid w:val="00283AEF"/>
    <w:rsid w:val="00283EF3"/>
    <w:rsid w:val="00283EFC"/>
    <w:rsid w:val="0028452E"/>
    <w:rsid w:val="002854F1"/>
    <w:rsid w:val="0028616D"/>
    <w:rsid w:val="002865AF"/>
    <w:rsid w:val="00286A64"/>
    <w:rsid w:val="00287145"/>
    <w:rsid w:val="00287526"/>
    <w:rsid w:val="00290374"/>
    <w:rsid w:val="00290418"/>
    <w:rsid w:val="00290965"/>
    <w:rsid w:val="0029160B"/>
    <w:rsid w:val="00292070"/>
    <w:rsid w:val="00292147"/>
    <w:rsid w:val="00292690"/>
    <w:rsid w:val="002929E5"/>
    <w:rsid w:val="00292E98"/>
    <w:rsid w:val="002938F0"/>
    <w:rsid w:val="0029468E"/>
    <w:rsid w:val="00294B6A"/>
    <w:rsid w:val="002957E0"/>
    <w:rsid w:val="00296D9F"/>
    <w:rsid w:val="00297377"/>
    <w:rsid w:val="00297CED"/>
    <w:rsid w:val="00297EAB"/>
    <w:rsid w:val="002A0020"/>
    <w:rsid w:val="002A0702"/>
    <w:rsid w:val="002A14E7"/>
    <w:rsid w:val="002A1560"/>
    <w:rsid w:val="002A174E"/>
    <w:rsid w:val="002A1C43"/>
    <w:rsid w:val="002A2594"/>
    <w:rsid w:val="002A3819"/>
    <w:rsid w:val="002A447C"/>
    <w:rsid w:val="002A44BD"/>
    <w:rsid w:val="002A5A01"/>
    <w:rsid w:val="002A5BF6"/>
    <w:rsid w:val="002A5CC6"/>
    <w:rsid w:val="002A62F0"/>
    <w:rsid w:val="002A63DE"/>
    <w:rsid w:val="002A6C9D"/>
    <w:rsid w:val="002A6DFC"/>
    <w:rsid w:val="002A79E9"/>
    <w:rsid w:val="002A7C05"/>
    <w:rsid w:val="002B0732"/>
    <w:rsid w:val="002B08CD"/>
    <w:rsid w:val="002B0F07"/>
    <w:rsid w:val="002B163C"/>
    <w:rsid w:val="002B235A"/>
    <w:rsid w:val="002B27D4"/>
    <w:rsid w:val="002B2A90"/>
    <w:rsid w:val="002B2E7D"/>
    <w:rsid w:val="002B379A"/>
    <w:rsid w:val="002B3DE8"/>
    <w:rsid w:val="002B56D3"/>
    <w:rsid w:val="002B64EC"/>
    <w:rsid w:val="002B67C4"/>
    <w:rsid w:val="002B690B"/>
    <w:rsid w:val="002B7044"/>
    <w:rsid w:val="002B7BCF"/>
    <w:rsid w:val="002C06B2"/>
    <w:rsid w:val="002C0908"/>
    <w:rsid w:val="002C1341"/>
    <w:rsid w:val="002C14D3"/>
    <w:rsid w:val="002C1946"/>
    <w:rsid w:val="002C1BD5"/>
    <w:rsid w:val="002C23EA"/>
    <w:rsid w:val="002C2B45"/>
    <w:rsid w:val="002C2FC2"/>
    <w:rsid w:val="002C3275"/>
    <w:rsid w:val="002C457B"/>
    <w:rsid w:val="002C48AD"/>
    <w:rsid w:val="002C52B3"/>
    <w:rsid w:val="002C57B3"/>
    <w:rsid w:val="002C57EA"/>
    <w:rsid w:val="002C5866"/>
    <w:rsid w:val="002C66D8"/>
    <w:rsid w:val="002C7304"/>
    <w:rsid w:val="002D05EE"/>
    <w:rsid w:val="002D141E"/>
    <w:rsid w:val="002D1C26"/>
    <w:rsid w:val="002D3B56"/>
    <w:rsid w:val="002D4019"/>
    <w:rsid w:val="002D4214"/>
    <w:rsid w:val="002D4590"/>
    <w:rsid w:val="002D48C2"/>
    <w:rsid w:val="002D5504"/>
    <w:rsid w:val="002D5608"/>
    <w:rsid w:val="002D57DE"/>
    <w:rsid w:val="002D592B"/>
    <w:rsid w:val="002D7855"/>
    <w:rsid w:val="002D7CA1"/>
    <w:rsid w:val="002E01D2"/>
    <w:rsid w:val="002E0628"/>
    <w:rsid w:val="002E0C92"/>
    <w:rsid w:val="002E1780"/>
    <w:rsid w:val="002E1995"/>
    <w:rsid w:val="002E1D74"/>
    <w:rsid w:val="002E2D7C"/>
    <w:rsid w:val="002E3049"/>
    <w:rsid w:val="002E35B6"/>
    <w:rsid w:val="002E368D"/>
    <w:rsid w:val="002E4769"/>
    <w:rsid w:val="002E4885"/>
    <w:rsid w:val="002E4AF9"/>
    <w:rsid w:val="002E563D"/>
    <w:rsid w:val="002E5ACB"/>
    <w:rsid w:val="002E5F59"/>
    <w:rsid w:val="002E728A"/>
    <w:rsid w:val="002F0078"/>
    <w:rsid w:val="002F2028"/>
    <w:rsid w:val="002F20BA"/>
    <w:rsid w:val="002F288D"/>
    <w:rsid w:val="002F3531"/>
    <w:rsid w:val="002F4272"/>
    <w:rsid w:val="002F44F1"/>
    <w:rsid w:val="002F46F3"/>
    <w:rsid w:val="002F5260"/>
    <w:rsid w:val="002F558C"/>
    <w:rsid w:val="002F6164"/>
    <w:rsid w:val="002F6329"/>
    <w:rsid w:val="002F6917"/>
    <w:rsid w:val="002F6CAE"/>
    <w:rsid w:val="002F7705"/>
    <w:rsid w:val="0030095D"/>
    <w:rsid w:val="00300EB4"/>
    <w:rsid w:val="00301558"/>
    <w:rsid w:val="00301800"/>
    <w:rsid w:val="00303472"/>
    <w:rsid w:val="003044D1"/>
    <w:rsid w:val="003046FA"/>
    <w:rsid w:val="0030517A"/>
    <w:rsid w:val="00306474"/>
    <w:rsid w:val="003068CF"/>
    <w:rsid w:val="003069C6"/>
    <w:rsid w:val="003071E3"/>
    <w:rsid w:val="003072E9"/>
    <w:rsid w:val="00307A19"/>
    <w:rsid w:val="003119FB"/>
    <w:rsid w:val="00312512"/>
    <w:rsid w:val="00312533"/>
    <w:rsid w:val="00313CE1"/>
    <w:rsid w:val="00315A93"/>
    <w:rsid w:val="00315DC6"/>
    <w:rsid w:val="00317DF5"/>
    <w:rsid w:val="00320F60"/>
    <w:rsid w:val="00321A2A"/>
    <w:rsid w:val="00322603"/>
    <w:rsid w:val="00322717"/>
    <w:rsid w:val="00323155"/>
    <w:rsid w:val="0032485B"/>
    <w:rsid w:val="00324D47"/>
    <w:rsid w:val="00326974"/>
    <w:rsid w:val="00326A0F"/>
    <w:rsid w:val="003270BF"/>
    <w:rsid w:val="0032794E"/>
    <w:rsid w:val="00327956"/>
    <w:rsid w:val="00330709"/>
    <w:rsid w:val="0033149F"/>
    <w:rsid w:val="0033361D"/>
    <w:rsid w:val="00333899"/>
    <w:rsid w:val="003343D4"/>
    <w:rsid w:val="00334407"/>
    <w:rsid w:val="0033484B"/>
    <w:rsid w:val="00334A86"/>
    <w:rsid w:val="003350F6"/>
    <w:rsid w:val="00335C7E"/>
    <w:rsid w:val="00337B6D"/>
    <w:rsid w:val="003401AD"/>
    <w:rsid w:val="003413AD"/>
    <w:rsid w:val="00342A72"/>
    <w:rsid w:val="00342E27"/>
    <w:rsid w:val="00343D60"/>
    <w:rsid w:val="003442C7"/>
    <w:rsid w:val="00345060"/>
    <w:rsid w:val="003460D0"/>
    <w:rsid w:val="003461DF"/>
    <w:rsid w:val="00346EE5"/>
    <w:rsid w:val="003476DE"/>
    <w:rsid w:val="00347B6F"/>
    <w:rsid w:val="00347EE5"/>
    <w:rsid w:val="00350130"/>
    <w:rsid w:val="003503F3"/>
    <w:rsid w:val="00351791"/>
    <w:rsid w:val="00352FA4"/>
    <w:rsid w:val="00353726"/>
    <w:rsid w:val="00353AAA"/>
    <w:rsid w:val="00353E1B"/>
    <w:rsid w:val="00353EC6"/>
    <w:rsid w:val="00354287"/>
    <w:rsid w:val="003550E7"/>
    <w:rsid w:val="0035558F"/>
    <w:rsid w:val="00355D44"/>
    <w:rsid w:val="00355EFE"/>
    <w:rsid w:val="00356083"/>
    <w:rsid w:val="00357A68"/>
    <w:rsid w:val="003608AD"/>
    <w:rsid w:val="003610C6"/>
    <w:rsid w:val="0036258E"/>
    <w:rsid w:val="00363332"/>
    <w:rsid w:val="00364758"/>
    <w:rsid w:val="003648EB"/>
    <w:rsid w:val="00365228"/>
    <w:rsid w:val="0036668A"/>
    <w:rsid w:val="00367365"/>
    <w:rsid w:val="00367638"/>
    <w:rsid w:val="00370525"/>
    <w:rsid w:val="003706B6"/>
    <w:rsid w:val="0037156C"/>
    <w:rsid w:val="00373143"/>
    <w:rsid w:val="0037343D"/>
    <w:rsid w:val="0037378C"/>
    <w:rsid w:val="003747D0"/>
    <w:rsid w:val="00376564"/>
    <w:rsid w:val="00377FB7"/>
    <w:rsid w:val="0038023C"/>
    <w:rsid w:val="003807A4"/>
    <w:rsid w:val="003809AC"/>
    <w:rsid w:val="00380D55"/>
    <w:rsid w:val="00382833"/>
    <w:rsid w:val="00382A28"/>
    <w:rsid w:val="00382F3D"/>
    <w:rsid w:val="00384539"/>
    <w:rsid w:val="00384BE9"/>
    <w:rsid w:val="00384F4C"/>
    <w:rsid w:val="003856BD"/>
    <w:rsid w:val="0038608A"/>
    <w:rsid w:val="00386301"/>
    <w:rsid w:val="00386B61"/>
    <w:rsid w:val="003871CB"/>
    <w:rsid w:val="0039000A"/>
    <w:rsid w:val="00390348"/>
    <w:rsid w:val="0039036B"/>
    <w:rsid w:val="00394612"/>
    <w:rsid w:val="0039490A"/>
    <w:rsid w:val="00394CB6"/>
    <w:rsid w:val="0039553A"/>
    <w:rsid w:val="00396CDC"/>
    <w:rsid w:val="00397B30"/>
    <w:rsid w:val="00397F88"/>
    <w:rsid w:val="003A04BD"/>
    <w:rsid w:val="003A1400"/>
    <w:rsid w:val="003A236B"/>
    <w:rsid w:val="003A2A0B"/>
    <w:rsid w:val="003A2D46"/>
    <w:rsid w:val="003A412C"/>
    <w:rsid w:val="003A4EE5"/>
    <w:rsid w:val="003A638B"/>
    <w:rsid w:val="003A668F"/>
    <w:rsid w:val="003A77C7"/>
    <w:rsid w:val="003A7B23"/>
    <w:rsid w:val="003B0473"/>
    <w:rsid w:val="003B0680"/>
    <w:rsid w:val="003B0BFE"/>
    <w:rsid w:val="003B119A"/>
    <w:rsid w:val="003B1574"/>
    <w:rsid w:val="003B183C"/>
    <w:rsid w:val="003B1E34"/>
    <w:rsid w:val="003B2A4F"/>
    <w:rsid w:val="003B2E4A"/>
    <w:rsid w:val="003B4F37"/>
    <w:rsid w:val="003B4FE3"/>
    <w:rsid w:val="003B72A1"/>
    <w:rsid w:val="003C15AA"/>
    <w:rsid w:val="003C183B"/>
    <w:rsid w:val="003C25BF"/>
    <w:rsid w:val="003C2AF1"/>
    <w:rsid w:val="003C4927"/>
    <w:rsid w:val="003C4AFF"/>
    <w:rsid w:val="003C4CCF"/>
    <w:rsid w:val="003C4D46"/>
    <w:rsid w:val="003C5100"/>
    <w:rsid w:val="003C6CB8"/>
    <w:rsid w:val="003C76D8"/>
    <w:rsid w:val="003C772C"/>
    <w:rsid w:val="003C79C0"/>
    <w:rsid w:val="003D0BE9"/>
    <w:rsid w:val="003D0CBE"/>
    <w:rsid w:val="003D14FF"/>
    <w:rsid w:val="003D218E"/>
    <w:rsid w:val="003D314A"/>
    <w:rsid w:val="003D3261"/>
    <w:rsid w:val="003D3959"/>
    <w:rsid w:val="003D3F04"/>
    <w:rsid w:val="003D4129"/>
    <w:rsid w:val="003D5119"/>
    <w:rsid w:val="003D588B"/>
    <w:rsid w:val="003D58B2"/>
    <w:rsid w:val="003D5E8E"/>
    <w:rsid w:val="003D5FFA"/>
    <w:rsid w:val="003D6223"/>
    <w:rsid w:val="003D62B4"/>
    <w:rsid w:val="003D6873"/>
    <w:rsid w:val="003D688C"/>
    <w:rsid w:val="003D6911"/>
    <w:rsid w:val="003D6BF1"/>
    <w:rsid w:val="003D7293"/>
    <w:rsid w:val="003D73D2"/>
    <w:rsid w:val="003D7491"/>
    <w:rsid w:val="003E0E21"/>
    <w:rsid w:val="003E2957"/>
    <w:rsid w:val="003E4BEC"/>
    <w:rsid w:val="003E4FAB"/>
    <w:rsid w:val="003E5BD4"/>
    <w:rsid w:val="003E64E8"/>
    <w:rsid w:val="003E6540"/>
    <w:rsid w:val="003E687D"/>
    <w:rsid w:val="003E7078"/>
    <w:rsid w:val="003F0308"/>
    <w:rsid w:val="003F06FB"/>
    <w:rsid w:val="003F1A54"/>
    <w:rsid w:val="003F1BD5"/>
    <w:rsid w:val="003F2A24"/>
    <w:rsid w:val="003F308B"/>
    <w:rsid w:val="003F36BF"/>
    <w:rsid w:val="003F4756"/>
    <w:rsid w:val="003F4E91"/>
    <w:rsid w:val="003F52B2"/>
    <w:rsid w:val="003F6867"/>
    <w:rsid w:val="003F6F4D"/>
    <w:rsid w:val="003F7941"/>
    <w:rsid w:val="004005EA"/>
    <w:rsid w:val="00400CD6"/>
    <w:rsid w:val="00400D7A"/>
    <w:rsid w:val="00400F65"/>
    <w:rsid w:val="0040295C"/>
    <w:rsid w:val="00404BD0"/>
    <w:rsid w:val="00404E2B"/>
    <w:rsid w:val="004056D8"/>
    <w:rsid w:val="0040574A"/>
    <w:rsid w:val="004065B4"/>
    <w:rsid w:val="00406AD3"/>
    <w:rsid w:val="00407053"/>
    <w:rsid w:val="00407640"/>
    <w:rsid w:val="00410CB5"/>
    <w:rsid w:val="0041228A"/>
    <w:rsid w:val="00412535"/>
    <w:rsid w:val="00412FC6"/>
    <w:rsid w:val="00414196"/>
    <w:rsid w:val="0041458E"/>
    <w:rsid w:val="004151F4"/>
    <w:rsid w:val="00415ABD"/>
    <w:rsid w:val="00416961"/>
    <w:rsid w:val="00417DD8"/>
    <w:rsid w:val="00420361"/>
    <w:rsid w:val="00420933"/>
    <w:rsid w:val="00421A36"/>
    <w:rsid w:val="00422B62"/>
    <w:rsid w:val="00422E77"/>
    <w:rsid w:val="004239FD"/>
    <w:rsid w:val="00424521"/>
    <w:rsid w:val="00424BE9"/>
    <w:rsid w:val="004255D5"/>
    <w:rsid w:val="0042592A"/>
    <w:rsid w:val="00425BEE"/>
    <w:rsid w:val="004265F5"/>
    <w:rsid w:val="0042776C"/>
    <w:rsid w:val="0043049B"/>
    <w:rsid w:val="00430BB7"/>
    <w:rsid w:val="00430DA5"/>
    <w:rsid w:val="004330B4"/>
    <w:rsid w:val="004332E7"/>
    <w:rsid w:val="00433B6B"/>
    <w:rsid w:val="004344D3"/>
    <w:rsid w:val="004346FB"/>
    <w:rsid w:val="00434EB4"/>
    <w:rsid w:val="0043527C"/>
    <w:rsid w:val="00437184"/>
    <w:rsid w:val="00437CF8"/>
    <w:rsid w:val="00437E24"/>
    <w:rsid w:val="004402E4"/>
    <w:rsid w:val="00440591"/>
    <w:rsid w:val="004418FD"/>
    <w:rsid w:val="0044206A"/>
    <w:rsid w:val="004427CD"/>
    <w:rsid w:val="00443AAE"/>
    <w:rsid w:val="004452CA"/>
    <w:rsid w:val="004455FA"/>
    <w:rsid w:val="00445805"/>
    <w:rsid w:val="00445B22"/>
    <w:rsid w:val="004463E3"/>
    <w:rsid w:val="00446E4E"/>
    <w:rsid w:val="00447434"/>
    <w:rsid w:val="00447696"/>
    <w:rsid w:val="004477B3"/>
    <w:rsid w:val="00447E09"/>
    <w:rsid w:val="004501E7"/>
    <w:rsid w:val="004503C4"/>
    <w:rsid w:val="004504B6"/>
    <w:rsid w:val="0045059B"/>
    <w:rsid w:val="004505E1"/>
    <w:rsid w:val="0045085F"/>
    <w:rsid w:val="00450B6D"/>
    <w:rsid w:val="00450BA7"/>
    <w:rsid w:val="0045233E"/>
    <w:rsid w:val="004525F0"/>
    <w:rsid w:val="004536BF"/>
    <w:rsid w:val="00453C1B"/>
    <w:rsid w:val="004548BE"/>
    <w:rsid w:val="00454BE7"/>
    <w:rsid w:val="0045686F"/>
    <w:rsid w:val="00461237"/>
    <w:rsid w:val="0046183D"/>
    <w:rsid w:val="00461D11"/>
    <w:rsid w:val="00462848"/>
    <w:rsid w:val="00463A3E"/>
    <w:rsid w:val="00463D22"/>
    <w:rsid w:val="004644E5"/>
    <w:rsid w:val="00464A34"/>
    <w:rsid w:val="00464F95"/>
    <w:rsid w:val="0046565E"/>
    <w:rsid w:val="00465CF7"/>
    <w:rsid w:val="00465E5D"/>
    <w:rsid w:val="00466CB6"/>
    <w:rsid w:val="00466DB2"/>
    <w:rsid w:val="00467316"/>
    <w:rsid w:val="004673FF"/>
    <w:rsid w:val="004707B4"/>
    <w:rsid w:val="00470937"/>
    <w:rsid w:val="00470CF8"/>
    <w:rsid w:val="00470E12"/>
    <w:rsid w:val="004711C5"/>
    <w:rsid w:val="00471986"/>
    <w:rsid w:val="00472163"/>
    <w:rsid w:val="00472363"/>
    <w:rsid w:val="0047283E"/>
    <w:rsid w:val="00472A16"/>
    <w:rsid w:val="00472E15"/>
    <w:rsid w:val="0047425D"/>
    <w:rsid w:val="00475132"/>
    <w:rsid w:val="004754C6"/>
    <w:rsid w:val="00475641"/>
    <w:rsid w:val="00475D46"/>
    <w:rsid w:val="00476162"/>
    <w:rsid w:val="004762F9"/>
    <w:rsid w:val="004809F8"/>
    <w:rsid w:val="00482997"/>
    <w:rsid w:val="00483306"/>
    <w:rsid w:val="00483404"/>
    <w:rsid w:val="0048369C"/>
    <w:rsid w:val="00483E38"/>
    <w:rsid w:val="00485268"/>
    <w:rsid w:val="00485963"/>
    <w:rsid w:val="0049050C"/>
    <w:rsid w:val="0049099F"/>
    <w:rsid w:val="00491091"/>
    <w:rsid w:val="00491161"/>
    <w:rsid w:val="00492459"/>
    <w:rsid w:val="00492476"/>
    <w:rsid w:val="00492DE6"/>
    <w:rsid w:val="004934DB"/>
    <w:rsid w:val="00493F75"/>
    <w:rsid w:val="004940DE"/>
    <w:rsid w:val="00494BCB"/>
    <w:rsid w:val="004953DF"/>
    <w:rsid w:val="00495431"/>
    <w:rsid w:val="00495466"/>
    <w:rsid w:val="00495F4D"/>
    <w:rsid w:val="004964B1"/>
    <w:rsid w:val="00496EE4"/>
    <w:rsid w:val="00496FEC"/>
    <w:rsid w:val="004974B0"/>
    <w:rsid w:val="00497502"/>
    <w:rsid w:val="004976EF"/>
    <w:rsid w:val="00497AE9"/>
    <w:rsid w:val="004A0003"/>
    <w:rsid w:val="004A0DD2"/>
    <w:rsid w:val="004A100D"/>
    <w:rsid w:val="004A1281"/>
    <w:rsid w:val="004A2043"/>
    <w:rsid w:val="004A2773"/>
    <w:rsid w:val="004A2980"/>
    <w:rsid w:val="004A384D"/>
    <w:rsid w:val="004A40E9"/>
    <w:rsid w:val="004A4D48"/>
    <w:rsid w:val="004A4D55"/>
    <w:rsid w:val="004A66F8"/>
    <w:rsid w:val="004A6842"/>
    <w:rsid w:val="004A781B"/>
    <w:rsid w:val="004A7BAF"/>
    <w:rsid w:val="004A7CD9"/>
    <w:rsid w:val="004B0389"/>
    <w:rsid w:val="004B03C1"/>
    <w:rsid w:val="004B074D"/>
    <w:rsid w:val="004B0F4D"/>
    <w:rsid w:val="004B13B7"/>
    <w:rsid w:val="004B16A3"/>
    <w:rsid w:val="004B416C"/>
    <w:rsid w:val="004B5732"/>
    <w:rsid w:val="004B5A6F"/>
    <w:rsid w:val="004B5C6A"/>
    <w:rsid w:val="004B60AE"/>
    <w:rsid w:val="004C0288"/>
    <w:rsid w:val="004C0CBB"/>
    <w:rsid w:val="004C1513"/>
    <w:rsid w:val="004C359D"/>
    <w:rsid w:val="004C3EE7"/>
    <w:rsid w:val="004C40C6"/>
    <w:rsid w:val="004C4114"/>
    <w:rsid w:val="004C41F2"/>
    <w:rsid w:val="004C5CE4"/>
    <w:rsid w:val="004C5CED"/>
    <w:rsid w:val="004C6061"/>
    <w:rsid w:val="004C6BAD"/>
    <w:rsid w:val="004C7C0D"/>
    <w:rsid w:val="004C7C41"/>
    <w:rsid w:val="004C7D04"/>
    <w:rsid w:val="004D001A"/>
    <w:rsid w:val="004D1CDD"/>
    <w:rsid w:val="004D1F17"/>
    <w:rsid w:val="004D21C0"/>
    <w:rsid w:val="004D27C2"/>
    <w:rsid w:val="004D34CC"/>
    <w:rsid w:val="004D4204"/>
    <w:rsid w:val="004D4A26"/>
    <w:rsid w:val="004D5427"/>
    <w:rsid w:val="004D5A15"/>
    <w:rsid w:val="004D6C45"/>
    <w:rsid w:val="004D7AB6"/>
    <w:rsid w:val="004E043C"/>
    <w:rsid w:val="004E0649"/>
    <w:rsid w:val="004E07E9"/>
    <w:rsid w:val="004E07EF"/>
    <w:rsid w:val="004E1061"/>
    <w:rsid w:val="004E127C"/>
    <w:rsid w:val="004E1568"/>
    <w:rsid w:val="004E1DAE"/>
    <w:rsid w:val="004E2007"/>
    <w:rsid w:val="004E2842"/>
    <w:rsid w:val="004E2A9C"/>
    <w:rsid w:val="004E4662"/>
    <w:rsid w:val="004E4AAC"/>
    <w:rsid w:val="004E4B15"/>
    <w:rsid w:val="004E60FD"/>
    <w:rsid w:val="004E659F"/>
    <w:rsid w:val="004E697C"/>
    <w:rsid w:val="004F0360"/>
    <w:rsid w:val="004F28B8"/>
    <w:rsid w:val="004F29B3"/>
    <w:rsid w:val="004F2EA4"/>
    <w:rsid w:val="004F2EEE"/>
    <w:rsid w:val="004F30CB"/>
    <w:rsid w:val="004F3D71"/>
    <w:rsid w:val="004F44F5"/>
    <w:rsid w:val="004F46B8"/>
    <w:rsid w:val="004F4CF0"/>
    <w:rsid w:val="004F5799"/>
    <w:rsid w:val="004F5BFB"/>
    <w:rsid w:val="004F68DA"/>
    <w:rsid w:val="004F7BE8"/>
    <w:rsid w:val="005001A2"/>
    <w:rsid w:val="00500A03"/>
    <w:rsid w:val="00500CF3"/>
    <w:rsid w:val="00500FD2"/>
    <w:rsid w:val="00502273"/>
    <w:rsid w:val="0050267F"/>
    <w:rsid w:val="00502B99"/>
    <w:rsid w:val="00504627"/>
    <w:rsid w:val="00504CEC"/>
    <w:rsid w:val="00505107"/>
    <w:rsid w:val="00505CE9"/>
    <w:rsid w:val="0050619B"/>
    <w:rsid w:val="00506644"/>
    <w:rsid w:val="005068D3"/>
    <w:rsid w:val="00506950"/>
    <w:rsid w:val="00507BF4"/>
    <w:rsid w:val="005106EA"/>
    <w:rsid w:val="00510CAA"/>
    <w:rsid w:val="00510E5C"/>
    <w:rsid w:val="00511A82"/>
    <w:rsid w:val="00512E11"/>
    <w:rsid w:val="0051307E"/>
    <w:rsid w:val="005131D7"/>
    <w:rsid w:val="00513561"/>
    <w:rsid w:val="00513F99"/>
    <w:rsid w:val="00514A94"/>
    <w:rsid w:val="005158BA"/>
    <w:rsid w:val="00517692"/>
    <w:rsid w:val="0051790D"/>
    <w:rsid w:val="00520A7E"/>
    <w:rsid w:val="005227EC"/>
    <w:rsid w:val="00522EBA"/>
    <w:rsid w:val="00523FE6"/>
    <w:rsid w:val="005278D5"/>
    <w:rsid w:val="00527B35"/>
    <w:rsid w:val="00527DEF"/>
    <w:rsid w:val="0053101C"/>
    <w:rsid w:val="005310F6"/>
    <w:rsid w:val="00531E56"/>
    <w:rsid w:val="00532AF9"/>
    <w:rsid w:val="00532C08"/>
    <w:rsid w:val="00532C5F"/>
    <w:rsid w:val="0053575E"/>
    <w:rsid w:val="00535E99"/>
    <w:rsid w:val="00536015"/>
    <w:rsid w:val="0053613C"/>
    <w:rsid w:val="00537633"/>
    <w:rsid w:val="0053784C"/>
    <w:rsid w:val="00537AA4"/>
    <w:rsid w:val="005407F2"/>
    <w:rsid w:val="00540A40"/>
    <w:rsid w:val="00542484"/>
    <w:rsid w:val="005443E8"/>
    <w:rsid w:val="00544EAF"/>
    <w:rsid w:val="005455B7"/>
    <w:rsid w:val="00546EB6"/>
    <w:rsid w:val="005472F0"/>
    <w:rsid w:val="00547B85"/>
    <w:rsid w:val="005500AE"/>
    <w:rsid w:val="00550378"/>
    <w:rsid w:val="00550829"/>
    <w:rsid w:val="00551144"/>
    <w:rsid w:val="00551838"/>
    <w:rsid w:val="00553E2C"/>
    <w:rsid w:val="00554017"/>
    <w:rsid w:val="0055410B"/>
    <w:rsid w:val="00554C76"/>
    <w:rsid w:val="00555FA4"/>
    <w:rsid w:val="00556171"/>
    <w:rsid w:val="00556394"/>
    <w:rsid w:val="005564ED"/>
    <w:rsid w:val="005565F4"/>
    <w:rsid w:val="005576DC"/>
    <w:rsid w:val="00560085"/>
    <w:rsid w:val="0056028B"/>
    <w:rsid w:val="00560EA0"/>
    <w:rsid w:val="00561D0A"/>
    <w:rsid w:val="00563AF6"/>
    <w:rsid w:val="00563FCB"/>
    <w:rsid w:val="0056464A"/>
    <w:rsid w:val="00564840"/>
    <w:rsid w:val="00564DE5"/>
    <w:rsid w:val="00565BBB"/>
    <w:rsid w:val="00565CCE"/>
    <w:rsid w:val="00566FAF"/>
    <w:rsid w:val="00567290"/>
    <w:rsid w:val="00567E02"/>
    <w:rsid w:val="00570093"/>
    <w:rsid w:val="005700FB"/>
    <w:rsid w:val="00570FC7"/>
    <w:rsid w:val="00571280"/>
    <w:rsid w:val="00572150"/>
    <w:rsid w:val="0057243B"/>
    <w:rsid w:val="00572727"/>
    <w:rsid w:val="00572C18"/>
    <w:rsid w:val="005736CD"/>
    <w:rsid w:val="00573BED"/>
    <w:rsid w:val="00575109"/>
    <w:rsid w:val="0057537A"/>
    <w:rsid w:val="00575E71"/>
    <w:rsid w:val="00576CCB"/>
    <w:rsid w:val="00576E58"/>
    <w:rsid w:val="0057712D"/>
    <w:rsid w:val="0057731A"/>
    <w:rsid w:val="00580B18"/>
    <w:rsid w:val="0058103C"/>
    <w:rsid w:val="0058109C"/>
    <w:rsid w:val="00581900"/>
    <w:rsid w:val="00583D59"/>
    <w:rsid w:val="0058410B"/>
    <w:rsid w:val="00584934"/>
    <w:rsid w:val="00584E81"/>
    <w:rsid w:val="00586E0E"/>
    <w:rsid w:val="005902B8"/>
    <w:rsid w:val="00590652"/>
    <w:rsid w:val="005910B8"/>
    <w:rsid w:val="00591BC5"/>
    <w:rsid w:val="0059206C"/>
    <w:rsid w:val="005923AD"/>
    <w:rsid w:val="00592EE9"/>
    <w:rsid w:val="00593970"/>
    <w:rsid w:val="00594497"/>
    <w:rsid w:val="00594D4C"/>
    <w:rsid w:val="005953AC"/>
    <w:rsid w:val="0059607C"/>
    <w:rsid w:val="005960D7"/>
    <w:rsid w:val="005978C5"/>
    <w:rsid w:val="00597BBF"/>
    <w:rsid w:val="005A0723"/>
    <w:rsid w:val="005A0EE4"/>
    <w:rsid w:val="005A1393"/>
    <w:rsid w:val="005A15CD"/>
    <w:rsid w:val="005A1FF0"/>
    <w:rsid w:val="005A2315"/>
    <w:rsid w:val="005A235D"/>
    <w:rsid w:val="005A23A7"/>
    <w:rsid w:val="005A437D"/>
    <w:rsid w:val="005A4896"/>
    <w:rsid w:val="005A4BB4"/>
    <w:rsid w:val="005A4BE3"/>
    <w:rsid w:val="005A4EA2"/>
    <w:rsid w:val="005A5948"/>
    <w:rsid w:val="005A67C2"/>
    <w:rsid w:val="005A697C"/>
    <w:rsid w:val="005A6C18"/>
    <w:rsid w:val="005A7B30"/>
    <w:rsid w:val="005B08F5"/>
    <w:rsid w:val="005B0A1B"/>
    <w:rsid w:val="005B11C2"/>
    <w:rsid w:val="005B19F2"/>
    <w:rsid w:val="005B1DEF"/>
    <w:rsid w:val="005B1EBC"/>
    <w:rsid w:val="005B246F"/>
    <w:rsid w:val="005B2795"/>
    <w:rsid w:val="005B3198"/>
    <w:rsid w:val="005B35CF"/>
    <w:rsid w:val="005B365A"/>
    <w:rsid w:val="005B3772"/>
    <w:rsid w:val="005B3A73"/>
    <w:rsid w:val="005B475F"/>
    <w:rsid w:val="005B6002"/>
    <w:rsid w:val="005B662F"/>
    <w:rsid w:val="005B7067"/>
    <w:rsid w:val="005B76B3"/>
    <w:rsid w:val="005C0683"/>
    <w:rsid w:val="005C0D12"/>
    <w:rsid w:val="005C0EE1"/>
    <w:rsid w:val="005C11FA"/>
    <w:rsid w:val="005C1AF5"/>
    <w:rsid w:val="005C36E2"/>
    <w:rsid w:val="005C3874"/>
    <w:rsid w:val="005C4BCF"/>
    <w:rsid w:val="005C4FC0"/>
    <w:rsid w:val="005C5C43"/>
    <w:rsid w:val="005C6B70"/>
    <w:rsid w:val="005C6E42"/>
    <w:rsid w:val="005C7382"/>
    <w:rsid w:val="005D08AD"/>
    <w:rsid w:val="005D0C73"/>
    <w:rsid w:val="005D0E5F"/>
    <w:rsid w:val="005D18BA"/>
    <w:rsid w:val="005D228F"/>
    <w:rsid w:val="005D2CF1"/>
    <w:rsid w:val="005D30CE"/>
    <w:rsid w:val="005D379E"/>
    <w:rsid w:val="005D4B93"/>
    <w:rsid w:val="005D56A7"/>
    <w:rsid w:val="005D58D4"/>
    <w:rsid w:val="005D5F34"/>
    <w:rsid w:val="005D61AC"/>
    <w:rsid w:val="005D7355"/>
    <w:rsid w:val="005D7ACC"/>
    <w:rsid w:val="005D7EDE"/>
    <w:rsid w:val="005E025B"/>
    <w:rsid w:val="005E0534"/>
    <w:rsid w:val="005E17CD"/>
    <w:rsid w:val="005E2CEE"/>
    <w:rsid w:val="005E38F2"/>
    <w:rsid w:val="005E39AA"/>
    <w:rsid w:val="005E3EA5"/>
    <w:rsid w:val="005E5FE3"/>
    <w:rsid w:val="005E6658"/>
    <w:rsid w:val="005E6960"/>
    <w:rsid w:val="005E7A38"/>
    <w:rsid w:val="005F172F"/>
    <w:rsid w:val="005F1C75"/>
    <w:rsid w:val="005F2030"/>
    <w:rsid w:val="005F20D3"/>
    <w:rsid w:val="005F20FD"/>
    <w:rsid w:val="005F239B"/>
    <w:rsid w:val="005F24A6"/>
    <w:rsid w:val="005F2AC0"/>
    <w:rsid w:val="005F3B43"/>
    <w:rsid w:val="005F3F76"/>
    <w:rsid w:val="005F407C"/>
    <w:rsid w:val="005F41E6"/>
    <w:rsid w:val="005F52ED"/>
    <w:rsid w:val="005F603C"/>
    <w:rsid w:val="005F7D2B"/>
    <w:rsid w:val="0060057E"/>
    <w:rsid w:val="00600E07"/>
    <w:rsid w:val="00601926"/>
    <w:rsid w:val="006019E7"/>
    <w:rsid w:val="0060235D"/>
    <w:rsid w:val="006030A7"/>
    <w:rsid w:val="00604FCE"/>
    <w:rsid w:val="00605515"/>
    <w:rsid w:val="00606C35"/>
    <w:rsid w:val="0060783D"/>
    <w:rsid w:val="00607F69"/>
    <w:rsid w:val="00611F52"/>
    <w:rsid w:val="00612141"/>
    <w:rsid w:val="00612899"/>
    <w:rsid w:val="006132DB"/>
    <w:rsid w:val="006135C1"/>
    <w:rsid w:val="00614345"/>
    <w:rsid w:val="00614747"/>
    <w:rsid w:val="00614E9B"/>
    <w:rsid w:val="00615AF1"/>
    <w:rsid w:val="00615DE0"/>
    <w:rsid w:val="006175AD"/>
    <w:rsid w:val="00617A6B"/>
    <w:rsid w:val="00617BB7"/>
    <w:rsid w:val="006211B6"/>
    <w:rsid w:val="0062195B"/>
    <w:rsid w:val="006223EA"/>
    <w:rsid w:val="00622849"/>
    <w:rsid w:val="006228A1"/>
    <w:rsid w:val="00622A42"/>
    <w:rsid w:val="00622E31"/>
    <w:rsid w:val="006236AC"/>
    <w:rsid w:val="006236DD"/>
    <w:rsid w:val="00623928"/>
    <w:rsid w:val="00623A5C"/>
    <w:rsid w:val="006248E5"/>
    <w:rsid w:val="00624B30"/>
    <w:rsid w:val="00625D6C"/>
    <w:rsid w:val="006267F9"/>
    <w:rsid w:val="00626B36"/>
    <w:rsid w:val="00626ED3"/>
    <w:rsid w:val="00630359"/>
    <w:rsid w:val="00630432"/>
    <w:rsid w:val="0063154B"/>
    <w:rsid w:val="006315D5"/>
    <w:rsid w:val="006322EA"/>
    <w:rsid w:val="006337F5"/>
    <w:rsid w:val="00634952"/>
    <w:rsid w:val="00635429"/>
    <w:rsid w:val="006355CB"/>
    <w:rsid w:val="0063596A"/>
    <w:rsid w:val="006359DA"/>
    <w:rsid w:val="006359FD"/>
    <w:rsid w:val="006361E6"/>
    <w:rsid w:val="00637A58"/>
    <w:rsid w:val="00637E77"/>
    <w:rsid w:val="006411D5"/>
    <w:rsid w:val="006411E6"/>
    <w:rsid w:val="00642658"/>
    <w:rsid w:val="00643334"/>
    <w:rsid w:val="006447C5"/>
    <w:rsid w:val="00644C81"/>
    <w:rsid w:val="00644D53"/>
    <w:rsid w:val="00645460"/>
    <w:rsid w:val="006463D5"/>
    <w:rsid w:val="00646BDE"/>
    <w:rsid w:val="006471BE"/>
    <w:rsid w:val="006477A7"/>
    <w:rsid w:val="00650263"/>
    <w:rsid w:val="006503F1"/>
    <w:rsid w:val="006504F0"/>
    <w:rsid w:val="006506AC"/>
    <w:rsid w:val="00650E54"/>
    <w:rsid w:val="006510BB"/>
    <w:rsid w:val="00652490"/>
    <w:rsid w:val="0065283B"/>
    <w:rsid w:val="00653649"/>
    <w:rsid w:val="00653F2B"/>
    <w:rsid w:val="00654718"/>
    <w:rsid w:val="00654BC7"/>
    <w:rsid w:val="00654FF6"/>
    <w:rsid w:val="0065501A"/>
    <w:rsid w:val="006557B9"/>
    <w:rsid w:val="006558AB"/>
    <w:rsid w:val="00655C76"/>
    <w:rsid w:val="00656898"/>
    <w:rsid w:val="006568CF"/>
    <w:rsid w:val="00656C5F"/>
    <w:rsid w:val="00656F3E"/>
    <w:rsid w:val="00657765"/>
    <w:rsid w:val="0065778C"/>
    <w:rsid w:val="00657AF5"/>
    <w:rsid w:val="00660A20"/>
    <w:rsid w:val="006611AB"/>
    <w:rsid w:val="0066126C"/>
    <w:rsid w:val="00661BDE"/>
    <w:rsid w:val="00662391"/>
    <w:rsid w:val="006636B4"/>
    <w:rsid w:val="0066410A"/>
    <w:rsid w:val="00664D16"/>
    <w:rsid w:val="0066659A"/>
    <w:rsid w:val="00667391"/>
    <w:rsid w:val="00667B40"/>
    <w:rsid w:val="00667E6C"/>
    <w:rsid w:val="006706EF"/>
    <w:rsid w:val="006718D8"/>
    <w:rsid w:val="0067276E"/>
    <w:rsid w:val="00672A79"/>
    <w:rsid w:val="006736F0"/>
    <w:rsid w:val="00673B49"/>
    <w:rsid w:val="0067475B"/>
    <w:rsid w:val="00674796"/>
    <w:rsid w:val="00674996"/>
    <w:rsid w:val="00674A7D"/>
    <w:rsid w:val="00675215"/>
    <w:rsid w:val="0067528C"/>
    <w:rsid w:val="0067539D"/>
    <w:rsid w:val="006754CD"/>
    <w:rsid w:val="00675B56"/>
    <w:rsid w:val="0067621E"/>
    <w:rsid w:val="0067727C"/>
    <w:rsid w:val="006772C6"/>
    <w:rsid w:val="006804AD"/>
    <w:rsid w:val="0068111F"/>
    <w:rsid w:val="0068131B"/>
    <w:rsid w:val="00681345"/>
    <w:rsid w:val="0068200D"/>
    <w:rsid w:val="006820A3"/>
    <w:rsid w:val="00682421"/>
    <w:rsid w:val="006827EB"/>
    <w:rsid w:val="00682833"/>
    <w:rsid w:val="0068297E"/>
    <w:rsid w:val="00682D88"/>
    <w:rsid w:val="0068371F"/>
    <w:rsid w:val="00683D3E"/>
    <w:rsid w:val="006849C4"/>
    <w:rsid w:val="00684BE6"/>
    <w:rsid w:val="00684CF1"/>
    <w:rsid w:val="00685476"/>
    <w:rsid w:val="00685C2C"/>
    <w:rsid w:val="00686207"/>
    <w:rsid w:val="006867E7"/>
    <w:rsid w:val="0068694B"/>
    <w:rsid w:val="00687840"/>
    <w:rsid w:val="006900D7"/>
    <w:rsid w:val="00690E0C"/>
    <w:rsid w:val="006924FE"/>
    <w:rsid w:val="00694628"/>
    <w:rsid w:val="006946A9"/>
    <w:rsid w:val="0069489B"/>
    <w:rsid w:val="00694978"/>
    <w:rsid w:val="00694E0D"/>
    <w:rsid w:val="00694F2D"/>
    <w:rsid w:val="00696A54"/>
    <w:rsid w:val="00696CBC"/>
    <w:rsid w:val="00697240"/>
    <w:rsid w:val="00697260"/>
    <w:rsid w:val="006979F0"/>
    <w:rsid w:val="00697C57"/>
    <w:rsid w:val="00697DF0"/>
    <w:rsid w:val="00697E8B"/>
    <w:rsid w:val="006A06D4"/>
    <w:rsid w:val="006A0A29"/>
    <w:rsid w:val="006A0B41"/>
    <w:rsid w:val="006A1B46"/>
    <w:rsid w:val="006A222E"/>
    <w:rsid w:val="006A36EA"/>
    <w:rsid w:val="006A374B"/>
    <w:rsid w:val="006A40CB"/>
    <w:rsid w:val="006A5D37"/>
    <w:rsid w:val="006A66C5"/>
    <w:rsid w:val="006A6F9B"/>
    <w:rsid w:val="006B008D"/>
    <w:rsid w:val="006B01D1"/>
    <w:rsid w:val="006B0687"/>
    <w:rsid w:val="006B0B85"/>
    <w:rsid w:val="006B0F5C"/>
    <w:rsid w:val="006B1003"/>
    <w:rsid w:val="006B1EB0"/>
    <w:rsid w:val="006B2478"/>
    <w:rsid w:val="006B4DDF"/>
    <w:rsid w:val="006B517A"/>
    <w:rsid w:val="006B558D"/>
    <w:rsid w:val="006B559D"/>
    <w:rsid w:val="006B5EC0"/>
    <w:rsid w:val="006B6C28"/>
    <w:rsid w:val="006B7762"/>
    <w:rsid w:val="006C0828"/>
    <w:rsid w:val="006C112C"/>
    <w:rsid w:val="006C20CB"/>
    <w:rsid w:val="006C3B44"/>
    <w:rsid w:val="006C3EC8"/>
    <w:rsid w:val="006C3F24"/>
    <w:rsid w:val="006C4E37"/>
    <w:rsid w:val="006C5A7E"/>
    <w:rsid w:val="006D03C6"/>
    <w:rsid w:val="006D054D"/>
    <w:rsid w:val="006D0667"/>
    <w:rsid w:val="006D0C29"/>
    <w:rsid w:val="006D15E4"/>
    <w:rsid w:val="006D1E03"/>
    <w:rsid w:val="006D2765"/>
    <w:rsid w:val="006D2795"/>
    <w:rsid w:val="006D28E5"/>
    <w:rsid w:val="006D3162"/>
    <w:rsid w:val="006D32BB"/>
    <w:rsid w:val="006D3B88"/>
    <w:rsid w:val="006D3C9E"/>
    <w:rsid w:val="006D4F30"/>
    <w:rsid w:val="006D5BB4"/>
    <w:rsid w:val="006D6680"/>
    <w:rsid w:val="006D6B24"/>
    <w:rsid w:val="006E0337"/>
    <w:rsid w:val="006E1D14"/>
    <w:rsid w:val="006E3091"/>
    <w:rsid w:val="006E409F"/>
    <w:rsid w:val="006E4ACB"/>
    <w:rsid w:val="006E4DF1"/>
    <w:rsid w:val="006E6754"/>
    <w:rsid w:val="006E7268"/>
    <w:rsid w:val="006E7283"/>
    <w:rsid w:val="006E7395"/>
    <w:rsid w:val="006E7608"/>
    <w:rsid w:val="006E780E"/>
    <w:rsid w:val="006E7A15"/>
    <w:rsid w:val="006E7E82"/>
    <w:rsid w:val="006F024B"/>
    <w:rsid w:val="006F1F48"/>
    <w:rsid w:val="006F3643"/>
    <w:rsid w:val="006F3A50"/>
    <w:rsid w:val="006F3FC7"/>
    <w:rsid w:val="006F55A8"/>
    <w:rsid w:val="006F5DFC"/>
    <w:rsid w:val="006F665F"/>
    <w:rsid w:val="006F6CEF"/>
    <w:rsid w:val="00700188"/>
    <w:rsid w:val="00700C2E"/>
    <w:rsid w:val="00700F2A"/>
    <w:rsid w:val="00702CEC"/>
    <w:rsid w:val="0070403E"/>
    <w:rsid w:val="007044FF"/>
    <w:rsid w:val="00704C0D"/>
    <w:rsid w:val="00705155"/>
    <w:rsid w:val="007065B7"/>
    <w:rsid w:val="00710588"/>
    <w:rsid w:val="00710ACE"/>
    <w:rsid w:val="007110B1"/>
    <w:rsid w:val="00711339"/>
    <w:rsid w:val="0071188E"/>
    <w:rsid w:val="0071192F"/>
    <w:rsid w:val="0071195E"/>
    <w:rsid w:val="00712D90"/>
    <w:rsid w:val="0071597B"/>
    <w:rsid w:val="00716EF9"/>
    <w:rsid w:val="007172A1"/>
    <w:rsid w:val="0071743D"/>
    <w:rsid w:val="00717479"/>
    <w:rsid w:val="00717FC6"/>
    <w:rsid w:val="00720201"/>
    <w:rsid w:val="00721DBC"/>
    <w:rsid w:val="00722078"/>
    <w:rsid w:val="007223AF"/>
    <w:rsid w:val="007229D0"/>
    <w:rsid w:val="007234B7"/>
    <w:rsid w:val="007238E9"/>
    <w:rsid w:val="00723B09"/>
    <w:rsid w:val="00724115"/>
    <w:rsid w:val="007249BC"/>
    <w:rsid w:val="00726978"/>
    <w:rsid w:val="00726E6E"/>
    <w:rsid w:val="007272B8"/>
    <w:rsid w:val="0072752A"/>
    <w:rsid w:val="0072784D"/>
    <w:rsid w:val="00727A4C"/>
    <w:rsid w:val="00727B72"/>
    <w:rsid w:val="00730C47"/>
    <w:rsid w:val="00731A8F"/>
    <w:rsid w:val="0073225B"/>
    <w:rsid w:val="00732327"/>
    <w:rsid w:val="00732855"/>
    <w:rsid w:val="00732CE7"/>
    <w:rsid w:val="007342E5"/>
    <w:rsid w:val="00735846"/>
    <w:rsid w:val="00735947"/>
    <w:rsid w:val="007364A3"/>
    <w:rsid w:val="007372BB"/>
    <w:rsid w:val="00737E41"/>
    <w:rsid w:val="00737F11"/>
    <w:rsid w:val="00740308"/>
    <w:rsid w:val="00740899"/>
    <w:rsid w:val="00740D68"/>
    <w:rsid w:val="00741733"/>
    <w:rsid w:val="0074292C"/>
    <w:rsid w:val="00743A1C"/>
    <w:rsid w:val="00744999"/>
    <w:rsid w:val="0074606D"/>
    <w:rsid w:val="00746158"/>
    <w:rsid w:val="007472C1"/>
    <w:rsid w:val="00747695"/>
    <w:rsid w:val="00747BAD"/>
    <w:rsid w:val="00747C16"/>
    <w:rsid w:val="00747D37"/>
    <w:rsid w:val="00750987"/>
    <w:rsid w:val="007512AC"/>
    <w:rsid w:val="007518F7"/>
    <w:rsid w:val="00752E4E"/>
    <w:rsid w:val="007532CF"/>
    <w:rsid w:val="007533DF"/>
    <w:rsid w:val="00753A37"/>
    <w:rsid w:val="007544A0"/>
    <w:rsid w:val="007547FA"/>
    <w:rsid w:val="00755433"/>
    <w:rsid w:val="007563AF"/>
    <w:rsid w:val="0075654C"/>
    <w:rsid w:val="00756B88"/>
    <w:rsid w:val="007607A1"/>
    <w:rsid w:val="00761C0B"/>
    <w:rsid w:val="00762C3A"/>
    <w:rsid w:val="00763E5D"/>
    <w:rsid w:val="00764D95"/>
    <w:rsid w:val="0076501F"/>
    <w:rsid w:val="00765237"/>
    <w:rsid w:val="007666A8"/>
    <w:rsid w:val="00766AEF"/>
    <w:rsid w:val="00767496"/>
    <w:rsid w:val="00767C0F"/>
    <w:rsid w:val="00770059"/>
    <w:rsid w:val="007717DA"/>
    <w:rsid w:val="00771F34"/>
    <w:rsid w:val="00773B17"/>
    <w:rsid w:val="00773ED0"/>
    <w:rsid w:val="00775DBE"/>
    <w:rsid w:val="00776B95"/>
    <w:rsid w:val="00776B9C"/>
    <w:rsid w:val="00776EFD"/>
    <w:rsid w:val="00777BD7"/>
    <w:rsid w:val="00780534"/>
    <w:rsid w:val="007815E4"/>
    <w:rsid w:val="00782696"/>
    <w:rsid w:val="00782876"/>
    <w:rsid w:val="007833C3"/>
    <w:rsid w:val="00783927"/>
    <w:rsid w:val="00783F3A"/>
    <w:rsid w:val="0078536F"/>
    <w:rsid w:val="00785942"/>
    <w:rsid w:val="00785CC9"/>
    <w:rsid w:val="00785D83"/>
    <w:rsid w:val="0078603F"/>
    <w:rsid w:val="0078657C"/>
    <w:rsid w:val="00786AAE"/>
    <w:rsid w:val="0078756D"/>
    <w:rsid w:val="0078756F"/>
    <w:rsid w:val="00787CC4"/>
    <w:rsid w:val="007907DA"/>
    <w:rsid w:val="007909B9"/>
    <w:rsid w:val="00790AF0"/>
    <w:rsid w:val="007915BE"/>
    <w:rsid w:val="007924DF"/>
    <w:rsid w:val="007924E2"/>
    <w:rsid w:val="00792C7D"/>
    <w:rsid w:val="00792DDB"/>
    <w:rsid w:val="00793C60"/>
    <w:rsid w:val="00794EEB"/>
    <w:rsid w:val="007953D5"/>
    <w:rsid w:val="00795924"/>
    <w:rsid w:val="00796249"/>
    <w:rsid w:val="007A04BD"/>
    <w:rsid w:val="007A04F0"/>
    <w:rsid w:val="007A058C"/>
    <w:rsid w:val="007A24B6"/>
    <w:rsid w:val="007A3274"/>
    <w:rsid w:val="007A3ED7"/>
    <w:rsid w:val="007A3FF8"/>
    <w:rsid w:val="007A41A1"/>
    <w:rsid w:val="007A613E"/>
    <w:rsid w:val="007A636A"/>
    <w:rsid w:val="007A6468"/>
    <w:rsid w:val="007A6B69"/>
    <w:rsid w:val="007A7566"/>
    <w:rsid w:val="007B006D"/>
    <w:rsid w:val="007B0290"/>
    <w:rsid w:val="007B0B13"/>
    <w:rsid w:val="007B0B30"/>
    <w:rsid w:val="007B1832"/>
    <w:rsid w:val="007B1B21"/>
    <w:rsid w:val="007B1E41"/>
    <w:rsid w:val="007B213E"/>
    <w:rsid w:val="007B218E"/>
    <w:rsid w:val="007B286A"/>
    <w:rsid w:val="007B329C"/>
    <w:rsid w:val="007B4120"/>
    <w:rsid w:val="007B4702"/>
    <w:rsid w:val="007B4875"/>
    <w:rsid w:val="007B4A80"/>
    <w:rsid w:val="007B4AC4"/>
    <w:rsid w:val="007B4E71"/>
    <w:rsid w:val="007B54EA"/>
    <w:rsid w:val="007C01C0"/>
    <w:rsid w:val="007C01F4"/>
    <w:rsid w:val="007C10F5"/>
    <w:rsid w:val="007C1A7E"/>
    <w:rsid w:val="007C20C6"/>
    <w:rsid w:val="007C2135"/>
    <w:rsid w:val="007C31C7"/>
    <w:rsid w:val="007C381E"/>
    <w:rsid w:val="007C386A"/>
    <w:rsid w:val="007C3EB6"/>
    <w:rsid w:val="007C421D"/>
    <w:rsid w:val="007C4473"/>
    <w:rsid w:val="007C453E"/>
    <w:rsid w:val="007C5ECA"/>
    <w:rsid w:val="007C6CD3"/>
    <w:rsid w:val="007C6F24"/>
    <w:rsid w:val="007C79A0"/>
    <w:rsid w:val="007D194F"/>
    <w:rsid w:val="007D1BA5"/>
    <w:rsid w:val="007D3E4F"/>
    <w:rsid w:val="007D44A4"/>
    <w:rsid w:val="007D4D9B"/>
    <w:rsid w:val="007D5353"/>
    <w:rsid w:val="007D5EBA"/>
    <w:rsid w:val="007D6C5E"/>
    <w:rsid w:val="007D6D94"/>
    <w:rsid w:val="007D6F3F"/>
    <w:rsid w:val="007D700C"/>
    <w:rsid w:val="007D7D16"/>
    <w:rsid w:val="007E154B"/>
    <w:rsid w:val="007E1DC6"/>
    <w:rsid w:val="007E21C7"/>
    <w:rsid w:val="007E25B8"/>
    <w:rsid w:val="007E29A0"/>
    <w:rsid w:val="007E405E"/>
    <w:rsid w:val="007E4088"/>
    <w:rsid w:val="007E4796"/>
    <w:rsid w:val="007E5433"/>
    <w:rsid w:val="007E5C3C"/>
    <w:rsid w:val="007E6A6B"/>
    <w:rsid w:val="007E6ADC"/>
    <w:rsid w:val="007E6C98"/>
    <w:rsid w:val="007E70CB"/>
    <w:rsid w:val="007E7254"/>
    <w:rsid w:val="007F0A89"/>
    <w:rsid w:val="007F14A0"/>
    <w:rsid w:val="007F1F72"/>
    <w:rsid w:val="007F2C52"/>
    <w:rsid w:val="007F2CF4"/>
    <w:rsid w:val="007F330B"/>
    <w:rsid w:val="007F5089"/>
    <w:rsid w:val="007F5EC9"/>
    <w:rsid w:val="007F6005"/>
    <w:rsid w:val="007F7A08"/>
    <w:rsid w:val="00800FFF"/>
    <w:rsid w:val="008014BC"/>
    <w:rsid w:val="0080174E"/>
    <w:rsid w:val="008021FB"/>
    <w:rsid w:val="00802C10"/>
    <w:rsid w:val="00803649"/>
    <w:rsid w:val="008058DE"/>
    <w:rsid w:val="00805B21"/>
    <w:rsid w:val="00806445"/>
    <w:rsid w:val="00806D85"/>
    <w:rsid w:val="00806E44"/>
    <w:rsid w:val="00807301"/>
    <w:rsid w:val="0080759E"/>
    <w:rsid w:val="00807FE0"/>
    <w:rsid w:val="00811382"/>
    <w:rsid w:val="008119F1"/>
    <w:rsid w:val="00811DFD"/>
    <w:rsid w:val="0081221E"/>
    <w:rsid w:val="008127B6"/>
    <w:rsid w:val="00813D3B"/>
    <w:rsid w:val="0081487A"/>
    <w:rsid w:val="00814ED6"/>
    <w:rsid w:val="008150AC"/>
    <w:rsid w:val="00815775"/>
    <w:rsid w:val="00815FF7"/>
    <w:rsid w:val="008162CA"/>
    <w:rsid w:val="008162D5"/>
    <w:rsid w:val="00816812"/>
    <w:rsid w:val="00817936"/>
    <w:rsid w:val="00817AC8"/>
    <w:rsid w:val="00817C42"/>
    <w:rsid w:val="00817C90"/>
    <w:rsid w:val="0082016D"/>
    <w:rsid w:val="00820190"/>
    <w:rsid w:val="00820B66"/>
    <w:rsid w:val="008223AA"/>
    <w:rsid w:val="008226EB"/>
    <w:rsid w:val="00823C46"/>
    <w:rsid w:val="00823F92"/>
    <w:rsid w:val="008253C6"/>
    <w:rsid w:val="00825E0E"/>
    <w:rsid w:val="008263AD"/>
    <w:rsid w:val="008268A2"/>
    <w:rsid w:val="00826B56"/>
    <w:rsid w:val="008270C7"/>
    <w:rsid w:val="00831674"/>
    <w:rsid w:val="00831743"/>
    <w:rsid w:val="00831880"/>
    <w:rsid w:val="008325B0"/>
    <w:rsid w:val="00832DF2"/>
    <w:rsid w:val="00833E7F"/>
    <w:rsid w:val="0083505E"/>
    <w:rsid w:val="0083513D"/>
    <w:rsid w:val="008356CC"/>
    <w:rsid w:val="00840278"/>
    <w:rsid w:val="00842434"/>
    <w:rsid w:val="00843452"/>
    <w:rsid w:val="00844992"/>
    <w:rsid w:val="0084513B"/>
    <w:rsid w:val="008452D8"/>
    <w:rsid w:val="00845651"/>
    <w:rsid w:val="00846A93"/>
    <w:rsid w:val="00846AD7"/>
    <w:rsid w:val="00846CAB"/>
    <w:rsid w:val="00847400"/>
    <w:rsid w:val="00847CFD"/>
    <w:rsid w:val="0085070C"/>
    <w:rsid w:val="00850733"/>
    <w:rsid w:val="00850D88"/>
    <w:rsid w:val="008516EB"/>
    <w:rsid w:val="008518F3"/>
    <w:rsid w:val="00852A67"/>
    <w:rsid w:val="00852EB6"/>
    <w:rsid w:val="00853273"/>
    <w:rsid w:val="008543B5"/>
    <w:rsid w:val="00855477"/>
    <w:rsid w:val="008556F9"/>
    <w:rsid w:val="00855A9A"/>
    <w:rsid w:val="00855C37"/>
    <w:rsid w:val="00856222"/>
    <w:rsid w:val="00857291"/>
    <w:rsid w:val="008575CE"/>
    <w:rsid w:val="008575D9"/>
    <w:rsid w:val="00857DB9"/>
    <w:rsid w:val="00857FBA"/>
    <w:rsid w:val="008600D8"/>
    <w:rsid w:val="00860BE7"/>
    <w:rsid w:val="00860C3D"/>
    <w:rsid w:val="00860C89"/>
    <w:rsid w:val="00860CE5"/>
    <w:rsid w:val="00861360"/>
    <w:rsid w:val="0086137D"/>
    <w:rsid w:val="008618DE"/>
    <w:rsid w:val="00861A65"/>
    <w:rsid w:val="00862255"/>
    <w:rsid w:val="00862B0A"/>
    <w:rsid w:val="00863504"/>
    <w:rsid w:val="008636B7"/>
    <w:rsid w:val="00863F4C"/>
    <w:rsid w:val="00865289"/>
    <w:rsid w:val="008653E5"/>
    <w:rsid w:val="0086632F"/>
    <w:rsid w:val="0086649C"/>
    <w:rsid w:val="00866827"/>
    <w:rsid w:val="00866B11"/>
    <w:rsid w:val="00870605"/>
    <w:rsid w:val="00871471"/>
    <w:rsid w:val="0087252A"/>
    <w:rsid w:val="00872803"/>
    <w:rsid w:val="00873187"/>
    <w:rsid w:val="00874836"/>
    <w:rsid w:val="0087575F"/>
    <w:rsid w:val="00876B06"/>
    <w:rsid w:val="00876C9D"/>
    <w:rsid w:val="00877CFC"/>
    <w:rsid w:val="00877D84"/>
    <w:rsid w:val="008800B0"/>
    <w:rsid w:val="00881C43"/>
    <w:rsid w:val="00882EDC"/>
    <w:rsid w:val="008832CF"/>
    <w:rsid w:val="0088399E"/>
    <w:rsid w:val="00885ED8"/>
    <w:rsid w:val="008865DA"/>
    <w:rsid w:val="008866D8"/>
    <w:rsid w:val="0088695C"/>
    <w:rsid w:val="00890113"/>
    <w:rsid w:val="00891105"/>
    <w:rsid w:val="0089160F"/>
    <w:rsid w:val="008917DF"/>
    <w:rsid w:val="008927D9"/>
    <w:rsid w:val="008933D3"/>
    <w:rsid w:val="00893A7C"/>
    <w:rsid w:val="00893C42"/>
    <w:rsid w:val="00893DC2"/>
    <w:rsid w:val="0089489B"/>
    <w:rsid w:val="00894E11"/>
    <w:rsid w:val="008956CF"/>
    <w:rsid w:val="00895DA9"/>
    <w:rsid w:val="00895E86"/>
    <w:rsid w:val="00896601"/>
    <w:rsid w:val="008967EB"/>
    <w:rsid w:val="008968A0"/>
    <w:rsid w:val="00896A72"/>
    <w:rsid w:val="0089749B"/>
    <w:rsid w:val="00897B44"/>
    <w:rsid w:val="00897C28"/>
    <w:rsid w:val="008A043E"/>
    <w:rsid w:val="008A05A8"/>
    <w:rsid w:val="008A3488"/>
    <w:rsid w:val="008A45B5"/>
    <w:rsid w:val="008A463F"/>
    <w:rsid w:val="008A4AD4"/>
    <w:rsid w:val="008A55FE"/>
    <w:rsid w:val="008A564D"/>
    <w:rsid w:val="008A6EB4"/>
    <w:rsid w:val="008B06C0"/>
    <w:rsid w:val="008B0E3E"/>
    <w:rsid w:val="008B14FA"/>
    <w:rsid w:val="008B260C"/>
    <w:rsid w:val="008B2E6E"/>
    <w:rsid w:val="008B30E7"/>
    <w:rsid w:val="008B37C6"/>
    <w:rsid w:val="008B3BFA"/>
    <w:rsid w:val="008B3E81"/>
    <w:rsid w:val="008B55D5"/>
    <w:rsid w:val="008B6415"/>
    <w:rsid w:val="008B6D74"/>
    <w:rsid w:val="008B6DFB"/>
    <w:rsid w:val="008B71BD"/>
    <w:rsid w:val="008C0AB8"/>
    <w:rsid w:val="008C15B8"/>
    <w:rsid w:val="008C1766"/>
    <w:rsid w:val="008C1DDF"/>
    <w:rsid w:val="008C21C7"/>
    <w:rsid w:val="008C2294"/>
    <w:rsid w:val="008C24EE"/>
    <w:rsid w:val="008C48FC"/>
    <w:rsid w:val="008C56E1"/>
    <w:rsid w:val="008C5842"/>
    <w:rsid w:val="008C6671"/>
    <w:rsid w:val="008C671A"/>
    <w:rsid w:val="008C6E4B"/>
    <w:rsid w:val="008C7324"/>
    <w:rsid w:val="008C7DB0"/>
    <w:rsid w:val="008C7F90"/>
    <w:rsid w:val="008D006B"/>
    <w:rsid w:val="008D0E24"/>
    <w:rsid w:val="008D1822"/>
    <w:rsid w:val="008D281B"/>
    <w:rsid w:val="008D2974"/>
    <w:rsid w:val="008D3117"/>
    <w:rsid w:val="008D3577"/>
    <w:rsid w:val="008D45B2"/>
    <w:rsid w:val="008D4854"/>
    <w:rsid w:val="008D4F93"/>
    <w:rsid w:val="008D518B"/>
    <w:rsid w:val="008D5DF1"/>
    <w:rsid w:val="008D6201"/>
    <w:rsid w:val="008D6458"/>
    <w:rsid w:val="008D66F0"/>
    <w:rsid w:val="008D71C5"/>
    <w:rsid w:val="008D77C7"/>
    <w:rsid w:val="008D7902"/>
    <w:rsid w:val="008E00A3"/>
    <w:rsid w:val="008E3242"/>
    <w:rsid w:val="008E3290"/>
    <w:rsid w:val="008E34C6"/>
    <w:rsid w:val="008E3F0A"/>
    <w:rsid w:val="008E532F"/>
    <w:rsid w:val="008E5A90"/>
    <w:rsid w:val="008E5C6E"/>
    <w:rsid w:val="008E6C2A"/>
    <w:rsid w:val="008E6D71"/>
    <w:rsid w:val="008E745F"/>
    <w:rsid w:val="008E7800"/>
    <w:rsid w:val="008E7D39"/>
    <w:rsid w:val="008F0D2C"/>
    <w:rsid w:val="008F0EC5"/>
    <w:rsid w:val="008F1F86"/>
    <w:rsid w:val="008F202E"/>
    <w:rsid w:val="008F2793"/>
    <w:rsid w:val="008F29B9"/>
    <w:rsid w:val="008F2A42"/>
    <w:rsid w:val="008F4247"/>
    <w:rsid w:val="008F560A"/>
    <w:rsid w:val="008F6803"/>
    <w:rsid w:val="008F6AF6"/>
    <w:rsid w:val="008F7B33"/>
    <w:rsid w:val="008F7FE6"/>
    <w:rsid w:val="00901066"/>
    <w:rsid w:val="00901C64"/>
    <w:rsid w:val="00901F97"/>
    <w:rsid w:val="00902651"/>
    <w:rsid w:val="00902FB8"/>
    <w:rsid w:val="00903596"/>
    <w:rsid w:val="00905497"/>
    <w:rsid w:val="00905C90"/>
    <w:rsid w:val="00905EB8"/>
    <w:rsid w:val="009103F1"/>
    <w:rsid w:val="00910476"/>
    <w:rsid w:val="0091058F"/>
    <w:rsid w:val="00910E12"/>
    <w:rsid w:val="00911E22"/>
    <w:rsid w:val="00912394"/>
    <w:rsid w:val="00912B17"/>
    <w:rsid w:val="009134AC"/>
    <w:rsid w:val="00914219"/>
    <w:rsid w:val="00914B64"/>
    <w:rsid w:val="0091507C"/>
    <w:rsid w:val="00915296"/>
    <w:rsid w:val="00915D19"/>
    <w:rsid w:val="00916C9F"/>
    <w:rsid w:val="009173E6"/>
    <w:rsid w:val="00917494"/>
    <w:rsid w:val="00917940"/>
    <w:rsid w:val="00920195"/>
    <w:rsid w:val="00920F1D"/>
    <w:rsid w:val="00922936"/>
    <w:rsid w:val="00922AA9"/>
    <w:rsid w:val="00922F90"/>
    <w:rsid w:val="009253E9"/>
    <w:rsid w:val="00925690"/>
    <w:rsid w:val="00927B85"/>
    <w:rsid w:val="009305EC"/>
    <w:rsid w:val="009325EE"/>
    <w:rsid w:val="00932C9A"/>
    <w:rsid w:val="00932E25"/>
    <w:rsid w:val="00933B23"/>
    <w:rsid w:val="00933DC8"/>
    <w:rsid w:val="0093537B"/>
    <w:rsid w:val="00935A48"/>
    <w:rsid w:val="009376CC"/>
    <w:rsid w:val="009379A9"/>
    <w:rsid w:val="00941FE4"/>
    <w:rsid w:val="00942835"/>
    <w:rsid w:val="00943B4F"/>
    <w:rsid w:val="00943B6C"/>
    <w:rsid w:val="00943F13"/>
    <w:rsid w:val="009440B7"/>
    <w:rsid w:val="00944683"/>
    <w:rsid w:val="00945C19"/>
    <w:rsid w:val="0094741E"/>
    <w:rsid w:val="009475C5"/>
    <w:rsid w:val="00947BF5"/>
    <w:rsid w:val="00950C7D"/>
    <w:rsid w:val="00950F29"/>
    <w:rsid w:val="009516A1"/>
    <w:rsid w:val="00951D29"/>
    <w:rsid w:val="009520C9"/>
    <w:rsid w:val="0095290E"/>
    <w:rsid w:val="00953290"/>
    <w:rsid w:val="00954303"/>
    <w:rsid w:val="00954353"/>
    <w:rsid w:val="0095456E"/>
    <w:rsid w:val="00954573"/>
    <w:rsid w:val="00954D76"/>
    <w:rsid w:val="0095582A"/>
    <w:rsid w:val="009571A3"/>
    <w:rsid w:val="009605AE"/>
    <w:rsid w:val="00960F83"/>
    <w:rsid w:val="009617E1"/>
    <w:rsid w:val="0096229A"/>
    <w:rsid w:val="00962C12"/>
    <w:rsid w:val="00963386"/>
    <w:rsid w:val="009647FB"/>
    <w:rsid w:val="00964DF4"/>
    <w:rsid w:val="009655B9"/>
    <w:rsid w:val="00965CE9"/>
    <w:rsid w:val="0096629B"/>
    <w:rsid w:val="00966ACC"/>
    <w:rsid w:val="00966D5D"/>
    <w:rsid w:val="009670BD"/>
    <w:rsid w:val="0096756B"/>
    <w:rsid w:val="0096775A"/>
    <w:rsid w:val="00970534"/>
    <w:rsid w:val="00970C52"/>
    <w:rsid w:val="00971570"/>
    <w:rsid w:val="00971571"/>
    <w:rsid w:val="00971B11"/>
    <w:rsid w:val="009725E1"/>
    <w:rsid w:val="009726FE"/>
    <w:rsid w:val="00973B7C"/>
    <w:rsid w:val="00974C45"/>
    <w:rsid w:val="00975FEF"/>
    <w:rsid w:val="00976694"/>
    <w:rsid w:val="009806A0"/>
    <w:rsid w:val="009807EC"/>
    <w:rsid w:val="00981BA4"/>
    <w:rsid w:val="00982E9B"/>
    <w:rsid w:val="009833E7"/>
    <w:rsid w:val="00983745"/>
    <w:rsid w:val="00984172"/>
    <w:rsid w:val="009842CD"/>
    <w:rsid w:val="009846E3"/>
    <w:rsid w:val="00984E86"/>
    <w:rsid w:val="00987861"/>
    <w:rsid w:val="00987919"/>
    <w:rsid w:val="00990013"/>
    <w:rsid w:val="0099120C"/>
    <w:rsid w:val="0099129A"/>
    <w:rsid w:val="00991621"/>
    <w:rsid w:val="00992F91"/>
    <w:rsid w:val="0099468F"/>
    <w:rsid w:val="009952C5"/>
    <w:rsid w:val="009953AF"/>
    <w:rsid w:val="00995841"/>
    <w:rsid w:val="00995A2A"/>
    <w:rsid w:val="00995B54"/>
    <w:rsid w:val="00996031"/>
    <w:rsid w:val="00996DFC"/>
    <w:rsid w:val="00996E9E"/>
    <w:rsid w:val="009970E5"/>
    <w:rsid w:val="0099758C"/>
    <w:rsid w:val="009A061C"/>
    <w:rsid w:val="009A0746"/>
    <w:rsid w:val="009A14AE"/>
    <w:rsid w:val="009A1907"/>
    <w:rsid w:val="009A2EE7"/>
    <w:rsid w:val="009A51D2"/>
    <w:rsid w:val="009A5BB1"/>
    <w:rsid w:val="009A5C28"/>
    <w:rsid w:val="009A5CC7"/>
    <w:rsid w:val="009A6AFF"/>
    <w:rsid w:val="009A6C06"/>
    <w:rsid w:val="009A73B6"/>
    <w:rsid w:val="009B0060"/>
    <w:rsid w:val="009B03A6"/>
    <w:rsid w:val="009B2304"/>
    <w:rsid w:val="009B25F8"/>
    <w:rsid w:val="009B2736"/>
    <w:rsid w:val="009B3B5B"/>
    <w:rsid w:val="009B3EE7"/>
    <w:rsid w:val="009B492B"/>
    <w:rsid w:val="009B4C42"/>
    <w:rsid w:val="009B50DF"/>
    <w:rsid w:val="009B7800"/>
    <w:rsid w:val="009C0500"/>
    <w:rsid w:val="009C0664"/>
    <w:rsid w:val="009C097F"/>
    <w:rsid w:val="009C0AC3"/>
    <w:rsid w:val="009C0B12"/>
    <w:rsid w:val="009C1B99"/>
    <w:rsid w:val="009C294E"/>
    <w:rsid w:val="009C400C"/>
    <w:rsid w:val="009C4F3D"/>
    <w:rsid w:val="009C52B6"/>
    <w:rsid w:val="009C62E4"/>
    <w:rsid w:val="009C6E31"/>
    <w:rsid w:val="009C6E34"/>
    <w:rsid w:val="009D025F"/>
    <w:rsid w:val="009D030B"/>
    <w:rsid w:val="009D0323"/>
    <w:rsid w:val="009D06C7"/>
    <w:rsid w:val="009D1D4C"/>
    <w:rsid w:val="009D1FD0"/>
    <w:rsid w:val="009D2132"/>
    <w:rsid w:val="009D2690"/>
    <w:rsid w:val="009D2BA7"/>
    <w:rsid w:val="009D2C1A"/>
    <w:rsid w:val="009D2C88"/>
    <w:rsid w:val="009D3BC2"/>
    <w:rsid w:val="009D3D13"/>
    <w:rsid w:val="009D3DC4"/>
    <w:rsid w:val="009D49BF"/>
    <w:rsid w:val="009D5237"/>
    <w:rsid w:val="009D6493"/>
    <w:rsid w:val="009D69CF"/>
    <w:rsid w:val="009D7BE9"/>
    <w:rsid w:val="009E124C"/>
    <w:rsid w:val="009E15DB"/>
    <w:rsid w:val="009E1E66"/>
    <w:rsid w:val="009E2A69"/>
    <w:rsid w:val="009E3D5C"/>
    <w:rsid w:val="009E3F69"/>
    <w:rsid w:val="009E5CEC"/>
    <w:rsid w:val="009E69B9"/>
    <w:rsid w:val="009E6AA3"/>
    <w:rsid w:val="009E6EA4"/>
    <w:rsid w:val="009E7523"/>
    <w:rsid w:val="009F060A"/>
    <w:rsid w:val="009F16F8"/>
    <w:rsid w:val="009F2628"/>
    <w:rsid w:val="009F3184"/>
    <w:rsid w:val="009F3D7A"/>
    <w:rsid w:val="009F4B86"/>
    <w:rsid w:val="009F4DFA"/>
    <w:rsid w:val="009F4EFC"/>
    <w:rsid w:val="009F5B8E"/>
    <w:rsid w:val="009F5FCE"/>
    <w:rsid w:val="009F6884"/>
    <w:rsid w:val="009F7369"/>
    <w:rsid w:val="009F7E84"/>
    <w:rsid w:val="00A00034"/>
    <w:rsid w:val="00A008E8"/>
    <w:rsid w:val="00A01325"/>
    <w:rsid w:val="00A01875"/>
    <w:rsid w:val="00A03323"/>
    <w:rsid w:val="00A034AF"/>
    <w:rsid w:val="00A03CED"/>
    <w:rsid w:val="00A04C3C"/>
    <w:rsid w:val="00A0616C"/>
    <w:rsid w:val="00A06F82"/>
    <w:rsid w:val="00A07346"/>
    <w:rsid w:val="00A07C16"/>
    <w:rsid w:val="00A10D6B"/>
    <w:rsid w:val="00A11550"/>
    <w:rsid w:val="00A11BF1"/>
    <w:rsid w:val="00A11E16"/>
    <w:rsid w:val="00A147D3"/>
    <w:rsid w:val="00A15165"/>
    <w:rsid w:val="00A160B1"/>
    <w:rsid w:val="00A16119"/>
    <w:rsid w:val="00A169DC"/>
    <w:rsid w:val="00A16C73"/>
    <w:rsid w:val="00A170FC"/>
    <w:rsid w:val="00A17A2B"/>
    <w:rsid w:val="00A20AA4"/>
    <w:rsid w:val="00A2100C"/>
    <w:rsid w:val="00A21142"/>
    <w:rsid w:val="00A2130D"/>
    <w:rsid w:val="00A2196B"/>
    <w:rsid w:val="00A21BEC"/>
    <w:rsid w:val="00A2224C"/>
    <w:rsid w:val="00A23380"/>
    <w:rsid w:val="00A234F2"/>
    <w:rsid w:val="00A2374E"/>
    <w:rsid w:val="00A2408E"/>
    <w:rsid w:val="00A249CA"/>
    <w:rsid w:val="00A252F6"/>
    <w:rsid w:val="00A2557A"/>
    <w:rsid w:val="00A2658B"/>
    <w:rsid w:val="00A26E37"/>
    <w:rsid w:val="00A273C9"/>
    <w:rsid w:val="00A30469"/>
    <w:rsid w:val="00A3102A"/>
    <w:rsid w:val="00A31846"/>
    <w:rsid w:val="00A31CF2"/>
    <w:rsid w:val="00A32967"/>
    <w:rsid w:val="00A32BF5"/>
    <w:rsid w:val="00A3314C"/>
    <w:rsid w:val="00A33170"/>
    <w:rsid w:val="00A334D2"/>
    <w:rsid w:val="00A35678"/>
    <w:rsid w:val="00A35820"/>
    <w:rsid w:val="00A35D85"/>
    <w:rsid w:val="00A3642C"/>
    <w:rsid w:val="00A374A9"/>
    <w:rsid w:val="00A377BC"/>
    <w:rsid w:val="00A423BA"/>
    <w:rsid w:val="00A43181"/>
    <w:rsid w:val="00A45C1F"/>
    <w:rsid w:val="00A45C91"/>
    <w:rsid w:val="00A464E7"/>
    <w:rsid w:val="00A46B79"/>
    <w:rsid w:val="00A46BFD"/>
    <w:rsid w:val="00A476DC"/>
    <w:rsid w:val="00A47B87"/>
    <w:rsid w:val="00A47B96"/>
    <w:rsid w:val="00A501DE"/>
    <w:rsid w:val="00A509BF"/>
    <w:rsid w:val="00A50AE7"/>
    <w:rsid w:val="00A52658"/>
    <w:rsid w:val="00A528AD"/>
    <w:rsid w:val="00A53C26"/>
    <w:rsid w:val="00A544D3"/>
    <w:rsid w:val="00A54AC8"/>
    <w:rsid w:val="00A5550B"/>
    <w:rsid w:val="00A5574F"/>
    <w:rsid w:val="00A55EC9"/>
    <w:rsid w:val="00A55EE4"/>
    <w:rsid w:val="00A563CB"/>
    <w:rsid w:val="00A56A73"/>
    <w:rsid w:val="00A57362"/>
    <w:rsid w:val="00A57798"/>
    <w:rsid w:val="00A613EA"/>
    <w:rsid w:val="00A615A1"/>
    <w:rsid w:val="00A616E0"/>
    <w:rsid w:val="00A62CF6"/>
    <w:rsid w:val="00A6315F"/>
    <w:rsid w:val="00A631F8"/>
    <w:rsid w:val="00A64741"/>
    <w:rsid w:val="00A64C38"/>
    <w:rsid w:val="00A6593F"/>
    <w:rsid w:val="00A66161"/>
    <w:rsid w:val="00A66495"/>
    <w:rsid w:val="00A66874"/>
    <w:rsid w:val="00A7162C"/>
    <w:rsid w:val="00A717DA"/>
    <w:rsid w:val="00A72251"/>
    <w:rsid w:val="00A72582"/>
    <w:rsid w:val="00A72B84"/>
    <w:rsid w:val="00A72F91"/>
    <w:rsid w:val="00A73412"/>
    <w:rsid w:val="00A744B8"/>
    <w:rsid w:val="00A7558C"/>
    <w:rsid w:val="00A7701F"/>
    <w:rsid w:val="00A771D8"/>
    <w:rsid w:val="00A77AD9"/>
    <w:rsid w:val="00A80F85"/>
    <w:rsid w:val="00A816D9"/>
    <w:rsid w:val="00A81896"/>
    <w:rsid w:val="00A81B42"/>
    <w:rsid w:val="00A82DB2"/>
    <w:rsid w:val="00A82E8E"/>
    <w:rsid w:val="00A868A5"/>
    <w:rsid w:val="00A8721B"/>
    <w:rsid w:val="00A8777D"/>
    <w:rsid w:val="00A90D21"/>
    <w:rsid w:val="00A90DD3"/>
    <w:rsid w:val="00A91D39"/>
    <w:rsid w:val="00A921E3"/>
    <w:rsid w:val="00A922DF"/>
    <w:rsid w:val="00A92941"/>
    <w:rsid w:val="00A9363B"/>
    <w:rsid w:val="00A9436F"/>
    <w:rsid w:val="00A9449D"/>
    <w:rsid w:val="00A9489E"/>
    <w:rsid w:val="00A94C22"/>
    <w:rsid w:val="00A9666B"/>
    <w:rsid w:val="00A96830"/>
    <w:rsid w:val="00AA07D1"/>
    <w:rsid w:val="00AA09A5"/>
    <w:rsid w:val="00AA0D31"/>
    <w:rsid w:val="00AA0FC3"/>
    <w:rsid w:val="00AA1C56"/>
    <w:rsid w:val="00AA3200"/>
    <w:rsid w:val="00AA3230"/>
    <w:rsid w:val="00AA32A6"/>
    <w:rsid w:val="00AA3A49"/>
    <w:rsid w:val="00AA3ED6"/>
    <w:rsid w:val="00AA4B50"/>
    <w:rsid w:val="00AA5758"/>
    <w:rsid w:val="00AA65A3"/>
    <w:rsid w:val="00AA69CD"/>
    <w:rsid w:val="00AA717F"/>
    <w:rsid w:val="00AA71A3"/>
    <w:rsid w:val="00AA7FC0"/>
    <w:rsid w:val="00AB0B49"/>
    <w:rsid w:val="00AB0D5A"/>
    <w:rsid w:val="00AB185F"/>
    <w:rsid w:val="00AB2612"/>
    <w:rsid w:val="00AB5037"/>
    <w:rsid w:val="00AB551F"/>
    <w:rsid w:val="00AB59F3"/>
    <w:rsid w:val="00AB5C76"/>
    <w:rsid w:val="00AB6BED"/>
    <w:rsid w:val="00AB7426"/>
    <w:rsid w:val="00AB74FD"/>
    <w:rsid w:val="00AB7C54"/>
    <w:rsid w:val="00AC0529"/>
    <w:rsid w:val="00AC0866"/>
    <w:rsid w:val="00AC0AD0"/>
    <w:rsid w:val="00AC0C2B"/>
    <w:rsid w:val="00AC1661"/>
    <w:rsid w:val="00AC1DB0"/>
    <w:rsid w:val="00AC24F3"/>
    <w:rsid w:val="00AC276E"/>
    <w:rsid w:val="00AC2C62"/>
    <w:rsid w:val="00AC3287"/>
    <w:rsid w:val="00AC4F02"/>
    <w:rsid w:val="00AC5308"/>
    <w:rsid w:val="00AC5B27"/>
    <w:rsid w:val="00AC5D71"/>
    <w:rsid w:val="00AC6EA9"/>
    <w:rsid w:val="00AD053C"/>
    <w:rsid w:val="00AD055F"/>
    <w:rsid w:val="00AD0872"/>
    <w:rsid w:val="00AD08E3"/>
    <w:rsid w:val="00AD12BF"/>
    <w:rsid w:val="00AD191E"/>
    <w:rsid w:val="00AD1EC1"/>
    <w:rsid w:val="00AD1F4D"/>
    <w:rsid w:val="00AD363A"/>
    <w:rsid w:val="00AD4B2A"/>
    <w:rsid w:val="00AD5247"/>
    <w:rsid w:val="00AD5409"/>
    <w:rsid w:val="00AD5747"/>
    <w:rsid w:val="00AD5D0D"/>
    <w:rsid w:val="00AD5F52"/>
    <w:rsid w:val="00AD607B"/>
    <w:rsid w:val="00AD7741"/>
    <w:rsid w:val="00AE0CA1"/>
    <w:rsid w:val="00AE3964"/>
    <w:rsid w:val="00AE46F6"/>
    <w:rsid w:val="00AE4FCA"/>
    <w:rsid w:val="00AE5821"/>
    <w:rsid w:val="00AE5C6A"/>
    <w:rsid w:val="00AE5F24"/>
    <w:rsid w:val="00AE7E6A"/>
    <w:rsid w:val="00AF0490"/>
    <w:rsid w:val="00AF24E7"/>
    <w:rsid w:val="00AF2A1D"/>
    <w:rsid w:val="00AF2B9E"/>
    <w:rsid w:val="00AF341D"/>
    <w:rsid w:val="00AF35A4"/>
    <w:rsid w:val="00AF39AE"/>
    <w:rsid w:val="00AF3A9E"/>
    <w:rsid w:val="00AF3C8B"/>
    <w:rsid w:val="00AF3E3B"/>
    <w:rsid w:val="00AF53CB"/>
    <w:rsid w:val="00AF58AF"/>
    <w:rsid w:val="00AF5BD4"/>
    <w:rsid w:val="00AF69CE"/>
    <w:rsid w:val="00AF6C86"/>
    <w:rsid w:val="00AF745B"/>
    <w:rsid w:val="00AF7CF4"/>
    <w:rsid w:val="00B002B9"/>
    <w:rsid w:val="00B012B3"/>
    <w:rsid w:val="00B013A5"/>
    <w:rsid w:val="00B02938"/>
    <w:rsid w:val="00B037DD"/>
    <w:rsid w:val="00B04509"/>
    <w:rsid w:val="00B048B8"/>
    <w:rsid w:val="00B05CE3"/>
    <w:rsid w:val="00B06920"/>
    <w:rsid w:val="00B06BA5"/>
    <w:rsid w:val="00B0780A"/>
    <w:rsid w:val="00B11350"/>
    <w:rsid w:val="00B128AD"/>
    <w:rsid w:val="00B13F9C"/>
    <w:rsid w:val="00B15231"/>
    <w:rsid w:val="00B16804"/>
    <w:rsid w:val="00B16F1A"/>
    <w:rsid w:val="00B17B4A"/>
    <w:rsid w:val="00B17F02"/>
    <w:rsid w:val="00B201D1"/>
    <w:rsid w:val="00B22B92"/>
    <w:rsid w:val="00B235FD"/>
    <w:rsid w:val="00B25E5B"/>
    <w:rsid w:val="00B26A30"/>
    <w:rsid w:val="00B26CC1"/>
    <w:rsid w:val="00B272D6"/>
    <w:rsid w:val="00B277CA"/>
    <w:rsid w:val="00B27853"/>
    <w:rsid w:val="00B27D90"/>
    <w:rsid w:val="00B30054"/>
    <w:rsid w:val="00B3032B"/>
    <w:rsid w:val="00B30CD2"/>
    <w:rsid w:val="00B310DF"/>
    <w:rsid w:val="00B3219E"/>
    <w:rsid w:val="00B3245D"/>
    <w:rsid w:val="00B3436B"/>
    <w:rsid w:val="00B347A8"/>
    <w:rsid w:val="00B35397"/>
    <w:rsid w:val="00B36115"/>
    <w:rsid w:val="00B3624E"/>
    <w:rsid w:val="00B36EF7"/>
    <w:rsid w:val="00B4115A"/>
    <w:rsid w:val="00B4149C"/>
    <w:rsid w:val="00B41E16"/>
    <w:rsid w:val="00B424EC"/>
    <w:rsid w:val="00B42EC3"/>
    <w:rsid w:val="00B436D7"/>
    <w:rsid w:val="00B442F1"/>
    <w:rsid w:val="00B4432F"/>
    <w:rsid w:val="00B4484E"/>
    <w:rsid w:val="00B45ABD"/>
    <w:rsid w:val="00B461CE"/>
    <w:rsid w:val="00B46D03"/>
    <w:rsid w:val="00B47809"/>
    <w:rsid w:val="00B502FA"/>
    <w:rsid w:val="00B514C8"/>
    <w:rsid w:val="00B5180F"/>
    <w:rsid w:val="00B51FFA"/>
    <w:rsid w:val="00B52F3C"/>
    <w:rsid w:val="00B54546"/>
    <w:rsid w:val="00B547AA"/>
    <w:rsid w:val="00B557E7"/>
    <w:rsid w:val="00B558D2"/>
    <w:rsid w:val="00B60073"/>
    <w:rsid w:val="00B60537"/>
    <w:rsid w:val="00B60DBC"/>
    <w:rsid w:val="00B612EE"/>
    <w:rsid w:val="00B620F9"/>
    <w:rsid w:val="00B63059"/>
    <w:rsid w:val="00B63649"/>
    <w:rsid w:val="00B6456E"/>
    <w:rsid w:val="00B64E7E"/>
    <w:rsid w:val="00B6627A"/>
    <w:rsid w:val="00B66568"/>
    <w:rsid w:val="00B67D87"/>
    <w:rsid w:val="00B703AD"/>
    <w:rsid w:val="00B70613"/>
    <w:rsid w:val="00B707BC"/>
    <w:rsid w:val="00B70BF5"/>
    <w:rsid w:val="00B70F50"/>
    <w:rsid w:val="00B717F7"/>
    <w:rsid w:val="00B72503"/>
    <w:rsid w:val="00B737B1"/>
    <w:rsid w:val="00B73BB3"/>
    <w:rsid w:val="00B7409C"/>
    <w:rsid w:val="00B7422C"/>
    <w:rsid w:val="00B74806"/>
    <w:rsid w:val="00B7506E"/>
    <w:rsid w:val="00B759C1"/>
    <w:rsid w:val="00B76ACE"/>
    <w:rsid w:val="00B77564"/>
    <w:rsid w:val="00B803ED"/>
    <w:rsid w:val="00B80443"/>
    <w:rsid w:val="00B8069B"/>
    <w:rsid w:val="00B808DC"/>
    <w:rsid w:val="00B8279E"/>
    <w:rsid w:val="00B82BE5"/>
    <w:rsid w:val="00B83868"/>
    <w:rsid w:val="00B83F75"/>
    <w:rsid w:val="00B84F26"/>
    <w:rsid w:val="00B85236"/>
    <w:rsid w:val="00B85BF1"/>
    <w:rsid w:val="00B85DC6"/>
    <w:rsid w:val="00B867BC"/>
    <w:rsid w:val="00B86C20"/>
    <w:rsid w:val="00B878D4"/>
    <w:rsid w:val="00B90391"/>
    <w:rsid w:val="00B91C47"/>
    <w:rsid w:val="00B92B81"/>
    <w:rsid w:val="00B936DE"/>
    <w:rsid w:val="00B952FB"/>
    <w:rsid w:val="00B95DD3"/>
    <w:rsid w:val="00B9714D"/>
    <w:rsid w:val="00B97CDD"/>
    <w:rsid w:val="00B97F44"/>
    <w:rsid w:val="00BA015C"/>
    <w:rsid w:val="00BA0724"/>
    <w:rsid w:val="00BA14FB"/>
    <w:rsid w:val="00BA190D"/>
    <w:rsid w:val="00BA2EEE"/>
    <w:rsid w:val="00BA44D5"/>
    <w:rsid w:val="00BA4AE5"/>
    <w:rsid w:val="00BA4B19"/>
    <w:rsid w:val="00BA5CF9"/>
    <w:rsid w:val="00BA6843"/>
    <w:rsid w:val="00BB0140"/>
    <w:rsid w:val="00BB06C6"/>
    <w:rsid w:val="00BB1441"/>
    <w:rsid w:val="00BB1AD6"/>
    <w:rsid w:val="00BB2DA7"/>
    <w:rsid w:val="00BB3101"/>
    <w:rsid w:val="00BB38E8"/>
    <w:rsid w:val="00BB3AB1"/>
    <w:rsid w:val="00BB3C0F"/>
    <w:rsid w:val="00BB468B"/>
    <w:rsid w:val="00BB5EA2"/>
    <w:rsid w:val="00BB60A1"/>
    <w:rsid w:val="00BB6280"/>
    <w:rsid w:val="00BB6CC5"/>
    <w:rsid w:val="00BB7BF5"/>
    <w:rsid w:val="00BC0088"/>
    <w:rsid w:val="00BC0F13"/>
    <w:rsid w:val="00BC1301"/>
    <w:rsid w:val="00BC14A0"/>
    <w:rsid w:val="00BC1853"/>
    <w:rsid w:val="00BC27CB"/>
    <w:rsid w:val="00BC2909"/>
    <w:rsid w:val="00BC3624"/>
    <w:rsid w:val="00BC466B"/>
    <w:rsid w:val="00BD0F1C"/>
    <w:rsid w:val="00BD1008"/>
    <w:rsid w:val="00BD1249"/>
    <w:rsid w:val="00BD12F9"/>
    <w:rsid w:val="00BD1A75"/>
    <w:rsid w:val="00BD1E03"/>
    <w:rsid w:val="00BD2ECC"/>
    <w:rsid w:val="00BD31A0"/>
    <w:rsid w:val="00BD3201"/>
    <w:rsid w:val="00BD47CA"/>
    <w:rsid w:val="00BD592D"/>
    <w:rsid w:val="00BD60A6"/>
    <w:rsid w:val="00BD6864"/>
    <w:rsid w:val="00BD7270"/>
    <w:rsid w:val="00BD7474"/>
    <w:rsid w:val="00BD7569"/>
    <w:rsid w:val="00BD7763"/>
    <w:rsid w:val="00BD7CE7"/>
    <w:rsid w:val="00BE180A"/>
    <w:rsid w:val="00BE22ED"/>
    <w:rsid w:val="00BE247F"/>
    <w:rsid w:val="00BE3060"/>
    <w:rsid w:val="00BE3C4B"/>
    <w:rsid w:val="00BE4472"/>
    <w:rsid w:val="00BE507C"/>
    <w:rsid w:val="00BE5EA6"/>
    <w:rsid w:val="00BE68C7"/>
    <w:rsid w:val="00BE6BC5"/>
    <w:rsid w:val="00BE6BF5"/>
    <w:rsid w:val="00BE6D8F"/>
    <w:rsid w:val="00BE7390"/>
    <w:rsid w:val="00BE7661"/>
    <w:rsid w:val="00BE7967"/>
    <w:rsid w:val="00BF0B50"/>
    <w:rsid w:val="00BF1B37"/>
    <w:rsid w:val="00BF2035"/>
    <w:rsid w:val="00BF2D52"/>
    <w:rsid w:val="00BF372C"/>
    <w:rsid w:val="00BF3B4D"/>
    <w:rsid w:val="00BF480E"/>
    <w:rsid w:val="00BF53D3"/>
    <w:rsid w:val="00BF69E4"/>
    <w:rsid w:val="00BF6B2E"/>
    <w:rsid w:val="00C00003"/>
    <w:rsid w:val="00C00569"/>
    <w:rsid w:val="00C00DD6"/>
    <w:rsid w:val="00C0107D"/>
    <w:rsid w:val="00C01A60"/>
    <w:rsid w:val="00C02074"/>
    <w:rsid w:val="00C02F13"/>
    <w:rsid w:val="00C02F68"/>
    <w:rsid w:val="00C03AC1"/>
    <w:rsid w:val="00C04866"/>
    <w:rsid w:val="00C04CA1"/>
    <w:rsid w:val="00C07B4B"/>
    <w:rsid w:val="00C1184A"/>
    <w:rsid w:val="00C11C13"/>
    <w:rsid w:val="00C11E67"/>
    <w:rsid w:val="00C11E7B"/>
    <w:rsid w:val="00C12490"/>
    <w:rsid w:val="00C1282E"/>
    <w:rsid w:val="00C129DC"/>
    <w:rsid w:val="00C12BB9"/>
    <w:rsid w:val="00C13ADF"/>
    <w:rsid w:val="00C14323"/>
    <w:rsid w:val="00C143FF"/>
    <w:rsid w:val="00C1444D"/>
    <w:rsid w:val="00C145F1"/>
    <w:rsid w:val="00C160FF"/>
    <w:rsid w:val="00C17234"/>
    <w:rsid w:val="00C1766C"/>
    <w:rsid w:val="00C20C57"/>
    <w:rsid w:val="00C20D76"/>
    <w:rsid w:val="00C219B2"/>
    <w:rsid w:val="00C22CAC"/>
    <w:rsid w:val="00C23127"/>
    <w:rsid w:val="00C233E9"/>
    <w:rsid w:val="00C23941"/>
    <w:rsid w:val="00C242CD"/>
    <w:rsid w:val="00C242F7"/>
    <w:rsid w:val="00C2467D"/>
    <w:rsid w:val="00C24AD1"/>
    <w:rsid w:val="00C25E60"/>
    <w:rsid w:val="00C2602D"/>
    <w:rsid w:val="00C26DD0"/>
    <w:rsid w:val="00C30B47"/>
    <w:rsid w:val="00C30B8F"/>
    <w:rsid w:val="00C30E94"/>
    <w:rsid w:val="00C316F0"/>
    <w:rsid w:val="00C31D55"/>
    <w:rsid w:val="00C31F3E"/>
    <w:rsid w:val="00C32A39"/>
    <w:rsid w:val="00C35FA0"/>
    <w:rsid w:val="00C36170"/>
    <w:rsid w:val="00C364BA"/>
    <w:rsid w:val="00C36775"/>
    <w:rsid w:val="00C368C9"/>
    <w:rsid w:val="00C36B39"/>
    <w:rsid w:val="00C36F63"/>
    <w:rsid w:val="00C404BB"/>
    <w:rsid w:val="00C40765"/>
    <w:rsid w:val="00C40CF5"/>
    <w:rsid w:val="00C40E5C"/>
    <w:rsid w:val="00C419C7"/>
    <w:rsid w:val="00C426E6"/>
    <w:rsid w:val="00C42D42"/>
    <w:rsid w:val="00C42F00"/>
    <w:rsid w:val="00C42F0B"/>
    <w:rsid w:val="00C43D46"/>
    <w:rsid w:val="00C44669"/>
    <w:rsid w:val="00C46BCF"/>
    <w:rsid w:val="00C4747D"/>
    <w:rsid w:val="00C477A0"/>
    <w:rsid w:val="00C50104"/>
    <w:rsid w:val="00C50628"/>
    <w:rsid w:val="00C50D48"/>
    <w:rsid w:val="00C513B0"/>
    <w:rsid w:val="00C517D0"/>
    <w:rsid w:val="00C51912"/>
    <w:rsid w:val="00C52A7B"/>
    <w:rsid w:val="00C53E6C"/>
    <w:rsid w:val="00C541DC"/>
    <w:rsid w:val="00C54E1E"/>
    <w:rsid w:val="00C559CB"/>
    <w:rsid w:val="00C56B22"/>
    <w:rsid w:val="00C56DD3"/>
    <w:rsid w:val="00C60BF7"/>
    <w:rsid w:val="00C6206B"/>
    <w:rsid w:val="00C62A8D"/>
    <w:rsid w:val="00C63FDD"/>
    <w:rsid w:val="00C65004"/>
    <w:rsid w:val="00C65F37"/>
    <w:rsid w:val="00C67F2D"/>
    <w:rsid w:val="00C701DB"/>
    <w:rsid w:val="00C70EA8"/>
    <w:rsid w:val="00C72119"/>
    <w:rsid w:val="00C72308"/>
    <w:rsid w:val="00C72807"/>
    <w:rsid w:val="00C73831"/>
    <w:rsid w:val="00C73B18"/>
    <w:rsid w:val="00C73CFE"/>
    <w:rsid w:val="00C73D31"/>
    <w:rsid w:val="00C746C5"/>
    <w:rsid w:val="00C771DE"/>
    <w:rsid w:val="00C772A2"/>
    <w:rsid w:val="00C772C3"/>
    <w:rsid w:val="00C7730F"/>
    <w:rsid w:val="00C7764E"/>
    <w:rsid w:val="00C77D40"/>
    <w:rsid w:val="00C801B8"/>
    <w:rsid w:val="00C8081A"/>
    <w:rsid w:val="00C809D3"/>
    <w:rsid w:val="00C80A62"/>
    <w:rsid w:val="00C81FFD"/>
    <w:rsid w:val="00C8205A"/>
    <w:rsid w:val="00C82FDE"/>
    <w:rsid w:val="00C8475B"/>
    <w:rsid w:val="00C8659D"/>
    <w:rsid w:val="00C86850"/>
    <w:rsid w:val="00C878B8"/>
    <w:rsid w:val="00C87A53"/>
    <w:rsid w:val="00C90052"/>
    <w:rsid w:val="00C900A0"/>
    <w:rsid w:val="00C90711"/>
    <w:rsid w:val="00C90868"/>
    <w:rsid w:val="00C912C1"/>
    <w:rsid w:val="00C917FE"/>
    <w:rsid w:val="00C91EBB"/>
    <w:rsid w:val="00C932BE"/>
    <w:rsid w:val="00C93412"/>
    <w:rsid w:val="00C936F1"/>
    <w:rsid w:val="00C93D40"/>
    <w:rsid w:val="00C94D38"/>
    <w:rsid w:val="00C94EAD"/>
    <w:rsid w:val="00C955C9"/>
    <w:rsid w:val="00C95A0F"/>
    <w:rsid w:val="00C95AA7"/>
    <w:rsid w:val="00C95B2B"/>
    <w:rsid w:val="00C96145"/>
    <w:rsid w:val="00C9615A"/>
    <w:rsid w:val="00C96177"/>
    <w:rsid w:val="00C96648"/>
    <w:rsid w:val="00C9682B"/>
    <w:rsid w:val="00C96A53"/>
    <w:rsid w:val="00C9795B"/>
    <w:rsid w:val="00CA18D1"/>
    <w:rsid w:val="00CA1A47"/>
    <w:rsid w:val="00CA1D69"/>
    <w:rsid w:val="00CA266F"/>
    <w:rsid w:val="00CA2E65"/>
    <w:rsid w:val="00CA30C3"/>
    <w:rsid w:val="00CA3480"/>
    <w:rsid w:val="00CA38FE"/>
    <w:rsid w:val="00CA3F30"/>
    <w:rsid w:val="00CA448D"/>
    <w:rsid w:val="00CA4CBE"/>
    <w:rsid w:val="00CA4EEE"/>
    <w:rsid w:val="00CA6069"/>
    <w:rsid w:val="00CA637B"/>
    <w:rsid w:val="00CA66C8"/>
    <w:rsid w:val="00CA706E"/>
    <w:rsid w:val="00CA7719"/>
    <w:rsid w:val="00CA7B73"/>
    <w:rsid w:val="00CB08F8"/>
    <w:rsid w:val="00CB163F"/>
    <w:rsid w:val="00CB19D3"/>
    <w:rsid w:val="00CB2958"/>
    <w:rsid w:val="00CB2FB9"/>
    <w:rsid w:val="00CB3821"/>
    <w:rsid w:val="00CB396A"/>
    <w:rsid w:val="00CB3FD3"/>
    <w:rsid w:val="00CB4EC2"/>
    <w:rsid w:val="00CB593A"/>
    <w:rsid w:val="00CB64CB"/>
    <w:rsid w:val="00CB673C"/>
    <w:rsid w:val="00CB7177"/>
    <w:rsid w:val="00CB779B"/>
    <w:rsid w:val="00CB7F01"/>
    <w:rsid w:val="00CC095C"/>
    <w:rsid w:val="00CC2223"/>
    <w:rsid w:val="00CC27DB"/>
    <w:rsid w:val="00CC2ED3"/>
    <w:rsid w:val="00CC3B0E"/>
    <w:rsid w:val="00CC4103"/>
    <w:rsid w:val="00CC4B3A"/>
    <w:rsid w:val="00CC6782"/>
    <w:rsid w:val="00CD028E"/>
    <w:rsid w:val="00CD25E4"/>
    <w:rsid w:val="00CD3100"/>
    <w:rsid w:val="00CD3454"/>
    <w:rsid w:val="00CD4924"/>
    <w:rsid w:val="00CD4B48"/>
    <w:rsid w:val="00CD5127"/>
    <w:rsid w:val="00CD5863"/>
    <w:rsid w:val="00CD602E"/>
    <w:rsid w:val="00CD67C5"/>
    <w:rsid w:val="00CD6ADE"/>
    <w:rsid w:val="00CD6BC5"/>
    <w:rsid w:val="00CD7580"/>
    <w:rsid w:val="00CE000B"/>
    <w:rsid w:val="00CE0D72"/>
    <w:rsid w:val="00CE1256"/>
    <w:rsid w:val="00CE16A0"/>
    <w:rsid w:val="00CE27FC"/>
    <w:rsid w:val="00CE2C45"/>
    <w:rsid w:val="00CE2F42"/>
    <w:rsid w:val="00CE57F3"/>
    <w:rsid w:val="00CE5B72"/>
    <w:rsid w:val="00CE6429"/>
    <w:rsid w:val="00CE66D0"/>
    <w:rsid w:val="00CF00D4"/>
    <w:rsid w:val="00CF03B8"/>
    <w:rsid w:val="00CF2F08"/>
    <w:rsid w:val="00CF45CA"/>
    <w:rsid w:val="00CF59F6"/>
    <w:rsid w:val="00CF5AC0"/>
    <w:rsid w:val="00CF6177"/>
    <w:rsid w:val="00CF67AE"/>
    <w:rsid w:val="00CF6FD9"/>
    <w:rsid w:val="00CF753C"/>
    <w:rsid w:val="00CF78E1"/>
    <w:rsid w:val="00CF7E5D"/>
    <w:rsid w:val="00D00144"/>
    <w:rsid w:val="00D00155"/>
    <w:rsid w:val="00D0113F"/>
    <w:rsid w:val="00D027B2"/>
    <w:rsid w:val="00D02D31"/>
    <w:rsid w:val="00D030CC"/>
    <w:rsid w:val="00D03240"/>
    <w:rsid w:val="00D06449"/>
    <w:rsid w:val="00D064DF"/>
    <w:rsid w:val="00D06BA2"/>
    <w:rsid w:val="00D072D0"/>
    <w:rsid w:val="00D0741C"/>
    <w:rsid w:val="00D07478"/>
    <w:rsid w:val="00D10002"/>
    <w:rsid w:val="00D1011B"/>
    <w:rsid w:val="00D11D1E"/>
    <w:rsid w:val="00D13377"/>
    <w:rsid w:val="00D1372C"/>
    <w:rsid w:val="00D13A12"/>
    <w:rsid w:val="00D14198"/>
    <w:rsid w:val="00D1423F"/>
    <w:rsid w:val="00D14C54"/>
    <w:rsid w:val="00D14E06"/>
    <w:rsid w:val="00D16CE4"/>
    <w:rsid w:val="00D17407"/>
    <w:rsid w:val="00D2065C"/>
    <w:rsid w:val="00D20BD5"/>
    <w:rsid w:val="00D21B20"/>
    <w:rsid w:val="00D22E20"/>
    <w:rsid w:val="00D2385E"/>
    <w:rsid w:val="00D23AD0"/>
    <w:rsid w:val="00D25E86"/>
    <w:rsid w:val="00D26690"/>
    <w:rsid w:val="00D26AE1"/>
    <w:rsid w:val="00D2725C"/>
    <w:rsid w:val="00D304B6"/>
    <w:rsid w:val="00D31408"/>
    <w:rsid w:val="00D3183F"/>
    <w:rsid w:val="00D31C09"/>
    <w:rsid w:val="00D32E69"/>
    <w:rsid w:val="00D34683"/>
    <w:rsid w:val="00D35597"/>
    <w:rsid w:val="00D36698"/>
    <w:rsid w:val="00D4003C"/>
    <w:rsid w:val="00D40DFC"/>
    <w:rsid w:val="00D416FF"/>
    <w:rsid w:val="00D4249D"/>
    <w:rsid w:val="00D42AFB"/>
    <w:rsid w:val="00D42DCB"/>
    <w:rsid w:val="00D45759"/>
    <w:rsid w:val="00D45AA6"/>
    <w:rsid w:val="00D45DB9"/>
    <w:rsid w:val="00D46527"/>
    <w:rsid w:val="00D465CE"/>
    <w:rsid w:val="00D47E59"/>
    <w:rsid w:val="00D5014B"/>
    <w:rsid w:val="00D502FD"/>
    <w:rsid w:val="00D5172A"/>
    <w:rsid w:val="00D51AB0"/>
    <w:rsid w:val="00D521CA"/>
    <w:rsid w:val="00D526F6"/>
    <w:rsid w:val="00D52DEB"/>
    <w:rsid w:val="00D53924"/>
    <w:rsid w:val="00D54606"/>
    <w:rsid w:val="00D55D58"/>
    <w:rsid w:val="00D55DA6"/>
    <w:rsid w:val="00D563B7"/>
    <w:rsid w:val="00D57255"/>
    <w:rsid w:val="00D576B8"/>
    <w:rsid w:val="00D57FE8"/>
    <w:rsid w:val="00D61559"/>
    <w:rsid w:val="00D61E9F"/>
    <w:rsid w:val="00D62902"/>
    <w:rsid w:val="00D62980"/>
    <w:rsid w:val="00D635B9"/>
    <w:rsid w:val="00D637D6"/>
    <w:rsid w:val="00D6435C"/>
    <w:rsid w:val="00D7006B"/>
    <w:rsid w:val="00D70768"/>
    <w:rsid w:val="00D7152A"/>
    <w:rsid w:val="00D7359C"/>
    <w:rsid w:val="00D745D5"/>
    <w:rsid w:val="00D74F27"/>
    <w:rsid w:val="00D76763"/>
    <w:rsid w:val="00D767EB"/>
    <w:rsid w:val="00D76897"/>
    <w:rsid w:val="00D77229"/>
    <w:rsid w:val="00D77F95"/>
    <w:rsid w:val="00D80530"/>
    <w:rsid w:val="00D80CAA"/>
    <w:rsid w:val="00D81111"/>
    <w:rsid w:val="00D81283"/>
    <w:rsid w:val="00D81368"/>
    <w:rsid w:val="00D8206C"/>
    <w:rsid w:val="00D82614"/>
    <w:rsid w:val="00D82DCC"/>
    <w:rsid w:val="00D831E6"/>
    <w:rsid w:val="00D83317"/>
    <w:rsid w:val="00D83949"/>
    <w:rsid w:val="00D83E4A"/>
    <w:rsid w:val="00D83E92"/>
    <w:rsid w:val="00D84305"/>
    <w:rsid w:val="00D8496D"/>
    <w:rsid w:val="00D86684"/>
    <w:rsid w:val="00D8756F"/>
    <w:rsid w:val="00D90362"/>
    <w:rsid w:val="00D91348"/>
    <w:rsid w:val="00D9239D"/>
    <w:rsid w:val="00D93361"/>
    <w:rsid w:val="00D934A5"/>
    <w:rsid w:val="00D94416"/>
    <w:rsid w:val="00D94E43"/>
    <w:rsid w:val="00D95B12"/>
    <w:rsid w:val="00D95B9E"/>
    <w:rsid w:val="00D97BC9"/>
    <w:rsid w:val="00DA023C"/>
    <w:rsid w:val="00DA0CA0"/>
    <w:rsid w:val="00DA2216"/>
    <w:rsid w:val="00DA29A2"/>
    <w:rsid w:val="00DA34D1"/>
    <w:rsid w:val="00DA40C5"/>
    <w:rsid w:val="00DA467E"/>
    <w:rsid w:val="00DA4A1E"/>
    <w:rsid w:val="00DA4F7E"/>
    <w:rsid w:val="00DA5471"/>
    <w:rsid w:val="00DA5507"/>
    <w:rsid w:val="00DA57A5"/>
    <w:rsid w:val="00DA5877"/>
    <w:rsid w:val="00DA6109"/>
    <w:rsid w:val="00DA764D"/>
    <w:rsid w:val="00DB0B9D"/>
    <w:rsid w:val="00DB11E1"/>
    <w:rsid w:val="00DB1BB2"/>
    <w:rsid w:val="00DB1CD6"/>
    <w:rsid w:val="00DB1F87"/>
    <w:rsid w:val="00DB23B3"/>
    <w:rsid w:val="00DB2AA1"/>
    <w:rsid w:val="00DB3985"/>
    <w:rsid w:val="00DB3BEA"/>
    <w:rsid w:val="00DB4347"/>
    <w:rsid w:val="00DB4D0D"/>
    <w:rsid w:val="00DB4E31"/>
    <w:rsid w:val="00DB5186"/>
    <w:rsid w:val="00DB7E46"/>
    <w:rsid w:val="00DC0F76"/>
    <w:rsid w:val="00DC1370"/>
    <w:rsid w:val="00DC2531"/>
    <w:rsid w:val="00DC2576"/>
    <w:rsid w:val="00DC3882"/>
    <w:rsid w:val="00DC451E"/>
    <w:rsid w:val="00DC5DEE"/>
    <w:rsid w:val="00DC6D17"/>
    <w:rsid w:val="00DC7980"/>
    <w:rsid w:val="00DD00FA"/>
    <w:rsid w:val="00DD0136"/>
    <w:rsid w:val="00DD0B2A"/>
    <w:rsid w:val="00DD1A9B"/>
    <w:rsid w:val="00DD1FF1"/>
    <w:rsid w:val="00DD2365"/>
    <w:rsid w:val="00DD2504"/>
    <w:rsid w:val="00DD419A"/>
    <w:rsid w:val="00DD41E0"/>
    <w:rsid w:val="00DD4BDD"/>
    <w:rsid w:val="00DD4C32"/>
    <w:rsid w:val="00DD4D16"/>
    <w:rsid w:val="00DD5A7C"/>
    <w:rsid w:val="00DD6EE7"/>
    <w:rsid w:val="00DD6FBE"/>
    <w:rsid w:val="00DD72E8"/>
    <w:rsid w:val="00DD77B1"/>
    <w:rsid w:val="00DD7F88"/>
    <w:rsid w:val="00DE0ACD"/>
    <w:rsid w:val="00DE0F7A"/>
    <w:rsid w:val="00DE0FA1"/>
    <w:rsid w:val="00DE1D28"/>
    <w:rsid w:val="00DE4322"/>
    <w:rsid w:val="00DE4F3B"/>
    <w:rsid w:val="00DE55C3"/>
    <w:rsid w:val="00DE5E3B"/>
    <w:rsid w:val="00DE6B9D"/>
    <w:rsid w:val="00DE724D"/>
    <w:rsid w:val="00DE7641"/>
    <w:rsid w:val="00DE7DF2"/>
    <w:rsid w:val="00DE7F23"/>
    <w:rsid w:val="00DE7FBF"/>
    <w:rsid w:val="00DF00DF"/>
    <w:rsid w:val="00DF0BE3"/>
    <w:rsid w:val="00DF2C20"/>
    <w:rsid w:val="00DF45A5"/>
    <w:rsid w:val="00DF4A7C"/>
    <w:rsid w:val="00DF5156"/>
    <w:rsid w:val="00DF5984"/>
    <w:rsid w:val="00DF6894"/>
    <w:rsid w:val="00DF693C"/>
    <w:rsid w:val="00DF6A33"/>
    <w:rsid w:val="00DF6B97"/>
    <w:rsid w:val="00DF6E2B"/>
    <w:rsid w:val="00DF7A8E"/>
    <w:rsid w:val="00E00A3B"/>
    <w:rsid w:val="00E01357"/>
    <w:rsid w:val="00E01542"/>
    <w:rsid w:val="00E018E3"/>
    <w:rsid w:val="00E01A26"/>
    <w:rsid w:val="00E01DC8"/>
    <w:rsid w:val="00E02074"/>
    <w:rsid w:val="00E027C9"/>
    <w:rsid w:val="00E02FEB"/>
    <w:rsid w:val="00E03733"/>
    <w:rsid w:val="00E04506"/>
    <w:rsid w:val="00E06463"/>
    <w:rsid w:val="00E06AF9"/>
    <w:rsid w:val="00E078A5"/>
    <w:rsid w:val="00E07CB3"/>
    <w:rsid w:val="00E11F6F"/>
    <w:rsid w:val="00E1283C"/>
    <w:rsid w:val="00E12DDD"/>
    <w:rsid w:val="00E1440D"/>
    <w:rsid w:val="00E1480D"/>
    <w:rsid w:val="00E15432"/>
    <w:rsid w:val="00E15529"/>
    <w:rsid w:val="00E15857"/>
    <w:rsid w:val="00E16642"/>
    <w:rsid w:val="00E167F3"/>
    <w:rsid w:val="00E17A9B"/>
    <w:rsid w:val="00E211E6"/>
    <w:rsid w:val="00E21AE3"/>
    <w:rsid w:val="00E21BBF"/>
    <w:rsid w:val="00E22802"/>
    <w:rsid w:val="00E22D1F"/>
    <w:rsid w:val="00E22DAB"/>
    <w:rsid w:val="00E23F8A"/>
    <w:rsid w:val="00E24664"/>
    <w:rsid w:val="00E2549B"/>
    <w:rsid w:val="00E25E60"/>
    <w:rsid w:val="00E265E6"/>
    <w:rsid w:val="00E267C2"/>
    <w:rsid w:val="00E26CDD"/>
    <w:rsid w:val="00E27ABC"/>
    <w:rsid w:val="00E3148D"/>
    <w:rsid w:val="00E32BCC"/>
    <w:rsid w:val="00E32DC1"/>
    <w:rsid w:val="00E33011"/>
    <w:rsid w:val="00E33A16"/>
    <w:rsid w:val="00E3521C"/>
    <w:rsid w:val="00E36844"/>
    <w:rsid w:val="00E3692C"/>
    <w:rsid w:val="00E4179A"/>
    <w:rsid w:val="00E41CEC"/>
    <w:rsid w:val="00E41D5E"/>
    <w:rsid w:val="00E42265"/>
    <w:rsid w:val="00E444D0"/>
    <w:rsid w:val="00E45C83"/>
    <w:rsid w:val="00E4688F"/>
    <w:rsid w:val="00E469D1"/>
    <w:rsid w:val="00E46AE5"/>
    <w:rsid w:val="00E46BE8"/>
    <w:rsid w:val="00E47C18"/>
    <w:rsid w:val="00E47CD4"/>
    <w:rsid w:val="00E5013C"/>
    <w:rsid w:val="00E50E8E"/>
    <w:rsid w:val="00E51D05"/>
    <w:rsid w:val="00E5239D"/>
    <w:rsid w:val="00E53889"/>
    <w:rsid w:val="00E54680"/>
    <w:rsid w:val="00E550AF"/>
    <w:rsid w:val="00E55C14"/>
    <w:rsid w:val="00E564C0"/>
    <w:rsid w:val="00E574F1"/>
    <w:rsid w:val="00E57D6D"/>
    <w:rsid w:val="00E57FF5"/>
    <w:rsid w:val="00E60D58"/>
    <w:rsid w:val="00E61BC9"/>
    <w:rsid w:val="00E61F2C"/>
    <w:rsid w:val="00E6207E"/>
    <w:rsid w:val="00E6280E"/>
    <w:rsid w:val="00E62854"/>
    <w:rsid w:val="00E63F5D"/>
    <w:rsid w:val="00E64832"/>
    <w:rsid w:val="00E64F4B"/>
    <w:rsid w:val="00E65123"/>
    <w:rsid w:val="00E654DC"/>
    <w:rsid w:val="00E65E57"/>
    <w:rsid w:val="00E660D6"/>
    <w:rsid w:val="00E66938"/>
    <w:rsid w:val="00E66A36"/>
    <w:rsid w:val="00E679EF"/>
    <w:rsid w:val="00E70593"/>
    <w:rsid w:val="00E71AD6"/>
    <w:rsid w:val="00E720F0"/>
    <w:rsid w:val="00E72A52"/>
    <w:rsid w:val="00E737EF"/>
    <w:rsid w:val="00E7385C"/>
    <w:rsid w:val="00E73D94"/>
    <w:rsid w:val="00E73E1D"/>
    <w:rsid w:val="00E74310"/>
    <w:rsid w:val="00E750EF"/>
    <w:rsid w:val="00E77641"/>
    <w:rsid w:val="00E77B72"/>
    <w:rsid w:val="00E77BFF"/>
    <w:rsid w:val="00E80492"/>
    <w:rsid w:val="00E80623"/>
    <w:rsid w:val="00E807A9"/>
    <w:rsid w:val="00E80B7D"/>
    <w:rsid w:val="00E81CBB"/>
    <w:rsid w:val="00E81E73"/>
    <w:rsid w:val="00E82E1D"/>
    <w:rsid w:val="00E83A8E"/>
    <w:rsid w:val="00E83C15"/>
    <w:rsid w:val="00E84157"/>
    <w:rsid w:val="00E84439"/>
    <w:rsid w:val="00E84652"/>
    <w:rsid w:val="00E848CA"/>
    <w:rsid w:val="00E8534E"/>
    <w:rsid w:val="00E857CB"/>
    <w:rsid w:val="00E85B6A"/>
    <w:rsid w:val="00E85FD8"/>
    <w:rsid w:val="00E868A0"/>
    <w:rsid w:val="00E86ABB"/>
    <w:rsid w:val="00E86ACD"/>
    <w:rsid w:val="00E87128"/>
    <w:rsid w:val="00E87CAB"/>
    <w:rsid w:val="00E91058"/>
    <w:rsid w:val="00E914BF"/>
    <w:rsid w:val="00E91554"/>
    <w:rsid w:val="00E91E4D"/>
    <w:rsid w:val="00E92181"/>
    <w:rsid w:val="00E92940"/>
    <w:rsid w:val="00E92F6F"/>
    <w:rsid w:val="00E9318C"/>
    <w:rsid w:val="00E93519"/>
    <w:rsid w:val="00E94624"/>
    <w:rsid w:val="00E94D80"/>
    <w:rsid w:val="00E9554F"/>
    <w:rsid w:val="00EA0EDD"/>
    <w:rsid w:val="00EA139D"/>
    <w:rsid w:val="00EA1554"/>
    <w:rsid w:val="00EA21C5"/>
    <w:rsid w:val="00EA22BC"/>
    <w:rsid w:val="00EA2BBB"/>
    <w:rsid w:val="00EA39B8"/>
    <w:rsid w:val="00EA40BF"/>
    <w:rsid w:val="00EA58EF"/>
    <w:rsid w:val="00EA5E37"/>
    <w:rsid w:val="00EA68E2"/>
    <w:rsid w:val="00EA75B4"/>
    <w:rsid w:val="00EA7776"/>
    <w:rsid w:val="00EB05ED"/>
    <w:rsid w:val="00EB0D95"/>
    <w:rsid w:val="00EB131A"/>
    <w:rsid w:val="00EB1380"/>
    <w:rsid w:val="00EB1FD2"/>
    <w:rsid w:val="00EB300C"/>
    <w:rsid w:val="00EB30D5"/>
    <w:rsid w:val="00EB34B5"/>
    <w:rsid w:val="00EB5358"/>
    <w:rsid w:val="00EB639A"/>
    <w:rsid w:val="00EB6FD8"/>
    <w:rsid w:val="00EB72DC"/>
    <w:rsid w:val="00EB7309"/>
    <w:rsid w:val="00EB78BA"/>
    <w:rsid w:val="00EC0157"/>
    <w:rsid w:val="00EC0DCF"/>
    <w:rsid w:val="00EC0F85"/>
    <w:rsid w:val="00EC184D"/>
    <w:rsid w:val="00EC1FB3"/>
    <w:rsid w:val="00EC3630"/>
    <w:rsid w:val="00EC38D6"/>
    <w:rsid w:val="00EC3DDD"/>
    <w:rsid w:val="00EC4F96"/>
    <w:rsid w:val="00EC5781"/>
    <w:rsid w:val="00EC5B1E"/>
    <w:rsid w:val="00EC5EE8"/>
    <w:rsid w:val="00EC731E"/>
    <w:rsid w:val="00ED0425"/>
    <w:rsid w:val="00ED0621"/>
    <w:rsid w:val="00ED0BA3"/>
    <w:rsid w:val="00ED1746"/>
    <w:rsid w:val="00ED2488"/>
    <w:rsid w:val="00ED3235"/>
    <w:rsid w:val="00ED34D1"/>
    <w:rsid w:val="00ED4673"/>
    <w:rsid w:val="00ED687B"/>
    <w:rsid w:val="00ED7463"/>
    <w:rsid w:val="00ED7E23"/>
    <w:rsid w:val="00EE1064"/>
    <w:rsid w:val="00EE1B45"/>
    <w:rsid w:val="00EE1BB4"/>
    <w:rsid w:val="00EE2290"/>
    <w:rsid w:val="00EE2A18"/>
    <w:rsid w:val="00EE4327"/>
    <w:rsid w:val="00EE6349"/>
    <w:rsid w:val="00EE696F"/>
    <w:rsid w:val="00EE69AB"/>
    <w:rsid w:val="00EE7373"/>
    <w:rsid w:val="00EE776D"/>
    <w:rsid w:val="00EE7C9E"/>
    <w:rsid w:val="00EF0491"/>
    <w:rsid w:val="00EF1985"/>
    <w:rsid w:val="00EF1DB7"/>
    <w:rsid w:val="00EF24F8"/>
    <w:rsid w:val="00EF30C2"/>
    <w:rsid w:val="00EF3DC0"/>
    <w:rsid w:val="00EF3EF3"/>
    <w:rsid w:val="00EF4A37"/>
    <w:rsid w:val="00EF4D8E"/>
    <w:rsid w:val="00EF5069"/>
    <w:rsid w:val="00EF5286"/>
    <w:rsid w:val="00EF5959"/>
    <w:rsid w:val="00EF5BAD"/>
    <w:rsid w:val="00EF692F"/>
    <w:rsid w:val="00EF73C8"/>
    <w:rsid w:val="00EF78E0"/>
    <w:rsid w:val="00EF7E31"/>
    <w:rsid w:val="00F0064E"/>
    <w:rsid w:val="00F007CD"/>
    <w:rsid w:val="00F0089E"/>
    <w:rsid w:val="00F008A0"/>
    <w:rsid w:val="00F00D1E"/>
    <w:rsid w:val="00F01106"/>
    <w:rsid w:val="00F01136"/>
    <w:rsid w:val="00F0122A"/>
    <w:rsid w:val="00F015E4"/>
    <w:rsid w:val="00F0192F"/>
    <w:rsid w:val="00F01A73"/>
    <w:rsid w:val="00F01D81"/>
    <w:rsid w:val="00F0214E"/>
    <w:rsid w:val="00F02A7B"/>
    <w:rsid w:val="00F0330B"/>
    <w:rsid w:val="00F03B68"/>
    <w:rsid w:val="00F03BFB"/>
    <w:rsid w:val="00F03CAC"/>
    <w:rsid w:val="00F04A6A"/>
    <w:rsid w:val="00F04F23"/>
    <w:rsid w:val="00F05263"/>
    <w:rsid w:val="00F0580E"/>
    <w:rsid w:val="00F05A3C"/>
    <w:rsid w:val="00F06557"/>
    <w:rsid w:val="00F06EAF"/>
    <w:rsid w:val="00F0711D"/>
    <w:rsid w:val="00F075AE"/>
    <w:rsid w:val="00F10481"/>
    <w:rsid w:val="00F10BC9"/>
    <w:rsid w:val="00F1114A"/>
    <w:rsid w:val="00F12015"/>
    <w:rsid w:val="00F12BAE"/>
    <w:rsid w:val="00F14527"/>
    <w:rsid w:val="00F14752"/>
    <w:rsid w:val="00F147C0"/>
    <w:rsid w:val="00F148F9"/>
    <w:rsid w:val="00F14BD0"/>
    <w:rsid w:val="00F15513"/>
    <w:rsid w:val="00F16742"/>
    <w:rsid w:val="00F17AF2"/>
    <w:rsid w:val="00F17FD0"/>
    <w:rsid w:val="00F214FD"/>
    <w:rsid w:val="00F21ACC"/>
    <w:rsid w:val="00F21F78"/>
    <w:rsid w:val="00F223DA"/>
    <w:rsid w:val="00F225EF"/>
    <w:rsid w:val="00F2275A"/>
    <w:rsid w:val="00F2308E"/>
    <w:rsid w:val="00F24067"/>
    <w:rsid w:val="00F24B1D"/>
    <w:rsid w:val="00F25DD8"/>
    <w:rsid w:val="00F26211"/>
    <w:rsid w:val="00F26564"/>
    <w:rsid w:val="00F26B02"/>
    <w:rsid w:val="00F26EA9"/>
    <w:rsid w:val="00F27B8B"/>
    <w:rsid w:val="00F31C46"/>
    <w:rsid w:val="00F31F0E"/>
    <w:rsid w:val="00F31F59"/>
    <w:rsid w:val="00F334BA"/>
    <w:rsid w:val="00F340A7"/>
    <w:rsid w:val="00F34871"/>
    <w:rsid w:val="00F36243"/>
    <w:rsid w:val="00F364E1"/>
    <w:rsid w:val="00F37E2A"/>
    <w:rsid w:val="00F401BF"/>
    <w:rsid w:val="00F401D9"/>
    <w:rsid w:val="00F40B09"/>
    <w:rsid w:val="00F42447"/>
    <w:rsid w:val="00F42691"/>
    <w:rsid w:val="00F43F9C"/>
    <w:rsid w:val="00F442FE"/>
    <w:rsid w:val="00F44301"/>
    <w:rsid w:val="00F454CC"/>
    <w:rsid w:val="00F45E1E"/>
    <w:rsid w:val="00F4694E"/>
    <w:rsid w:val="00F4747D"/>
    <w:rsid w:val="00F477BE"/>
    <w:rsid w:val="00F47876"/>
    <w:rsid w:val="00F47BD4"/>
    <w:rsid w:val="00F50A42"/>
    <w:rsid w:val="00F50F23"/>
    <w:rsid w:val="00F51277"/>
    <w:rsid w:val="00F51444"/>
    <w:rsid w:val="00F51748"/>
    <w:rsid w:val="00F526AA"/>
    <w:rsid w:val="00F52ABE"/>
    <w:rsid w:val="00F5402B"/>
    <w:rsid w:val="00F544E6"/>
    <w:rsid w:val="00F5481B"/>
    <w:rsid w:val="00F55761"/>
    <w:rsid w:val="00F55D1C"/>
    <w:rsid w:val="00F560D9"/>
    <w:rsid w:val="00F56221"/>
    <w:rsid w:val="00F569F1"/>
    <w:rsid w:val="00F57DBD"/>
    <w:rsid w:val="00F627C3"/>
    <w:rsid w:val="00F6305A"/>
    <w:rsid w:val="00F636DD"/>
    <w:rsid w:val="00F637C0"/>
    <w:rsid w:val="00F63F27"/>
    <w:rsid w:val="00F654DB"/>
    <w:rsid w:val="00F655CE"/>
    <w:rsid w:val="00F65656"/>
    <w:rsid w:val="00F65817"/>
    <w:rsid w:val="00F65880"/>
    <w:rsid w:val="00F66C5C"/>
    <w:rsid w:val="00F675E8"/>
    <w:rsid w:val="00F67CB4"/>
    <w:rsid w:val="00F70FA2"/>
    <w:rsid w:val="00F72E8A"/>
    <w:rsid w:val="00F72EA2"/>
    <w:rsid w:val="00F73DCA"/>
    <w:rsid w:val="00F76A9A"/>
    <w:rsid w:val="00F8127D"/>
    <w:rsid w:val="00F81AFF"/>
    <w:rsid w:val="00F82C48"/>
    <w:rsid w:val="00F84173"/>
    <w:rsid w:val="00F84753"/>
    <w:rsid w:val="00F8593A"/>
    <w:rsid w:val="00F85CDA"/>
    <w:rsid w:val="00F87519"/>
    <w:rsid w:val="00F87561"/>
    <w:rsid w:val="00F87F81"/>
    <w:rsid w:val="00F91EC0"/>
    <w:rsid w:val="00F93EED"/>
    <w:rsid w:val="00F952C2"/>
    <w:rsid w:val="00F95ABA"/>
    <w:rsid w:val="00F95DFD"/>
    <w:rsid w:val="00F96196"/>
    <w:rsid w:val="00F9646D"/>
    <w:rsid w:val="00F965F7"/>
    <w:rsid w:val="00F96CC9"/>
    <w:rsid w:val="00FA127B"/>
    <w:rsid w:val="00FA2739"/>
    <w:rsid w:val="00FA2C43"/>
    <w:rsid w:val="00FA3351"/>
    <w:rsid w:val="00FA3F6D"/>
    <w:rsid w:val="00FA6268"/>
    <w:rsid w:val="00FA6C2D"/>
    <w:rsid w:val="00FA77D5"/>
    <w:rsid w:val="00FB022A"/>
    <w:rsid w:val="00FB09AC"/>
    <w:rsid w:val="00FB11BF"/>
    <w:rsid w:val="00FB1354"/>
    <w:rsid w:val="00FB1E79"/>
    <w:rsid w:val="00FB2A6B"/>
    <w:rsid w:val="00FB3293"/>
    <w:rsid w:val="00FB3526"/>
    <w:rsid w:val="00FB5076"/>
    <w:rsid w:val="00FB553A"/>
    <w:rsid w:val="00FB5A62"/>
    <w:rsid w:val="00FB6161"/>
    <w:rsid w:val="00FB68E4"/>
    <w:rsid w:val="00FB6A67"/>
    <w:rsid w:val="00FB6C69"/>
    <w:rsid w:val="00FB6CE3"/>
    <w:rsid w:val="00FB6D9E"/>
    <w:rsid w:val="00FB6FFE"/>
    <w:rsid w:val="00FB77CC"/>
    <w:rsid w:val="00FC014A"/>
    <w:rsid w:val="00FC050C"/>
    <w:rsid w:val="00FC0C9E"/>
    <w:rsid w:val="00FC0E30"/>
    <w:rsid w:val="00FC0E43"/>
    <w:rsid w:val="00FC167A"/>
    <w:rsid w:val="00FC17AF"/>
    <w:rsid w:val="00FC2B09"/>
    <w:rsid w:val="00FC38FF"/>
    <w:rsid w:val="00FC58E7"/>
    <w:rsid w:val="00FC59FE"/>
    <w:rsid w:val="00FC683B"/>
    <w:rsid w:val="00FC7314"/>
    <w:rsid w:val="00FD0BF6"/>
    <w:rsid w:val="00FD1291"/>
    <w:rsid w:val="00FD1645"/>
    <w:rsid w:val="00FD2F44"/>
    <w:rsid w:val="00FD32F1"/>
    <w:rsid w:val="00FD3925"/>
    <w:rsid w:val="00FD51E3"/>
    <w:rsid w:val="00FD58D8"/>
    <w:rsid w:val="00FD5EFF"/>
    <w:rsid w:val="00FD651C"/>
    <w:rsid w:val="00FD6732"/>
    <w:rsid w:val="00FD76E9"/>
    <w:rsid w:val="00FD7C53"/>
    <w:rsid w:val="00FE16D3"/>
    <w:rsid w:val="00FE230E"/>
    <w:rsid w:val="00FE2653"/>
    <w:rsid w:val="00FE2CE2"/>
    <w:rsid w:val="00FE3970"/>
    <w:rsid w:val="00FE3D0B"/>
    <w:rsid w:val="00FE44E8"/>
    <w:rsid w:val="00FE6BBA"/>
    <w:rsid w:val="00FE6E97"/>
    <w:rsid w:val="00FE7152"/>
    <w:rsid w:val="00FE7687"/>
    <w:rsid w:val="00FE7924"/>
    <w:rsid w:val="00FE7FAA"/>
    <w:rsid w:val="00FF0A97"/>
    <w:rsid w:val="00FF1089"/>
    <w:rsid w:val="00FF1A91"/>
    <w:rsid w:val="00FF1D27"/>
    <w:rsid w:val="00FF1E91"/>
    <w:rsid w:val="00FF229E"/>
    <w:rsid w:val="00FF22B9"/>
    <w:rsid w:val="00FF289F"/>
    <w:rsid w:val="00FF3205"/>
    <w:rsid w:val="00FF33ED"/>
    <w:rsid w:val="00FF38C2"/>
    <w:rsid w:val="00FF3D61"/>
    <w:rsid w:val="00FF4960"/>
    <w:rsid w:val="00FF52C7"/>
    <w:rsid w:val="00FF58EC"/>
    <w:rsid w:val="00FF59FF"/>
    <w:rsid w:val="00FF5AF6"/>
    <w:rsid w:val="00FF6A64"/>
    <w:rsid w:val="017003AA"/>
    <w:rsid w:val="025D3EB7"/>
    <w:rsid w:val="02C373C2"/>
    <w:rsid w:val="02DC0E2A"/>
    <w:rsid w:val="02F6161A"/>
    <w:rsid w:val="051F5F1B"/>
    <w:rsid w:val="068809E0"/>
    <w:rsid w:val="06A51E9A"/>
    <w:rsid w:val="06AC53C9"/>
    <w:rsid w:val="06AE7370"/>
    <w:rsid w:val="06D269AA"/>
    <w:rsid w:val="07E033C8"/>
    <w:rsid w:val="081B0A19"/>
    <w:rsid w:val="084B0A24"/>
    <w:rsid w:val="0952640F"/>
    <w:rsid w:val="09FB44DC"/>
    <w:rsid w:val="0A5A5B54"/>
    <w:rsid w:val="0ACD1E5E"/>
    <w:rsid w:val="0AE26F61"/>
    <w:rsid w:val="0BA146CB"/>
    <w:rsid w:val="0BB44026"/>
    <w:rsid w:val="0C317A9E"/>
    <w:rsid w:val="0C4F0368"/>
    <w:rsid w:val="0C5C6186"/>
    <w:rsid w:val="0CCB17E8"/>
    <w:rsid w:val="0CF749B9"/>
    <w:rsid w:val="0D962247"/>
    <w:rsid w:val="10E15346"/>
    <w:rsid w:val="11875F0E"/>
    <w:rsid w:val="11BA5FAA"/>
    <w:rsid w:val="132E090D"/>
    <w:rsid w:val="13EB2F91"/>
    <w:rsid w:val="1457734D"/>
    <w:rsid w:val="1502193F"/>
    <w:rsid w:val="154E1567"/>
    <w:rsid w:val="15D43959"/>
    <w:rsid w:val="16ED0A42"/>
    <w:rsid w:val="175B2DE6"/>
    <w:rsid w:val="17CB0777"/>
    <w:rsid w:val="19E262C2"/>
    <w:rsid w:val="1CF556CD"/>
    <w:rsid w:val="1E2D325C"/>
    <w:rsid w:val="20AF31D2"/>
    <w:rsid w:val="28837443"/>
    <w:rsid w:val="2A4C72CE"/>
    <w:rsid w:val="2E714E44"/>
    <w:rsid w:val="2F7416E8"/>
    <w:rsid w:val="2FFB4799"/>
    <w:rsid w:val="3031585A"/>
    <w:rsid w:val="30CD79BC"/>
    <w:rsid w:val="31484BD4"/>
    <w:rsid w:val="342A4DF2"/>
    <w:rsid w:val="35E461ED"/>
    <w:rsid w:val="39F30992"/>
    <w:rsid w:val="3A6266CA"/>
    <w:rsid w:val="3B7D774E"/>
    <w:rsid w:val="3E1F205F"/>
    <w:rsid w:val="3EB55677"/>
    <w:rsid w:val="3EE95057"/>
    <w:rsid w:val="413209BA"/>
    <w:rsid w:val="413A083D"/>
    <w:rsid w:val="426D199E"/>
    <w:rsid w:val="43C022F7"/>
    <w:rsid w:val="4405184D"/>
    <w:rsid w:val="456A3A50"/>
    <w:rsid w:val="457D28AE"/>
    <w:rsid w:val="45BF106D"/>
    <w:rsid w:val="494C4697"/>
    <w:rsid w:val="4AC72635"/>
    <w:rsid w:val="4CCC2A38"/>
    <w:rsid w:val="4D3F381B"/>
    <w:rsid w:val="4D8E347A"/>
    <w:rsid w:val="4DD176E7"/>
    <w:rsid w:val="4E2C5FE7"/>
    <w:rsid w:val="4FA228B5"/>
    <w:rsid w:val="53C37E22"/>
    <w:rsid w:val="54F57B5C"/>
    <w:rsid w:val="56826E82"/>
    <w:rsid w:val="56C71C7D"/>
    <w:rsid w:val="582176B5"/>
    <w:rsid w:val="589C4247"/>
    <w:rsid w:val="5D99189B"/>
    <w:rsid w:val="5E7446BB"/>
    <w:rsid w:val="5EBD41E5"/>
    <w:rsid w:val="5F090038"/>
    <w:rsid w:val="61A348BF"/>
    <w:rsid w:val="648142A2"/>
    <w:rsid w:val="650E3017"/>
    <w:rsid w:val="66735A7A"/>
    <w:rsid w:val="66D4707F"/>
    <w:rsid w:val="66DC466F"/>
    <w:rsid w:val="674757BF"/>
    <w:rsid w:val="6784625D"/>
    <w:rsid w:val="67C011C2"/>
    <w:rsid w:val="6BE924C8"/>
    <w:rsid w:val="6D6300F8"/>
    <w:rsid w:val="6DAB710F"/>
    <w:rsid w:val="6E207A77"/>
    <w:rsid w:val="704A14DD"/>
    <w:rsid w:val="70D7212B"/>
    <w:rsid w:val="71073A62"/>
    <w:rsid w:val="72DD3705"/>
    <w:rsid w:val="72E32AA5"/>
    <w:rsid w:val="73BF34B4"/>
    <w:rsid w:val="76997C7A"/>
    <w:rsid w:val="77DE701B"/>
    <w:rsid w:val="789D7B0C"/>
    <w:rsid w:val="78F253B4"/>
    <w:rsid w:val="798077BB"/>
    <w:rsid w:val="7CB23B41"/>
    <w:rsid w:val="7CC9547F"/>
    <w:rsid w:val="7D8565AA"/>
    <w:rsid w:val="7FFDC0CE"/>
    <w:rsid w:val="FEFBE4EA"/>
  </w:rsids>
  <m:mathPr>
    <m:mathFont m:val="Cambria Math"/>
    <m:brkBin m:val="before"/>
    <m:brkBinSub m:val="--"/>
    <m:smallFrac m:val="0"/>
    <m:dispDef/>
    <m:lMargin m:val="0"/>
    <m:rMargin m:val="0"/>
    <m:defJc m:val="centerGroup"/>
    <m:wrapIndent m:val="1440"/>
    <m:intLim m:val="subSup"/>
    <m:naryLim m:val="undOvr"/>
  </m:mathPr>
  <w:uiCompat97To2003/>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99" w:semiHidden="0" w:name="heading 1"/>
    <w:lsdException w:qFormat="1" w:unhideWhenUsed="0" w:uiPriority="99" w:semiHidden="0" w:name="heading 2"/>
    <w:lsdException w:qFormat="1" w:unhideWhenUsed="0" w:uiPriority="99" w:semiHidden="0" w:name="heading 3"/>
    <w:lsdException w:qFormat="1" w:unhideWhenUsed="0" w:uiPriority="99" w:semiHidden="0" w:name="heading 4"/>
    <w:lsdException w:qFormat="1" w:unhideWhenUsed="0" w:uiPriority="99" w:semiHidden="0" w:name="heading 5"/>
    <w:lsdException w:qFormat="1" w:unhideWhenUsed="0" w:uiPriority="9" w:semiHidden="0" w:name="heading 6"/>
    <w:lsdException w:qFormat="1" w:unhideWhenUsed="0" w:uiPriority="9" w:semiHidden="0" w:name="heading 7"/>
    <w:lsdException w:qFormat="1" w:unhideWhenUsed="0" w:uiPriority="9" w:semiHidden="0" w:name="heading 8"/>
    <w:lsdException w:qFormat="1" w:unhideWhenUsed="0" w:uiPriority="9" w:semiHidden="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39" w:semiHidden="0" w:name="toc 1"/>
    <w:lsdException w:unhideWhenUsed="0" w:uiPriority="0" w:semiHidden="0" w:name="toc 2"/>
    <w:lsdException w:unhideWhenUsed="0" w:uiPriority="39"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qFormat="1" w:unhideWhenUsed="0" w:uiPriority="99"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qFormat="1" w:unhideWhenUsed="0" w:uiPriority="99"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iPriority="1" w:name="Default Paragraph Font"/>
    <w:lsdException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qFormat="1" w:unhideWhenUsed="0" w:uiPriority="0" w:semiHidden="0" w:name="Date"/>
    <w:lsdException w:qFormat="1" w:unhideWhenUsed="0" w:uiPriority="0" w:semiHidden="0" w:name="Body Text First Indent"/>
    <w:lsdException w:qFormat="1" w:uiPriority="99"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99" w:semiHidden="0" w:name="Hyperlink"/>
    <w:lsdException w:unhideWhenUsed="0" w:uiPriority="0" w:semiHidden="0" w:name="FollowedHyperlink"/>
    <w:lsdException w:qFormat="1" w:unhideWhenUsed="0" w:uiPriority="22" w:semiHidden="0" w:name="Strong"/>
    <w:lsdException w:qFormat="1" w:unhideWhenUsed="0" w:uiPriority="0" w:semiHidden="0" w:name="Emphasis"/>
    <w:lsdException w:unhideWhenUsed="0" w:uiPriority="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qFormat="1"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unhideWhenUsed="0" w:uiPriority="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unhideWhenUsed="0" w:uiPriority="0" w:name="Balloon Text"/>
    <w:lsdException w:qFormat="1" w:unhideWhenUsed="0" w:uiPriority="39"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4">
    <w:name w:val="heading 1"/>
    <w:basedOn w:val="1"/>
    <w:next w:val="1"/>
    <w:qFormat/>
    <w:uiPriority w:val="99"/>
    <w:pPr>
      <w:keepNext/>
      <w:keepLines/>
      <w:numPr>
        <w:ilvl w:val="0"/>
        <w:numId w:val="1"/>
      </w:numPr>
      <w:autoSpaceDE w:val="0"/>
      <w:autoSpaceDN w:val="0"/>
      <w:adjustRightInd w:val="0"/>
      <w:spacing w:before="340" w:after="330" w:line="360" w:lineRule="auto"/>
      <w:jc w:val="left"/>
      <w:textAlignment w:val="baseline"/>
      <w:outlineLvl w:val="0"/>
    </w:pPr>
    <w:rPr>
      <w:rFonts w:ascii="宋体" w:hAnsi="Arial" w:eastAsia="黑体"/>
      <w:b/>
      <w:color w:val="000000"/>
      <w:kern w:val="44"/>
      <w:sz w:val="36"/>
      <w:szCs w:val="20"/>
    </w:rPr>
  </w:style>
  <w:style w:type="paragraph" w:styleId="5">
    <w:name w:val="heading 2"/>
    <w:basedOn w:val="1"/>
    <w:next w:val="1"/>
    <w:qFormat/>
    <w:uiPriority w:val="99"/>
    <w:pPr>
      <w:keepNext/>
      <w:keepLines/>
      <w:numPr>
        <w:ilvl w:val="1"/>
        <w:numId w:val="1"/>
      </w:numPr>
      <w:spacing w:before="260" w:after="260" w:line="416" w:lineRule="auto"/>
      <w:outlineLvl w:val="1"/>
    </w:pPr>
    <w:rPr>
      <w:rFonts w:ascii="Arial" w:hAnsi="Arial" w:eastAsia="黑体"/>
      <w:b/>
      <w:bCs/>
      <w:sz w:val="32"/>
      <w:szCs w:val="32"/>
    </w:rPr>
  </w:style>
  <w:style w:type="paragraph" w:styleId="6">
    <w:name w:val="heading 3"/>
    <w:basedOn w:val="1"/>
    <w:next w:val="7"/>
    <w:qFormat/>
    <w:uiPriority w:val="99"/>
    <w:pPr>
      <w:numPr>
        <w:ilvl w:val="2"/>
        <w:numId w:val="1"/>
      </w:numPr>
      <w:autoSpaceDE w:val="0"/>
      <w:autoSpaceDN w:val="0"/>
      <w:adjustRightInd w:val="0"/>
      <w:spacing w:line="300" w:lineRule="auto"/>
      <w:textAlignment w:val="baseline"/>
      <w:outlineLvl w:val="2"/>
    </w:pPr>
    <w:rPr>
      <w:rFonts w:ascii="黑体" w:eastAsia="黑体"/>
      <w:b/>
      <w:color w:val="000000"/>
      <w:kern w:val="0"/>
      <w:sz w:val="28"/>
      <w:szCs w:val="20"/>
    </w:rPr>
  </w:style>
  <w:style w:type="paragraph" w:styleId="8">
    <w:name w:val="heading 4"/>
    <w:basedOn w:val="1"/>
    <w:next w:val="1"/>
    <w:qFormat/>
    <w:uiPriority w:val="99"/>
    <w:pPr>
      <w:keepNext/>
      <w:keepLines/>
      <w:tabs>
        <w:tab w:val="left" w:pos="1440"/>
      </w:tabs>
      <w:ind w:left="851" w:hanging="851"/>
      <w:outlineLvl w:val="3"/>
    </w:pPr>
    <w:rPr>
      <w:rFonts w:eastAsia="楷体"/>
      <w:b/>
      <w:sz w:val="28"/>
      <w:szCs w:val="20"/>
    </w:rPr>
  </w:style>
  <w:style w:type="paragraph" w:styleId="9">
    <w:name w:val="heading 5"/>
    <w:basedOn w:val="1"/>
    <w:next w:val="1"/>
    <w:qFormat/>
    <w:uiPriority w:val="99"/>
    <w:pPr>
      <w:keepNext/>
      <w:keepLines/>
      <w:tabs>
        <w:tab w:val="left" w:pos="1800"/>
      </w:tabs>
      <w:ind w:left="992" w:hanging="992"/>
      <w:outlineLvl w:val="4"/>
    </w:pPr>
    <w:rPr>
      <w:rFonts w:eastAsia="楷体"/>
      <w:b/>
      <w:sz w:val="28"/>
      <w:szCs w:val="20"/>
    </w:rPr>
  </w:style>
  <w:style w:type="paragraph" w:styleId="10">
    <w:name w:val="heading 6"/>
    <w:basedOn w:val="1"/>
    <w:next w:val="1"/>
    <w:link w:val="36"/>
    <w:qFormat/>
    <w:uiPriority w:val="9"/>
    <w:pPr>
      <w:keepNext/>
      <w:keepLines/>
      <w:spacing w:before="240" w:after="64" w:line="320" w:lineRule="auto"/>
      <w:ind w:left="1152" w:hanging="1152"/>
      <w:outlineLvl w:val="5"/>
    </w:pPr>
    <w:rPr>
      <w:rFonts w:ascii="Cambria" w:hAnsi="Cambria"/>
      <w:b/>
      <w:bCs/>
      <w:sz w:val="24"/>
    </w:rPr>
  </w:style>
  <w:style w:type="paragraph" w:styleId="11">
    <w:name w:val="heading 7"/>
    <w:basedOn w:val="1"/>
    <w:next w:val="1"/>
    <w:link w:val="41"/>
    <w:qFormat/>
    <w:uiPriority w:val="9"/>
    <w:pPr>
      <w:keepNext/>
      <w:keepLines/>
      <w:spacing w:before="240" w:after="64" w:line="320" w:lineRule="auto"/>
      <w:ind w:left="1296" w:hanging="1296"/>
      <w:outlineLvl w:val="6"/>
    </w:pPr>
    <w:rPr>
      <w:rFonts w:ascii="Calibri" w:hAnsi="Calibri"/>
      <w:b/>
      <w:bCs/>
      <w:sz w:val="24"/>
    </w:rPr>
  </w:style>
  <w:style w:type="paragraph" w:styleId="12">
    <w:name w:val="heading 8"/>
    <w:basedOn w:val="1"/>
    <w:next w:val="1"/>
    <w:link w:val="47"/>
    <w:qFormat/>
    <w:uiPriority w:val="9"/>
    <w:pPr>
      <w:keepNext/>
      <w:keepLines/>
      <w:spacing w:before="240" w:after="64" w:line="320" w:lineRule="auto"/>
      <w:ind w:left="1440" w:hanging="1440"/>
      <w:outlineLvl w:val="7"/>
    </w:pPr>
    <w:rPr>
      <w:rFonts w:ascii="Cambria" w:hAnsi="Cambria"/>
      <w:sz w:val="24"/>
    </w:rPr>
  </w:style>
  <w:style w:type="paragraph" w:styleId="13">
    <w:name w:val="heading 9"/>
    <w:basedOn w:val="1"/>
    <w:next w:val="1"/>
    <w:link w:val="35"/>
    <w:qFormat/>
    <w:uiPriority w:val="9"/>
    <w:pPr>
      <w:keepNext/>
      <w:keepLines/>
      <w:spacing w:before="240" w:after="64" w:line="320" w:lineRule="auto"/>
      <w:ind w:left="1584" w:hanging="1584"/>
      <w:outlineLvl w:val="8"/>
    </w:pPr>
    <w:rPr>
      <w:rFonts w:ascii="Cambria" w:hAnsi="Cambria"/>
      <w:szCs w:val="21"/>
    </w:rPr>
  </w:style>
  <w:style w:type="character" w:default="1" w:styleId="28">
    <w:name w:val="Default Paragraph Font"/>
    <w:semiHidden/>
    <w:unhideWhenUsed/>
    <w:uiPriority w:val="1"/>
  </w:style>
  <w:style w:type="table" w:default="1" w:styleId="26">
    <w:name w:val="Normal Table"/>
    <w:semiHidden/>
    <w:unhideWhenUsed/>
    <w:qFormat/>
    <w:uiPriority w:val="99"/>
    <w:tblPr>
      <w:tblCellMar>
        <w:top w:w="0" w:type="dxa"/>
        <w:left w:w="108" w:type="dxa"/>
        <w:bottom w:w="0" w:type="dxa"/>
        <w:right w:w="108" w:type="dxa"/>
      </w:tblCellMar>
    </w:tblPr>
  </w:style>
  <w:style w:type="paragraph" w:customStyle="1" w:styleId="2">
    <w:name w:val="正文首行缩进 21"/>
    <w:basedOn w:val="3"/>
    <w:unhideWhenUsed/>
    <w:qFormat/>
    <w:uiPriority w:val="99"/>
    <w:pPr>
      <w:ind w:firstLine="420"/>
    </w:pPr>
  </w:style>
  <w:style w:type="paragraph" w:styleId="3">
    <w:name w:val="Body Text Indent"/>
    <w:basedOn w:val="1"/>
    <w:link w:val="75"/>
    <w:qFormat/>
    <w:uiPriority w:val="0"/>
    <w:pPr>
      <w:ind w:firstLine="480" w:firstLineChars="200"/>
    </w:pPr>
    <w:rPr>
      <w:sz w:val="24"/>
    </w:rPr>
  </w:style>
  <w:style w:type="paragraph" w:styleId="7">
    <w:name w:val="Normal Indent"/>
    <w:basedOn w:val="1"/>
    <w:link w:val="37"/>
    <w:qFormat/>
    <w:uiPriority w:val="0"/>
    <w:pPr>
      <w:ind w:firstLine="420" w:firstLineChars="200"/>
    </w:pPr>
  </w:style>
  <w:style w:type="paragraph" w:styleId="14">
    <w:name w:val="Document Map"/>
    <w:basedOn w:val="1"/>
    <w:semiHidden/>
    <w:uiPriority w:val="0"/>
    <w:pPr>
      <w:shd w:val="clear" w:color="auto" w:fill="000080"/>
    </w:pPr>
  </w:style>
  <w:style w:type="paragraph" w:styleId="15">
    <w:name w:val="annotation text"/>
    <w:basedOn w:val="1"/>
    <w:link w:val="38"/>
    <w:qFormat/>
    <w:uiPriority w:val="99"/>
    <w:pPr>
      <w:jc w:val="left"/>
    </w:pPr>
  </w:style>
  <w:style w:type="paragraph" w:styleId="16">
    <w:name w:val="Body Text"/>
    <w:basedOn w:val="1"/>
    <w:link w:val="39"/>
    <w:uiPriority w:val="0"/>
    <w:pPr>
      <w:spacing w:after="120"/>
    </w:pPr>
  </w:style>
  <w:style w:type="paragraph" w:styleId="17">
    <w:name w:val="Plain Text"/>
    <w:basedOn w:val="1"/>
    <w:link w:val="52"/>
    <w:uiPriority w:val="0"/>
    <w:rPr>
      <w:rFonts w:ascii="宋体" w:hAnsi="Courier New"/>
      <w:szCs w:val="20"/>
    </w:rPr>
  </w:style>
  <w:style w:type="paragraph" w:styleId="18">
    <w:name w:val="Date"/>
    <w:basedOn w:val="1"/>
    <w:next w:val="1"/>
    <w:link w:val="42"/>
    <w:qFormat/>
    <w:uiPriority w:val="0"/>
    <w:pPr>
      <w:ind w:left="100"/>
    </w:pPr>
    <w:rPr>
      <w:sz w:val="28"/>
      <w:szCs w:val="20"/>
    </w:rPr>
  </w:style>
  <w:style w:type="paragraph" w:styleId="19">
    <w:name w:val="Balloon Text"/>
    <w:basedOn w:val="1"/>
    <w:link w:val="48"/>
    <w:semiHidden/>
    <w:uiPriority w:val="0"/>
    <w:rPr>
      <w:sz w:val="18"/>
      <w:szCs w:val="18"/>
    </w:rPr>
  </w:style>
  <w:style w:type="paragraph" w:styleId="20">
    <w:name w:val="footer"/>
    <w:basedOn w:val="1"/>
    <w:link w:val="50"/>
    <w:uiPriority w:val="0"/>
    <w:pPr>
      <w:tabs>
        <w:tab w:val="center" w:pos="4153"/>
        <w:tab w:val="right" w:pos="8306"/>
      </w:tabs>
      <w:snapToGrid w:val="0"/>
      <w:jc w:val="left"/>
    </w:pPr>
    <w:rPr>
      <w:sz w:val="18"/>
      <w:szCs w:val="18"/>
    </w:rPr>
  </w:style>
  <w:style w:type="paragraph" w:styleId="21">
    <w:name w:val="header"/>
    <w:basedOn w:val="1"/>
    <w:link w:val="53"/>
    <w:uiPriority w:val="0"/>
    <w:pPr>
      <w:pBdr>
        <w:bottom w:val="single" w:color="auto" w:sz="6" w:space="1"/>
      </w:pBdr>
      <w:tabs>
        <w:tab w:val="center" w:pos="4153"/>
        <w:tab w:val="right" w:pos="8306"/>
      </w:tabs>
      <w:snapToGrid w:val="0"/>
      <w:jc w:val="center"/>
    </w:pPr>
    <w:rPr>
      <w:sz w:val="18"/>
      <w:szCs w:val="18"/>
    </w:rPr>
  </w:style>
  <w:style w:type="paragraph" w:styleId="22">
    <w:name w:val="HTML Preformatted"/>
    <w:basedOn w:val="1"/>
    <w:qFormat/>
    <w:uiPriority w:val="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hint="eastAsia" w:ascii="宋体" w:hAnsi="宋体"/>
      <w:kern w:val="0"/>
      <w:sz w:val="24"/>
    </w:rPr>
  </w:style>
  <w:style w:type="paragraph" w:styleId="23">
    <w:name w:val="Normal (Web)"/>
    <w:basedOn w:val="1"/>
    <w:qFormat/>
    <w:uiPriority w:val="0"/>
    <w:pPr>
      <w:widowControl/>
      <w:spacing w:before="100" w:beforeAutospacing="1" w:after="100" w:afterAutospacing="1"/>
      <w:jc w:val="left"/>
    </w:pPr>
    <w:rPr>
      <w:rFonts w:ascii="宋体" w:hAnsi="宋体"/>
      <w:kern w:val="0"/>
      <w:sz w:val="24"/>
    </w:rPr>
  </w:style>
  <w:style w:type="paragraph" w:styleId="24">
    <w:name w:val="Title"/>
    <w:basedOn w:val="1"/>
    <w:link w:val="51"/>
    <w:qFormat/>
    <w:uiPriority w:val="0"/>
    <w:pPr>
      <w:spacing w:line="360" w:lineRule="auto"/>
      <w:ind w:left="357" w:hanging="357"/>
      <w:jc w:val="center"/>
    </w:pPr>
    <w:rPr>
      <w:b/>
      <w:sz w:val="30"/>
    </w:rPr>
  </w:style>
  <w:style w:type="paragraph" w:styleId="25">
    <w:name w:val="annotation subject"/>
    <w:basedOn w:val="15"/>
    <w:next w:val="15"/>
    <w:semiHidden/>
    <w:uiPriority w:val="0"/>
    <w:rPr>
      <w:b/>
      <w:bCs/>
    </w:rPr>
  </w:style>
  <w:style w:type="table" w:styleId="27">
    <w:name w:val="Table Grid"/>
    <w:basedOn w:val="26"/>
    <w:qFormat/>
    <w:uiPriority w:val="39"/>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character" w:styleId="29">
    <w:name w:val="Strong"/>
    <w:qFormat/>
    <w:uiPriority w:val="22"/>
    <w:rPr>
      <w:b/>
      <w:bCs/>
    </w:rPr>
  </w:style>
  <w:style w:type="character" w:styleId="30">
    <w:name w:val="page number"/>
    <w:basedOn w:val="28"/>
    <w:qFormat/>
    <w:uiPriority w:val="0"/>
  </w:style>
  <w:style w:type="character" w:styleId="31">
    <w:name w:val="Hyperlink"/>
    <w:uiPriority w:val="99"/>
    <w:rPr>
      <w:color w:val="0000FF"/>
      <w:u w:val="single"/>
    </w:rPr>
  </w:style>
  <w:style w:type="character" w:styleId="32">
    <w:name w:val="annotation reference"/>
    <w:qFormat/>
    <w:uiPriority w:val="99"/>
    <w:rPr>
      <w:sz w:val="21"/>
      <w:szCs w:val="21"/>
    </w:rPr>
  </w:style>
  <w:style w:type="character" w:customStyle="1" w:styleId="33">
    <w:name w:val="Plain Text Char Char"/>
    <w:link w:val="34"/>
    <w:qFormat/>
    <w:uiPriority w:val="0"/>
    <w:rPr>
      <w:rFonts w:ascii="宋体" w:hAnsi="Courier New"/>
      <w:kern w:val="2"/>
      <w:sz w:val="21"/>
      <w:szCs w:val="21"/>
      <w:lang w:bidi="ar-SA"/>
    </w:rPr>
  </w:style>
  <w:style w:type="paragraph" w:customStyle="1" w:styleId="34">
    <w:name w:val="纯文本1"/>
    <w:basedOn w:val="1"/>
    <w:link w:val="33"/>
    <w:uiPriority w:val="0"/>
    <w:rPr>
      <w:rFonts w:ascii="宋体" w:hAnsi="Courier New"/>
      <w:szCs w:val="21"/>
    </w:rPr>
  </w:style>
  <w:style w:type="character" w:customStyle="1" w:styleId="35">
    <w:name w:val="标题 9 Char"/>
    <w:link w:val="13"/>
    <w:semiHidden/>
    <w:uiPriority w:val="9"/>
    <w:rPr>
      <w:rFonts w:ascii="Cambria" w:hAnsi="Cambria"/>
      <w:kern w:val="2"/>
      <w:sz w:val="21"/>
      <w:szCs w:val="21"/>
    </w:rPr>
  </w:style>
  <w:style w:type="character" w:customStyle="1" w:styleId="36">
    <w:name w:val="标题 6 Char"/>
    <w:link w:val="10"/>
    <w:semiHidden/>
    <w:qFormat/>
    <w:uiPriority w:val="9"/>
    <w:rPr>
      <w:rFonts w:ascii="Cambria" w:hAnsi="Cambria"/>
      <w:b/>
      <w:bCs/>
      <w:kern w:val="2"/>
      <w:sz w:val="24"/>
      <w:szCs w:val="24"/>
    </w:rPr>
  </w:style>
  <w:style w:type="character" w:customStyle="1" w:styleId="37">
    <w:name w:val="正文缩进 Char"/>
    <w:link w:val="7"/>
    <w:qFormat/>
    <w:uiPriority w:val="0"/>
    <w:rPr>
      <w:kern w:val="2"/>
      <w:sz w:val="21"/>
      <w:szCs w:val="24"/>
    </w:rPr>
  </w:style>
  <w:style w:type="character" w:customStyle="1" w:styleId="38">
    <w:name w:val="批注文字 Char"/>
    <w:link w:val="15"/>
    <w:qFormat/>
    <w:uiPriority w:val="99"/>
    <w:rPr>
      <w:kern w:val="2"/>
      <w:sz w:val="21"/>
      <w:szCs w:val="24"/>
    </w:rPr>
  </w:style>
  <w:style w:type="character" w:customStyle="1" w:styleId="39">
    <w:name w:val="正文文本 Char"/>
    <w:link w:val="16"/>
    <w:qFormat/>
    <w:uiPriority w:val="0"/>
    <w:rPr>
      <w:kern w:val="2"/>
      <w:sz w:val="21"/>
      <w:szCs w:val="24"/>
    </w:rPr>
  </w:style>
  <w:style w:type="character" w:customStyle="1" w:styleId="40">
    <w:name w:val="apple-converted-space"/>
    <w:basedOn w:val="28"/>
    <w:qFormat/>
    <w:uiPriority w:val="0"/>
  </w:style>
  <w:style w:type="character" w:customStyle="1" w:styleId="41">
    <w:name w:val="标题 7 Char"/>
    <w:link w:val="11"/>
    <w:semiHidden/>
    <w:qFormat/>
    <w:uiPriority w:val="9"/>
    <w:rPr>
      <w:rFonts w:ascii="Calibri" w:hAnsi="Calibri"/>
      <w:b/>
      <w:bCs/>
      <w:kern w:val="2"/>
      <w:sz w:val="24"/>
      <w:szCs w:val="24"/>
    </w:rPr>
  </w:style>
  <w:style w:type="character" w:customStyle="1" w:styleId="42">
    <w:name w:val="日期 Char"/>
    <w:link w:val="18"/>
    <w:uiPriority w:val="0"/>
    <w:rPr>
      <w:rFonts w:eastAsia="宋体"/>
      <w:kern w:val="2"/>
      <w:sz w:val="28"/>
      <w:lang w:val="en-US" w:eastAsia="zh-CN" w:bidi="ar-SA"/>
    </w:rPr>
  </w:style>
  <w:style w:type="character" w:customStyle="1" w:styleId="43">
    <w:name w:val="正文首行缩进 Char"/>
    <w:link w:val="44"/>
    <w:qFormat/>
    <w:uiPriority w:val="0"/>
    <w:rPr>
      <w:kern w:val="2"/>
      <w:sz w:val="21"/>
      <w:szCs w:val="24"/>
    </w:rPr>
  </w:style>
  <w:style w:type="paragraph" w:customStyle="1" w:styleId="44">
    <w:name w:val="正文首行缩进1"/>
    <w:basedOn w:val="16"/>
    <w:link w:val="43"/>
    <w:qFormat/>
    <w:uiPriority w:val="0"/>
    <w:pPr>
      <w:ind w:firstLine="420" w:firstLineChars="100"/>
    </w:pPr>
  </w:style>
  <w:style w:type="character" w:customStyle="1" w:styleId="45">
    <w:name w:val="自定义正文 Char"/>
    <w:link w:val="46"/>
    <w:qFormat/>
    <w:uiPriority w:val="0"/>
    <w:rPr>
      <w:rFonts w:ascii="仿宋_GB2312" w:eastAsia="仿宋_GB2312"/>
      <w:sz w:val="24"/>
      <w:szCs w:val="24"/>
    </w:rPr>
  </w:style>
  <w:style w:type="paragraph" w:customStyle="1" w:styleId="46">
    <w:name w:val="自定义正文"/>
    <w:basedOn w:val="1"/>
    <w:link w:val="45"/>
    <w:qFormat/>
    <w:uiPriority w:val="0"/>
    <w:pPr>
      <w:spacing w:before="120" w:after="60" w:line="400" w:lineRule="exact"/>
      <w:ind w:firstLine="200" w:firstLineChars="200"/>
      <w:jc w:val="left"/>
    </w:pPr>
    <w:rPr>
      <w:rFonts w:ascii="仿宋_GB2312" w:eastAsia="仿宋_GB2312"/>
      <w:kern w:val="0"/>
      <w:sz w:val="24"/>
    </w:rPr>
  </w:style>
  <w:style w:type="character" w:customStyle="1" w:styleId="47">
    <w:name w:val="标题 8 Char"/>
    <w:link w:val="12"/>
    <w:semiHidden/>
    <w:qFormat/>
    <w:uiPriority w:val="9"/>
    <w:rPr>
      <w:rFonts w:ascii="Cambria" w:hAnsi="Cambria"/>
      <w:kern w:val="2"/>
      <w:sz w:val="24"/>
      <w:szCs w:val="24"/>
    </w:rPr>
  </w:style>
  <w:style w:type="character" w:customStyle="1" w:styleId="48">
    <w:name w:val="批注框文本 Char"/>
    <w:link w:val="19"/>
    <w:semiHidden/>
    <w:qFormat/>
    <w:locked/>
    <w:uiPriority w:val="0"/>
    <w:rPr>
      <w:rFonts w:eastAsia="宋体"/>
      <w:kern w:val="2"/>
      <w:sz w:val="18"/>
      <w:szCs w:val="18"/>
      <w:lang w:val="en-US" w:eastAsia="zh-CN" w:bidi="ar-SA"/>
    </w:rPr>
  </w:style>
  <w:style w:type="character" w:customStyle="1" w:styleId="49">
    <w:name w:val="fontstyle01"/>
    <w:qFormat/>
    <w:uiPriority w:val="0"/>
    <w:rPr>
      <w:rFonts w:ascii="微软雅黑" w:hAnsi="微软雅黑" w:eastAsia="微软雅黑" w:cs="微软雅黑"/>
      <w:b/>
      <w:color w:val="000000"/>
      <w:sz w:val="36"/>
      <w:szCs w:val="36"/>
    </w:rPr>
  </w:style>
  <w:style w:type="character" w:customStyle="1" w:styleId="50">
    <w:name w:val="页脚 Char"/>
    <w:link w:val="20"/>
    <w:qFormat/>
    <w:locked/>
    <w:uiPriority w:val="0"/>
    <w:rPr>
      <w:rFonts w:eastAsia="宋体"/>
      <w:kern w:val="2"/>
      <w:sz w:val="18"/>
      <w:szCs w:val="18"/>
      <w:lang w:val="en-US" w:eastAsia="zh-CN" w:bidi="ar-SA"/>
    </w:rPr>
  </w:style>
  <w:style w:type="character" w:customStyle="1" w:styleId="51">
    <w:name w:val="标题 Char"/>
    <w:link w:val="24"/>
    <w:uiPriority w:val="0"/>
    <w:rPr>
      <w:b/>
      <w:kern w:val="2"/>
      <w:sz w:val="30"/>
      <w:szCs w:val="24"/>
    </w:rPr>
  </w:style>
  <w:style w:type="character" w:customStyle="1" w:styleId="52">
    <w:name w:val="纯文本 Char"/>
    <w:link w:val="17"/>
    <w:uiPriority w:val="0"/>
    <w:rPr>
      <w:rFonts w:ascii="宋体" w:hAnsi="Courier New" w:eastAsia="宋体"/>
      <w:kern w:val="2"/>
      <w:sz w:val="21"/>
      <w:lang w:val="en-US" w:eastAsia="zh-CN" w:bidi="ar-SA"/>
    </w:rPr>
  </w:style>
  <w:style w:type="character" w:customStyle="1" w:styleId="53">
    <w:name w:val="页眉 Char"/>
    <w:link w:val="21"/>
    <w:qFormat/>
    <w:locked/>
    <w:uiPriority w:val="0"/>
    <w:rPr>
      <w:rFonts w:eastAsia="宋体"/>
      <w:kern w:val="2"/>
      <w:sz w:val="18"/>
      <w:szCs w:val="18"/>
      <w:lang w:val="en-US" w:eastAsia="zh-CN" w:bidi="ar-SA"/>
    </w:rPr>
  </w:style>
  <w:style w:type="character" w:customStyle="1" w:styleId="54">
    <w:name w:val="标题 Char1"/>
    <w:qFormat/>
    <w:uiPriority w:val="0"/>
    <w:rPr>
      <w:rFonts w:ascii="Cambria" w:hAnsi="Cambria" w:cs="Times New Roman"/>
      <w:b/>
      <w:bCs/>
      <w:kern w:val="2"/>
      <w:sz w:val="32"/>
      <w:szCs w:val="32"/>
    </w:rPr>
  </w:style>
  <w:style w:type="character" w:customStyle="1" w:styleId="55">
    <w:name w:val="apple-style-span"/>
    <w:basedOn w:val="28"/>
    <w:qFormat/>
    <w:uiPriority w:val="0"/>
  </w:style>
  <w:style w:type="paragraph" w:customStyle="1" w:styleId="56">
    <w:name w:val="目录 11"/>
    <w:basedOn w:val="1"/>
    <w:next w:val="1"/>
    <w:uiPriority w:val="39"/>
  </w:style>
  <w:style w:type="paragraph" w:customStyle="1" w:styleId="57">
    <w:name w:val="目录 31"/>
    <w:basedOn w:val="1"/>
    <w:next w:val="1"/>
    <w:uiPriority w:val="39"/>
    <w:pPr>
      <w:tabs>
        <w:tab w:val="right" w:leader="dot" w:pos="9060"/>
      </w:tabs>
      <w:spacing w:line="360" w:lineRule="auto"/>
      <w:ind w:left="840" w:leftChars="400"/>
    </w:pPr>
  </w:style>
  <w:style w:type="paragraph" w:customStyle="1" w:styleId="58">
    <w:name w:val="Default"/>
    <w:uiPriority w:val="0"/>
    <w:pPr>
      <w:widowControl w:val="0"/>
      <w:autoSpaceDE w:val="0"/>
      <w:autoSpaceDN w:val="0"/>
      <w:adjustRightInd w:val="0"/>
    </w:pPr>
    <w:rPr>
      <w:rFonts w:ascii="宋体" w:hAnsi="Times New Roman" w:eastAsia="宋体" w:cs="宋体"/>
      <w:color w:val="000000"/>
      <w:sz w:val="24"/>
      <w:szCs w:val="24"/>
      <w:lang w:val="en-US" w:eastAsia="zh-CN" w:bidi="ar-SA"/>
    </w:rPr>
  </w:style>
  <w:style w:type="paragraph" w:customStyle="1" w:styleId="59">
    <w:name w:val="_Style 3"/>
    <w:basedOn w:val="1"/>
    <w:qFormat/>
    <w:uiPriority w:val="34"/>
    <w:pPr>
      <w:widowControl/>
      <w:spacing w:after="160" w:line="259" w:lineRule="auto"/>
      <w:ind w:left="720"/>
      <w:contextualSpacing/>
      <w:jc w:val="left"/>
    </w:pPr>
    <w:rPr>
      <w:rFonts w:ascii="Calibri" w:hAnsi="Calibri"/>
      <w:kern w:val="0"/>
      <w:sz w:val="22"/>
      <w:szCs w:val="22"/>
    </w:rPr>
  </w:style>
  <w:style w:type="paragraph" w:customStyle="1" w:styleId="60">
    <w:name w:val="List Paragraph1"/>
    <w:basedOn w:val="1"/>
    <w:uiPriority w:val="0"/>
    <w:pPr>
      <w:ind w:firstLine="420" w:firstLineChars="200"/>
    </w:pPr>
    <w:rPr>
      <w:rFonts w:ascii="Calibri" w:hAnsi="Calibri"/>
      <w:szCs w:val="22"/>
    </w:rPr>
  </w:style>
  <w:style w:type="paragraph" w:customStyle="1" w:styleId="61">
    <w:name w:val="列出段落1"/>
    <w:basedOn w:val="1"/>
    <w:qFormat/>
    <w:uiPriority w:val="72"/>
    <w:pPr>
      <w:ind w:firstLine="420" w:firstLineChars="200"/>
    </w:pPr>
    <w:rPr>
      <w:rFonts w:ascii="Calibri" w:hAnsi="Calibri"/>
      <w:szCs w:val="22"/>
    </w:rPr>
  </w:style>
  <w:style w:type="paragraph" w:customStyle="1" w:styleId="62">
    <w:name w:val="列表段落1"/>
    <w:basedOn w:val="1"/>
    <w:uiPriority w:val="0"/>
    <w:pPr>
      <w:ind w:firstLine="420" w:firstLineChars="200"/>
    </w:pPr>
    <w:rPr>
      <w:rFonts w:ascii="Calibri" w:hAnsi="Calibri"/>
      <w:szCs w:val="22"/>
    </w:rPr>
  </w:style>
  <w:style w:type="paragraph" w:customStyle="1" w:styleId="63">
    <w:name w:val="_Style 1"/>
    <w:basedOn w:val="1"/>
    <w:qFormat/>
    <w:uiPriority w:val="0"/>
    <w:pPr>
      <w:ind w:firstLine="420" w:firstLineChars="200"/>
    </w:pPr>
    <w:rPr>
      <w:rFonts w:ascii="Calibri" w:hAnsi="Calibri"/>
    </w:rPr>
  </w:style>
  <w:style w:type="paragraph" w:customStyle="1" w:styleId="64">
    <w:name w:val="Table Paragraph"/>
    <w:basedOn w:val="1"/>
    <w:qFormat/>
    <w:uiPriority w:val="1"/>
    <w:pPr>
      <w:jc w:val="left"/>
    </w:pPr>
    <w:rPr>
      <w:rFonts w:ascii="Calibri" w:hAnsi="Calibri"/>
      <w:kern w:val="0"/>
      <w:sz w:val="22"/>
      <w:szCs w:val="22"/>
      <w:lang w:eastAsia="en-US"/>
    </w:rPr>
  </w:style>
  <w:style w:type="paragraph" w:customStyle="1" w:styleId="65">
    <w:name w:val="Plain Text1"/>
    <w:basedOn w:val="1"/>
    <w:uiPriority w:val="0"/>
    <w:pPr>
      <w:adjustRightInd w:val="0"/>
      <w:jc w:val="left"/>
    </w:pPr>
    <w:rPr>
      <w:rFonts w:hint="eastAsia" w:ascii="宋体" w:hAnsi="Courier New"/>
      <w:sz w:val="24"/>
      <w:szCs w:val="20"/>
    </w:rPr>
  </w:style>
  <w:style w:type="paragraph" w:customStyle="1" w:styleId="66">
    <w:name w:val="样式 自定义正文 + 首行缩进:  2 字符 段后: 6 磅"/>
    <w:basedOn w:val="46"/>
    <w:uiPriority w:val="0"/>
    <w:rPr>
      <w:rFonts w:cs="宋体"/>
      <w:kern w:val="2"/>
      <w:szCs w:val="20"/>
    </w:rPr>
  </w:style>
  <w:style w:type="paragraph" w:customStyle="1" w:styleId="67">
    <w:name w:val="Pa0"/>
    <w:basedOn w:val="1"/>
    <w:next w:val="1"/>
    <w:uiPriority w:val="0"/>
    <w:pPr>
      <w:autoSpaceDE w:val="0"/>
      <w:autoSpaceDN w:val="0"/>
      <w:adjustRightInd w:val="0"/>
      <w:spacing w:line="161" w:lineRule="atLeast"/>
      <w:jc w:val="left"/>
    </w:pPr>
    <w:rPr>
      <w:rFonts w:ascii="新宋体" w:eastAsia="新宋体"/>
      <w:kern w:val="0"/>
      <w:sz w:val="24"/>
    </w:rPr>
  </w:style>
  <w:style w:type="paragraph" w:customStyle="1" w:styleId="68">
    <w:name w:val="p0"/>
    <w:basedOn w:val="1"/>
    <w:uiPriority w:val="0"/>
    <w:pPr>
      <w:widowControl/>
    </w:pPr>
    <w:rPr>
      <w:kern w:val="0"/>
      <w:sz w:val="28"/>
      <w:szCs w:val="28"/>
    </w:rPr>
  </w:style>
  <w:style w:type="paragraph" w:customStyle="1" w:styleId="69">
    <w:name w:val="Heading 2-Body"/>
    <w:basedOn w:val="1"/>
    <w:qFormat/>
    <w:uiPriority w:val="0"/>
    <w:pPr>
      <w:widowControl/>
      <w:spacing w:before="240"/>
      <w:ind w:left="720"/>
      <w:jc w:val="left"/>
    </w:pPr>
    <w:rPr>
      <w:bCs/>
      <w:color w:val="000000"/>
      <w:kern w:val="0"/>
      <w:sz w:val="22"/>
      <w:lang w:eastAsia="en-US"/>
    </w:rPr>
  </w:style>
  <w:style w:type="paragraph" w:customStyle="1" w:styleId="70">
    <w:name w:val="彩色列表1"/>
    <w:basedOn w:val="1"/>
    <w:qFormat/>
    <w:uiPriority w:val="34"/>
    <w:pPr>
      <w:widowControl/>
      <w:ind w:firstLine="420" w:firstLineChars="200"/>
      <w:jc w:val="left"/>
    </w:pPr>
    <w:rPr>
      <w:rFonts w:ascii="宋体" w:hAnsi="宋体" w:cs="宋体"/>
      <w:kern w:val="0"/>
      <w:sz w:val="24"/>
    </w:rPr>
  </w:style>
  <w:style w:type="paragraph" w:customStyle="1" w:styleId="71">
    <w:name w:val="彩色列表 - 强调文字颜色 11"/>
    <w:basedOn w:val="1"/>
    <w:qFormat/>
    <w:uiPriority w:val="0"/>
    <w:pPr>
      <w:ind w:firstLine="420" w:firstLineChars="200"/>
    </w:pPr>
  </w:style>
  <w:style w:type="paragraph" w:customStyle="1" w:styleId="72">
    <w:name w:val="列出段落11"/>
    <w:basedOn w:val="1"/>
    <w:qFormat/>
    <w:uiPriority w:val="0"/>
    <w:pPr>
      <w:ind w:firstLine="420" w:firstLineChars="200"/>
    </w:pPr>
    <w:rPr>
      <w:rFonts w:ascii="Calibri" w:hAnsi="Calibri"/>
      <w:szCs w:val="22"/>
    </w:rPr>
  </w:style>
  <w:style w:type="paragraph" w:customStyle="1" w:styleId="73">
    <w:name w:val="_Style 6"/>
    <w:basedOn w:val="1"/>
    <w:qFormat/>
    <w:uiPriority w:val="0"/>
    <w:pPr>
      <w:widowControl/>
      <w:ind w:firstLine="420" w:firstLineChars="200"/>
      <w:jc w:val="left"/>
    </w:pPr>
    <w:rPr>
      <w:rFonts w:ascii="宋体" w:hAnsi="宋体" w:cs="宋体"/>
      <w:kern w:val="0"/>
      <w:sz w:val="24"/>
      <w:szCs w:val="22"/>
    </w:rPr>
  </w:style>
  <w:style w:type="table" w:customStyle="1" w:styleId="74">
    <w:name w:val="Table Normal1"/>
    <w:unhideWhenUsed/>
    <w:qFormat/>
    <w:uiPriority w:val="2"/>
    <w:rPr>
      <w:rFonts w:eastAsia="PMingLiU"/>
    </w:rPr>
    <w:tblPr>
      <w:tblCellMar>
        <w:top w:w="0" w:type="dxa"/>
        <w:left w:w="0" w:type="dxa"/>
        <w:bottom w:w="0" w:type="dxa"/>
        <w:right w:w="0" w:type="dxa"/>
      </w:tblCellMar>
    </w:tblPr>
  </w:style>
  <w:style w:type="character" w:customStyle="1" w:styleId="75">
    <w:name w:val="正文文本缩进 Char"/>
    <w:link w:val="3"/>
    <w:uiPriority w:val="0"/>
    <w:rPr>
      <w:kern w:val="2"/>
      <w:sz w:val="24"/>
      <w:szCs w:val="24"/>
    </w:rPr>
  </w:style>
</w:styles>
</file>

<file path=word/_rels/document.xml.rels><?xml version="1.0" encoding="UTF-8" standalone="yes"?>
<Relationships xmlns="http://schemas.openxmlformats.org/package/2006/relationships"><Relationship Id="rId9" Type="http://schemas.openxmlformats.org/officeDocument/2006/relationships/header" Target="header5.xml"/><Relationship Id="rId8" Type="http://schemas.openxmlformats.org/officeDocument/2006/relationships/header" Target="header4.xml"/><Relationship Id="rId7" Type="http://schemas.openxmlformats.org/officeDocument/2006/relationships/header" Target="header3.xml"/><Relationship Id="rId6" Type="http://schemas.openxmlformats.org/officeDocument/2006/relationships/footer" Target="footer2.xml"/><Relationship Id="rId5" Type="http://schemas.openxmlformats.org/officeDocument/2006/relationships/header" Target="header2.xml"/><Relationship Id="rId4" Type="http://schemas.openxmlformats.org/officeDocument/2006/relationships/footer" Target="footer1.xml"/><Relationship Id="rId3" Type="http://schemas.openxmlformats.org/officeDocument/2006/relationships/header" Target="header1.xml"/><Relationship Id="rId20" Type="http://schemas.openxmlformats.org/officeDocument/2006/relationships/fontTable" Target="fontTable.xml"/><Relationship Id="rId2" Type="http://schemas.openxmlformats.org/officeDocument/2006/relationships/settings" Target="settings.xml"/><Relationship Id="rId19" Type="http://schemas.openxmlformats.org/officeDocument/2006/relationships/numbering" Target="numbering.xml"/><Relationship Id="rId18" Type="http://schemas.openxmlformats.org/officeDocument/2006/relationships/customXml" Target="../customXml/item1.xml"/><Relationship Id="rId17" Type="http://schemas.openxmlformats.org/officeDocument/2006/relationships/theme" Target="theme/theme1.xml"/><Relationship Id="rId16" Type="http://schemas.openxmlformats.org/officeDocument/2006/relationships/header" Target="header12.xml"/><Relationship Id="rId15" Type="http://schemas.openxmlformats.org/officeDocument/2006/relationships/header" Target="header11.xml"/><Relationship Id="rId14" Type="http://schemas.openxmlformats.org/officeDocument/2006/relationships/header" Target="header10.xml"/><Relationship Id="rId13" Type="http://schemas.openxmlformats.org/officeDocument/2006/relationships/header" Target="header9.xml"/><Relationship Id="rId12" Type="http://schemas.openxmlformats.org/officeDocument/2006/relationships/header" Target="header8.xml"/><Relationship Id="rId11" Type="http://schemas.openxmlformats.org/officeDocument/2006/relationships/header" Target="header7.xml"/><Relationship Id="rId10" Type="http://schemas.openxmlformats.org/officeDocument/2006/relationships/header" Target="header6.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
    <customSectPr/>
    <customSectPr/>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Company>Microsoft</Company>
  <Pages>28</Pages>
  <Words>2012</Words>
  <Characters>11475</Characters>
  <Lines>95</Lines>
  <Paragraphs>26</Paragraphs>
  <TotalTime>6</TotalTime>
  <ScaleCrop>false</ScaleCrop>
  <LinksUpToDate>false</LinksUpToDate>
  <CharactersWithSpaces>13461</CharactersWithSpaces>
  <Application>WPS Office_11.1.0.10000_F1E327BC-269C-435d-A152-05C5408002CA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2020-10-13T09:51:00Z</dcterms:created>
  <dc:creator>YJYZ</dc:creator>
  <cp:lastModifiedBy>夏天夏星星辰</cp:lastModifiedBy>
  <cp:lastPrinted>2020-07-03T01:25:00Z</cp:lastPrinted>
  <dcterms:modified xsi:type="dcterms:W3CDTF">2020-10-15T02:21:30Z</dcterms:modified>
  <cp:revision>9</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2052-11.1.0.10000</vt:lpwstr>
  </property>
</Properties>
</file>