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48E" w:rsidRDefault="00B42553">
      <w:pPr>
        <w:jc w:val="center"/>
        <w:rPr>
          <w:rFonts w:ascii="方正小标宋简体" w:eastAsia="方正小标宋简体" w:hAnsi="方正小标宋简体" w:cs="方正小标宋简体"/>
          <w:color w:val="333333"/>
          <w:kern w:val="0"/>
          <w:sz w:val="32"/>
          <w:szCs w:val="32"/>
        </w:rPr>
      </w:pPr>
      <w:r>
        <w:rPr>
          <w:rFonts w:ascii="方正小标宋简体" w:eastAsia="方正小标宋简体" w:hAnsi="方正小标宋简体" w:cs="方正小标宋简体" w:hint="eastAsia"/>
          <w:color w:val="333333"/>
          <w:kern w:val="0"/>
          <w:sz w:val="32"/>
          <w:szCs w:val="32"/>
        </w:rPr>
        <w:t>之江实验室一期工程3号楼微纳加工平台（超净间）</w:t>
      </w:r>
    </w:p>
    <w:p w:rsidR="007E548E" w:rsidRDefault="00B42553">
      <w:pPr>
        <w:jc w:val="center"/>
        <w:rPr>
          <w:rFonts w:ascii="方正小标宋简体" w:eastAsia="方正小标宋简体" w:hAnsi="方正小标宋简体" w:cs="方正小标宋简体"/>
          <w:color w:val="333333"/>
          <w:kern w:val="0"/>
          <w:sz w:val="32"/>
          <w:szCs w:val="32"/>
        </w:rPr>
      </w:pPr>
      <w:r>
        <w:rPr>
          <w:rFonts w:ascii="方正小标宋简体" w:eastAsia="方正小标宋简体" w:hAnsi="方正小标宋简体" w:cs="方正小标宋简体" w:hint="eastAsia"/>
          <w:color w:val="333333"/>
          <w:kern w:val="0"/>
          <w:sz w:val="32"/>
          <w:szCs w:val="32"/>
        </w:rPr>
        <w:t>安全及职业卫生专篇采购服务</w:t>
      </w:r>
    </w:p>
    <w:p w:rsidR="007E548E" w:rsidRDefault="00B42553">
      <w:pPr>
        <w:rPr>
          <w:rFonts w:ascii="黑体" w:eastAsia="黑体" w:hAnsi="黑体" w:cs="黑体"/>
          <w:color w:val="333333"/>
          <w:kern w:val="0"/>
          <w:sz w:val="32"/>
          <w:szCs w:val="32"/>
        </w:rPr>
      </w:pPr>
      <w:r>
        <w:rPr>
          <w:rFonts w:ascii="黑体" w:eastAsia="黑体" w:hAnsi="黑体" w:cs="黑体" w:hint="eastAsia"/>
          <w:color w:val="333333"/>
          <w:kern w:val="0"/>
          <w:sz w:val="32"/>
          <w:szCs w:val="32"/>
        </w:rPr>
        <w:t>一、项目概况</w:t>
      </w:r>
    </w:p>
    <w:p w:rsidR="007E548E" w:rsidRDefault="00516E0E">
      <w:pPr>
        <w:ind w:firstLineChars="200" w:firstLine="640"/>
        <w:jc w:val="left"/>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之江实验室一期工程位于杭州市余杭区中泰街道。</w:t>
      </w:r>
      <w:r w:rsidR="00DE0649">
        <w:rPr>
          <w:rFonts w:ascii="仿宋_GB2312" w:eastAsia="仿宋_GB2312" w:hAnsi="仿宋_GB2312" w:cs="仿宋_GB2312" w:hint="eastAsia"/>
          <w:color w:val="333333"/>
          <w:kern w:val="0"/>
          <w:sz w:val="32"/>
          <w:szCs w:val="32"/>
        </w:rPr>
        <w:t>现</w:t>
      </w:r>
      <w:r w:rsidR="00B42553">
        <w:rPr>
          <w:rFonts w:ascii="仿宋_GB2312" w:eastAsia="仿宋_GB2312" w:hAnsi="仿宋_GB2312" w:cs="仿宋_GB2312" w:hint="eastAsia"/>
          <w:color w:val="333333"/>
          <w:kern w:val="0"/>
          <w:sz w:val="32"/>
          <w:szCs w:val="32"/>
        </w:rPr>
        <w:t>对园区</w:t>
      </w:r>
      <w:r w:rsidR="00DE0649">
        <w:rPr>
          <w:rFonts w:ascii="仿宋_GB2312" w:eastAsia="仿宋_GB2312" w:hAnsi="仿宋_GB2312" w:cs="仿宋_GB2312" w:hint="eastAsia"/>
          <w:color w:val="333333"/>
          <w:kern w:val="0"/>
          <w:sz w:val="32"/>
          <w:szCs w:val="32"/>
        </w:rPr>
        <w:t>内</w:t>
      </w:r>
      <w:r w:rsidR="00B42553">
        <w:rPr>
          <w:rFonts w:ascii="仿宋_GB2312" w:eastAsia="仿宋_GB2312" w:hAnsi="仿宋_GB2312" w:cs="仿宋_GB2312" w:hint="eastAsia"/>
          <w:color w:val="333333"/>
          <w:kern w:val="0"/>
          <w:sz w:val="32"/>
          <w:szCs w:val="32"/>
        </w:rPr>
        <w:t>3号楼微纳加工平台（超净间）涉及的总布局图、公用工程、建（构）筑物、实验工艺布局及流程、物料存储及使用</w:t>
      </w:r>
      <w:r w:rsidR="00DE0649">
        <w:rPr>
          <w:rFonts w:ascii="仿宋_GB2312" w:eastAsia="仿宋_GB2312" w:hAnsi="仿宋_GB2312" w:cs="仿宋_GB2312" w:hint="eastAsia"/>
          <w:color w:val="333333"/>
          <w:kern w:val="0"/>
          <w:sz w:val="32"/>
          <w:szCs w:val="32"/>
        </w:rPr>
        <w:t>情况</w:t>
      </w:r>
      <w:r w:rsidR="00B42553">
        <w:rPr>
          <w:rFonts w:ascii="仿宋_GB2312" w:eastAsia="仿宋_GB2312" w:hAnsi="仿宋_GB2312" w:cs="仿宋_GB2312" w:hint="eastAsia"/>
          <w:color w:val="333333"/>
          <w:kern w:val="0"/>
          <w:sz w:val="32"/>
          <w:szCs w:val="32"/>
        </w:rPr>
        <w:t>进行安全设施设计、职业卫生防护设施设计专篇编制。本项目属于半导体芯片建设工程，需对半导体芯片有丰富的设计施工经验；对半导体芯片制造过程、特气化学品存储、使用过程、公共辅助设施有害因素进行辨识，尤其是特气化学品等重大危险源进行识别辨识；并针对危险因素提供相应安全设施</w:t>
      </w:r>
      <w:r w:rsidR="00216F59">
        <w:rPr>
          <w:rFonts w:ascii="仿宋_GB2312" w:eastAsia="仿宋_GB2312" w:hAnsi="仿宋_GB2312" w:cs="仿宋_GB2312" w:hint="eastAsia"/>
          <w:color w:val="333333"/>
          <w:kern w:val="0"/>
          <w:sz w:val="32"/>
          <w:szCs w:val="32"/>
        </w:rPr>
        <w:t>设计和职业卫生防护</w:t>
      </w:r>
      <w:r w:rsidR="00B42553">
        <w:rPr>
          <w:rFonts w:ascii="仿宋_GB2312" w:eastAsia="仿宋_GB2312" w:hAnsi="仿宋_GB2312" w:cs="仿宋_GB2312" w:hint="eastAsia"/>
          <w:color w:val="333333"/>
          <w:kern w:val="0"/>
          <w:sz w:val="32"/>
          <w:szCs w:val="32"/>
        </w:rPr>
        <w:t>措施</w:t>
      </w:r>
      <w:r w:rsidR="00216F59">
        <w:rPr>
          <w:rFonts w:ascii="仿宋_GB2312" w:eastAsia="仿宋_GB2312" w:hAnsi="仿宋_GB2312" w:cs="仿宋_GB2312" w:hint="eastAsia"/>
          <w:color w:val="333333"/>
          <w:kern w:val="0"/>
          <w:sz w:val="32"/>
          <w:szCs w:val="32"/>
        </w:rPr>
        <w:t>设计</w:t>
      </w:r>
      <w:r w:rsidR="00B42553">
        <w:rPr>
          <w:rFonts w:ascii="仿宋_GB2312" w:eastAsia="仿宋_GB2312" w:hAnsi="仿宋_GB2312" w:cs="仿宋_GB2312" w:hint="eastAsia"/>
          <w:color w:val="333333"/>
          <w:kern w:val="0"/>
          <w:sz w:val="32"/>
          <w:szCs w:val="32"/>
        </w:rPr>
        <w:t>。</w:t>
      </w:r>
    </w:p>
    <w:p w:rsidR="007E548E" w:rsidRDefault="00B42553">
      <w:pPr>
        <w:ind w:firstLineChars="200" w:firstLine="640"/>
        <w:jc w:val="left"/>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（1）涉及的危险化学品有：N</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、Ar、CO</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、O2、He、</w:t>
      </w:r>
      <w:r>
        <w:rPr>
          <w:rFonts w:ascii="仿宋_GB2312" w:eastAsia="仿宋_GB2312" w:hAnsi="仿宋_GB2312" w:cs="仿宋_GB2312" w:hint="eastAsia"/>
          <w:color w:val="333333"/>
          <w:sz w:val="32"/>
          <w:szCs w:val="32"/>
          <w:shd w:val="clear" w:color="auto" w:fill="FFFFFF"/>
        </w:rPr>
        <w:t>C</w:t>
      </w:r>
      <w:r>
        <w:rPr>
          <w:rFonts w:ascii="仿宋_GB2312" w:eastAsia="仿宋_GB2312" w:hAnsi="仿宋_GB2312" w:cs="仿宋_GB2312" w:hint="eastAsia"/>
          <w:color w:val="333333"/>
          <w:sz w:val="32"/>
          <w:szCs w:val="32"/>
          <w:vertAlign w:val="subscript"/>
        </w:rPr>
        <w:t>3</w:t>
      </w:r>
      <w:r>
        <w:rPr>
          <w:rFonts w:ascii="仿宋_GB2312" w:eastAsia="仿宋_GB2312" w:hAnsi="仿宋_GB2312" w:cs="仿宋_GB2312" w:hint="eastAsia"/>
          <w:color w:val="333333"/>
          <w:sz w:val="32"/>
          <w:szCs w:val="32"/>
          <w:shd w:val="clear" w:color="auto" w:fill="FFFFFF"/>
        </w:rPr>
        <w:t>H</w:t>
      </w:r>
      <w:r>
        <w:rPr>
          <w:rFonts w:ascii="仿宋_GB2312" w:eastAsia="仿宋_GB2312" w:hAnsi="仿宋_GB2312" w:cs="仿宋_GB2312" w:hint="eastAsia"/>
          <w:color w:val="333333"/>
          <w:sz w:val="32"/>
          <w:szCs w:val="32"/>
          <w:vertAlign w:val="subscript"/>
        </w:rPr>
        <w:t>6</w:t>
      </w:r>
      <w:r>
        <w:rPr>
          <w:rFonts w:ascii="仿宋_GB2312" w:eastAsia="仿宋_GB2312" w:hAnsi="仿宋_GB2312" w:cs="仿宋_GB2312" w:hint="eastAsia"/>
          <w:color w:val="333333"/>
          <w:sz w:val="32"/>
          <w:szCs w:val="32"/>
          <w:shd w:val="clear" w:color="auto" w:fill="FFFFFF"/>
        </w:rPr>
        <w:t>O</w:t>
      </w:r>
      <w:r>
        <w:rPr>
          <w:rFonts w:ascii="仿宋_GB2312" w:eastAsia="仿宋_GB2312" w:hAnsi="仿宋_GB2312" w:cs="仿宋_GB2312" w:hint="eastAsia"/>
          <w:color w:val="333333"/>
          <w:kern w:val="0"/>
          <w:sz w:val="32"/>
          <w:szCs w:val="32"/>
        </w:rPr>
        <w:t>、IPA、</w:t>
      </w:r>
      <w:r>
        <w:rPr>
          <w:rFonts w:ascii="仿宋_GB2312" w:eastAsia="仿宋_GB2312" w:hAnsi="仿宋_GB2312" w:cs="仿宋_GB2312" w:hint="eastAsia"/>
          <w:color w:val="333333"/>
          <w:sz w:val="32"/>
          <w:szCs w:val="32"/>
          <w:shd w:val="clear" w:color="auto" w:fill="FFFFFF"/>
        </w:rPr>
        <w:t>C</w:t>
      </w:r>
      <w:r>
        <w:rPr>
          <w:rFonts w:ascii="仿宋_GB2312" w:eastAsia="仿宋_GB2312" w:hAnsi="仿宋_GB2312" w:cs="仿宋_GB2312" w:hint="eastAsia"/>
          <w:color w:val="333333"/>
          <w:sz w:val="32"/>
          <w:szCs w:val="32"/>
          <w:vertAlign w:val="subscript"/>
        </w:rPr>
        <w:t>2</w:t>
      </w:r>
      <w:r>
        <w:rPr>
          <w:rFonts w:ascii="仿宋_GB2312" w:eastAsia="仿宋_GB2312" w:hAnsi="仿宋_GB2312" w:cs="仿宋_GB2312" w:hint="eastAsia"/>
          <w:color w:val="333333"/>
          <w:sz w:val="32"/>
          <w:szCs w:val="32"/>
          <w:shd w:val="clear" w:color="auto" w:fill="FFFFFF"/>
        </w:rPr>
        <w:t>H</w:t>
      </w:r>
      <w:r>
        <w:rPr>
          <w:rFonts w:ascii="仿宋_GB2312" w:eastAsia="仿宋_GB2312" w:hAnsi="仿宋_GB2312" w:cs="仿宋_GB2312" w:hint="eastAsia"/>
          <w:color w:val="333333"/>
          <w:sz w:val="32"/>
          <w:szCs w:val="32"/>
          <w:vertAlign w:val="subscript"/>
        </w:rPr>
        <w:t>6</w:t>
      </w:r>
      <w:r>
        <w:rPr>
          <w:rFonts w:ascii="仿宋_GB2312" w:eastAsia="仿宋_GB2312" w:hAnsi="仿宋_GB2312" w:cs="仿宋_GB2312" w:hint="eastAsia"/>
          <w:color w:val="333333"/>
          <w:sz w:val="32"/>
          <w:szCs w:val="32"/>
          <w:shd w:val="clear" w:color="auto" w:fill="FFFFFF"/>
        </w:rPr>
        <w:t>O</w:t>
      </w:r>
      <w:r>
        <w:rPr>
          <w:rFonts w:ascii="仿宋_GB2312" w:eastAsia="仿宋_GB2312" w:hAnsi="仿宋_GB2312" w:cs="仿宋_GB2312" w:hint="eastAsia"/>
          <w:color w:val="333333"/>
          <w:kern w:val="0"/>
          <w:sz w:val="32"/>
          <w:szCs w:val="32"/>
        </w:rPr>
        <w:t>、H</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SO</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、HCL、HNO</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、H</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、SF</w:t>
      </w:r>
      <w:r>
        <w:rPr>
          <w:rFonts w:ascii="仿宋_GB2312" w:eastAsia="仿宋_GB2312" w:hAnsi="仿宋_GB2312" w:cs="仿宋_GB2312" w:hint="eastAsia"/>
          <w:color w:val="333333"/>
          <w:kern w:val="0"/>
          <w:sz w:val="32"/>
          <w:szCs w:val="32"/>
          <w:vertAlign w:val="subscript"/>
        </w:rPr>
        <w:t>6</w:t>
      </w:r>
      <w:r>
        <w:rPr>
          <w:rFonts w:ascii="仿宋_GB2312" w:eastAsia="仿宋_GB2312" w:hAnsi="仿宋_GB2312" w:cs="仿宋_GB2312" w:hint="eastAsia"/>
          <w:color w:val="333333"/>
          <w:kern w:val="0"/>
          <w:sz w:val="32"/>
          <w:szCs w:val="32"/>
        </w:rPr>
        <w:t>、CHF</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、CHF</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、Cl</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、BCl</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、C</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F</w:t>
      </w:r>
      <w:r>
        <w:rPr>
          <w:rFonts w:ascii="仿宋_GB2312" w:eastAsia="仿宋_GB2312" w:hAnsi="仿宋_GB2312" w:cs="仿宋_GB2312" w:hint="eastAsia"/>
          <w:color w:val="333333"/>
          <w:kern w:val="0"/>
          <w:sz w:val="32"/>
          <w:szCs w:val="32"/>
          <w:vertAlign w:val="subscript"/>
        </w:rPr>
        <w:t>8</w:t>
      </w:r>
      <w:r>
        <w:rPr>
          <w:rFonts w:ascii="仿宋_GB2312" w:eastAsia="仿宋_GB2312" w:hAnsi="仿宋_GB2312" w:cs="仿宋_GB2312" w:hint="eastAsia"/>
          <w:color w:val="333333"/>
          <w:kern w:val="0"/>
          <w:sz w:val="32"/>
          <w:szCs w:val="32"/>
        </w:rPr>
        <w:t>、HF（气态）、HF（液态）、TEOS、C</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F</w:t>
      </w:r>
      <w:r>
        <w:rPr>
          <w:rFonts w:ascii="仿宋_GB2312" w:eastAsia="仿宋_GB2312" w:hAnsi="仿宋_GB2312" w:cs="仿宋_GB2312" w:hint="eastAsia"/>
          <w:color w:val="333333"/>
          <w:kern w:val="0"/>
          <w:sz w:val="32"/>
          <w:szCs w:val="32"/>
          <w:vertAlign w:val="subscript"/>
        </w:rPr>
        <w:t>6</w:t>
      </w:r>
      <w:r>
        <w:rPr>
          <w:rFonts w:ascii="仿宋_GB2312" w:eastAsia="仿宋_GB2312" w:hAnsi="仿宋_GB2312" w:cs="仿宋_GB2312" w:hint="eastAsia"/>
          <w:color w:val="333333"/>
          <w:kern w:val="0"/>
          <w:sz w:val="32"/>
          <w:szCs w:val="32"/>
        </w:rPr>
        <w:t>、SiH</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、NH</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、N</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O、PH</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、AsH</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、SiH</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Cl</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、BF</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、GeH</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、TMAl、SiCl</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、CH</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、HBr、NF</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、B</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H</w:t>
      </w:r>
      <w:r>
        <w:rPr>
          <w:rFonts w:ascii="仿宋_GB2312" w:eastAsia="仿宋_GB2312" w:hAnsi="仿宋_GB2312" w:cs="仿宋_GB2312" w:hint="eastAsia"/>
          <w:color w:val="333333"/>
          <w:kern w:val="0"/>
          <w:sz w:val="32"/>
          <w:szCs w:val="32"/>
          <w:vertAlign w:val="subscript"/>
        </w:rPr>
        <w:t>6</w:t>
      </w:r>
      <w:r>
        <w:rPr>
          <w:rFonts w:ascii="仿宋_GB2312" w:eastAsia="仿宋_GB2312" w:hAnsi="仿宋_GB2312" w:cs="仿宋_GB2312" w:hint="eastAsia"/>
          <w:color w:val="333333"/>
          <w:kern w:val="0"/>
          <w:sz w:val="32"/>
          <w:szCs w:val="32"/>
        </w:rPr>
        <w:t>、WF</w:t>
      </w:r>
      <w:r>
        <w:rPr>
          <w:rFonts w:ascii="仿宋_GB2312" w:eastAsia="仿宋_GB2312" w:hAnsi="仿宋_GB2312" w:cs="仿宋_GB2312" w:hint="eastAsia"/>
          <w:color w:val="333333"/>
          <w:kern w:val="0"/>
          <w:sz w:val="32"/>
          <w:szCs w:val="32"/>
          <w:vertAlign w:val="subscript"/>
        </w:rPr>
        <w:t>6</w:t>
      </w:r>
      <w:r>
        <w:rPr>
          <w:rFonts w:ascii="仿宋_GB2312" w:eastAsia="仿宋_GB2312" w:hAnsi="仿宋_GB2312" w:cs="仿宋_GB2312" w:hint="eastAsia"/>
          <w:color w:val="333333"/>
          <w:kern w:val="0"/>
          <w:sz w:val="32"/>
          <w:szCs w:val="32"/>
        </w:rPr>
        <w:t>、CCl</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、H</w:t>
      </w:r>
      <w:r>
        <w:rPr>
          <w:rFonts w:ascii="仿宋_GB2312" w:eastAsia="仿宋_GB2312" w:hAnsi="仿宋_GB2312" w:cs="仿宋_GB2312" w:hint="eastAsia"/>
          <w:color w:val="333333"/>
          <w:kern w:val="0"/>
          <w:sz w:val="32"/>
          <w:szCs w:val="32"/>
          <w:vertAlign w:val="subscript"/>
        </w:rPr>
        <w:t>3</w:t>
      </w:r>
      <w:r>
        <w:rPr>
          <w:rFonts w:ascii="仿宋_GB2312" w:eastAsia="仿宋_GB2312" w:hAnsi="仿宋_GB2312" w:cs="仿宋_GB2312" w:hint="eastAsia"/>
          <w:color w:val="333333"/>
          <w:kern w:val="0"/>
          <w:sz w:val="32"/>
          <w:szCs w:val="32"/>
        </w:rPr>
        <w:t>PO</w:t>
      </w:r>
      <w:r>
        <w:rPr>
          <w:rFonts w:ascii="仿宋_GB2312" w:eastAsia="仿宋_GB2312" w:hAnsi="仿宋_GB2312" w:cs="仿宋_GB2312" w:hint="eastAsia"/>
          <w:color w:val="333333"/>
          <w:kern w:val="0"/>
          <w:sz w:val="32"/>
          <w:szCs w:val="32"/>
          <w:vertAlign w:val="subscript"/>
        </w:rPr>
        <w:t>4</w:t>
      </w:r>
      <w:r>
        <w:rPr>
          <w:rFonts w:ascii="仿宋_GB2312" w:eastAsia="仿宋_GB2312" w:hAnsi="仿宋_GB2312" w:cs="仿宋_GB2312" w:hint="eastAsia"/>
          <w:color w:val="333333"/>
          <w:kern w:val="0"/>
          <w:sz w:val="32"/>
          <w:szCs w:val="32"/>
        </w:rPr>
        <w:t>（液态）、H</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O</w:t>
      </w:r>
      <w:r>
        <w:rPr>
          <w:rFonts w:ascii="仿宋_GB2312" w:eastAsia="仿宋_GB2312" w:hAnsi="仿宋_GB2312" w:cs="仿宋_GB2312" w:hint="eastAsia"/>
          <w:color w:val="333333"/>
          <w:kern w:val="0"/>
          <w:sz w:val="32"/>
          <w:szCs w:val="32"/>
          <w:vertAlign w:val="subscript"/>
        </w:rPr>
        <w:t>2</w:t>
      </w:r>
      <w:r>
        <w:rPr>
          <w:rFonts w:ascii="仿宋_GB2312" w:eastAsia="仿宋_GB2312" w:hAnsi="仿宋_GB2312" w:cs="仿宋_GB2312" w:hint="eastAsia"/>
          <w:color w:val="333333"/>
          <w:kern w:val="0"/>
          <w:sz w:val="32"/>
          <w:szCs w:val="32"/>
        </w:rPr>
        <w:t>、醋酸、BOE缓冲氢氟酸刻液（含NH3F, HF, 表面活性剂和水）、紫外光刻胶（如AZ系列、聚酰亚胺等）、电子束光刻胶（乳酸乙酯75%-100%）、EBR、HMDS（六甲基二硅烷胺99.7%）、铬刻蚀液（硝酸，硝酸盐溶</w:t>
      </w:r>
      <w:r>
        <w:rPr>
          <w:rFonts w:ascii="仿宋_GB2312" w:eastAsia="仿宋_GB2312" w:hAnsi="仿宋_GB2312" w:cs="仿宋_GB2312" w:hint="eastAsia"/>
          <w:color w:val="333333"/>
          <w:kern w:val="0"/>
          <w:sz w:val="32"/>
          <w:szCs w:val="32"/>
        </w:rPr>
        <w:lastRenderedPageBreak/>
        <w:t>液）、铜刻蚀液（含过硫酸铵溶液）、钛刻蚀液（含盐酸溶液）、NaClO、NaHSO3（固体）、NaOH（固体）、氨水等。</w:t>
      </w:r>
    </w:p>
    <w:p w:rsidR="007E548E" w:rsidRDefault="00B42553">
      <w:pPr>
        <w:ind w:firstLineChars="200" w:firstLine="640"/>
        <w:jc w:val="left"/>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（2）涉及的建筑物包括：3号楼超净间（动力辅助区域、工艺区域），共计2层建筑，约7000平方米 。</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（3）涉及废弃物：微纳技工平台工艺过程使用的副产物、废弃物材料。</w:t>
      </w:r>
    </w:p>
    <w:p w:rsidR="007E548E" w:rsidRDefault="00B42553">
      <w:pPr>
        <w:ind w:firstLineChars="200" w:firstLine="640"/>
        <w:jc w:val="left"/>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 xml:space="preserve">（4）涉及动力辅助设施：暖通空调系统、供配电系统、空压真空系统、特气系统、液氮系统、废水收集处理系统、化学品供应及废液收集系统、超纯水制备系统等其他辅助动力系统。 </w:t>
      </w:r>
    </w:p>
    <w:p w:rsidR="007E548E" w:rsidRDefault="00B42553">
      <w:pPr>
        <w:ind w:firstLineChars="200" w:firstLine="640"/>
        <w:rPr>
          <w:rFonts w:ascii="黑体" w:eastAsia="黑体" w:hAnsi="黑体" w:cs="黑体"/>
          <w:color w:val="333333"/>
          <w:kern w:val="0"/>
          <w:sz w:val="32"/>
          <w:szCs w:val="32"/>
        </w:rPr>
      </w:pPr>
      <w:r>
        <w:rPr>
          <w:rFonts w:ascii="黑体" w:eastAsia="黑体" w:hAnsi="黑体" w:cs="黑体" w:hint="eastAsia"/>
          <w:color w:val="333333"/>
          <w:kern w:val="0"/>
          <w:sz w:val="32"/>
          <w:szCs w:val="32"/>
        </w:rPr>
        <w:t>二、采购内容及范围</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color w:val="333333"/>
          <w:kern w:val="0"/>
          <w:sz w:val="32"/>
          <w:szCs w:val="32"/>
        </w:rPr>
        <w:t>安全设施设计专篇编制（含评审）</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包括：编制依据；项目概况；涉及的危险、有害因素分析及危险程度；设计采用的安全设施和措施；事故预防及应急救援措施；安全管理机构的设置及人员配备；安全设施投资；从业人员培训教育情况；工艺、技术和设备、设施先进性和可靠性分析；安全设施设计结论和建议；预评价中安全对策措施采纳情况说明；预期效果与建议等内容。</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2、职业卫生防护设施设计专篇编制（含评审）</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包括：编制依据；项目概况；过程中产生或可能产生职业危害因素对工作场所和劳动者健康的影响分析预评价；职</w:t>
      </w:r>
      <w:r>
        <w:rPr>
          <w:rFonts w:ascii="仿宋_GB2312" w:eastAsia="仿宋_GB2312" w:hAnsi="仿宋_GB2312" w:cs="仿宋_GB2312" w:hint="eastAsia"/>
          <w:color w:val="333333"/>
          <w:kern w:val="0"/>
          <w:sz w:val="32"/>
          <w:szCs w:val="32"/>
        </w:rPr>
        <w:lastRenderedPageBreak/>
        <w:t>业卫生防护设计措施及控制预期效果；根据实际情况确定防护设施方式及数量；职业卫生防护措施投资概算；存在问题和建议等内容。</w:t>
      </w:r>
    </w:p>
    <w:p w:rsidR="006F0C32" w:rsidRPr="006F0C32" w:rsidRDefault="00B42553" w:rsidP="006F0C32">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3、其他与安全、职业卫生相关技术服务；</w:t>
      </w:r>
    </w:p>
    <w:p w:rsidR="007E548E" w:rsidRDefault="00B42553">
      <w:pPr>
        <w:ind w:firstLineChars="200" w:firstLine="640"/>
        <w:rPr>
          <w:rFonts w:ascii="黑体" w:eastAsia="黑体" w:hAnsi="黑体" w:cs="黑体"/>
          <w:color w:val="333333"/>
          <w:kern w:val="0"/>
          <w:sz w:val="32"/>
          <w:szCs w:val="32"/>
        </w:rPr>
      </w:pPr>
      <w:r>
        <w:rPr>
          <w:rFonts w:ascii="黑体" w:eastAsia="黑体" w:hAnsi="黑体" w:cs="黑体" w:hint="eastAsia"/>
          <w:color w:val="333333"/>
          <w:kern w:val="0"/>
          <w:sz w:val="32"/>
          <w:szCs w:val="32"/>
        </w:rPr>
        <w:t>三、投标人资质要求</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1、具有独立企业法人资格，持有有效的《企业法人营业执照》</w:t>
      </w:r>
      <w:r w:rsidR="005A5EB6">
        <w:rPr>
          <w:rFonts w:ascii="仿宋_GB2312" w:eastAsia="仿宋_GB2312" w:hAnsi="仿宋_GB2312" w:cs="仿宋_GB2312" w:hint="eastAsia"/>
          <w:color w:val="333333"/>
          <w:kern w:val="0"/>
          <w:sz w:val="32"/>
          <w:szCs w:val="32"/>
        </w:rPr>
        <w:t>；</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2、</w:t>
      </w:r>
      <w:r w:rsidR="005A5EB6" w:rsidRPr="005A5EB6">
        <w:rPr>
          <w:rFonts w:ascii="仿宋_GB2312" w:eastAsia="仿宋_GB2312" w:hAnsi="仿宋_GB2312" w:cs="仿宋_GB2312" w:hint="eastAsia"/>
          <w:color w:val="333333"/>
          <w:kern w:val="0"/>
          <w:sz w:val="32"/>
          <w:szCs w:val="32"/>
        </w:rPr>
        <w:t>工程设计资质证书综合</w:t>
      </w:r>
      <w:r w:rsidR="005A5EB6" w:rsidRPr="005A5EB6">
        <w:rPr>
          <w:rFonts w:ascii="仿宋_GB2312" w:eastAsia="仿宋_GB2312" w:hAnsi="仿宋_GB2312" w:cs="仿宋_GB2312"/>
          <w:color w:val="333333"/>
          <w:kern w:val="0"/>
          <w:sz w:val="32"/>
          <w:szCs w:val="32"/>
        </w:rPr>
        <w:t>甲级</w:t>
      </w:r>
      <w:r w:rsidR="005A5EB6" w:rsidRPr="005A5EB6">
        <w:rPr>
          <w:rFonts w:ascii="仿宋_GB2312" w:eastAsia="仿宋_GB2312" w:hAnsi="仿宋_GB2312" w:cs="仿宋_GB2312" w:hint="eastAsia"/>
          <w:color w:val="333333"/>
          <w:kern w:val="0"/>
          <w:sz w:val="32"/>
          <w:szCs w:val="32"/>
        </w:rPr>
        <w:t>或者电子行业甲级资质</w:t>
      </w:r>
      <w:r w:rsidR="005A5EB6">
        <w:rPr>
          <w:rFonts w:ascii="仿宋_GB2312" w:eastAsia="仿宋_GB2312" w:hAnsi="仿宋_GB2312" w:cs="仿宋_GB2312" w:hint="eastAsia"/>
          <w:color w:val="333333"/>
          <w:kern w:val="0"/>
          <w:sz w:val="32"/>
          <w:szCs w:val="32"/>
        </w:rPr>
        <w:t>；</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3、供应商至少提供一份近三年内已完成的安全、职业卫生专篇设计报告编制成果，以中标（成交）通知书/合同/</w:t>
      </w:r>
      <w:r w:rsidR="005A5EB6">
        <w:rPr>
          <w:rFonts w:ascii="仿宋_GB2312" w:eastAsia="仿宋_GB2312" w:hAnsi="仿宋_GB2312" w:cs="仿宋_GB2312" w:hint="eastAsia"/>
          <w:color w:val="333333"/>
          <w:kern w:val="0"/>
          <w:sz w:val="32"/>
          <w:szCs w:val="32"/>
        </w:rPr>
        <w:t>补充协议为准（案例必须是半导体芯片行业）；</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4、不接受联合体投标</w:t>
      </w:r>
      <w:r w:rsidR="005A5EB6">
        <w:rPr>
          <w:rFonts w:ascii="仿宋_GB2312" w:eastAsia="仿宋_GB2312" w:hAnsi="仿宋_GB2312" w:cs="仿宋_GB2312" w:hint="eastAsia"/>
          <w:color w:val="333333"/>
          <w:kern w:val="0"/>
          <w:sz w:val="32"/>
          <w:szCs w:val="32"/>
        </w:rPr>
        <w:t>。</w:t>
      </w:r>
      <w:bookmarkStart w:id="0" w:name="_GoBack"/>
      <w:bookmarkEnd w:id="0"/>
    </w:p>
    <w:p w:rsidR="007E548E" w:rsidRDefault="006F0C32">
      <w:pPr>
        <w:ind w:firstLineChars="200" w:firstLine="640"/>
        <w:rPr>
          <w:rFonts w:ascii="黑体" w:eastAsia="黑体" w:hAnsi="黑体" w:cs="黑体"/>
          <w:color w:val="333333"/>
          <w:kern w:val="0"/>
          <w:sz w:val="32"/>
          <w:szCs w:val="32"/>
        </w:rPr>
      </w:pPr>
      <w:r>
        <w:rPr>
          <w:rFonts w:ascii="黑体" w:eastAsia="黑体" w:hAnsi="黑体" w:cs="黑体" w:hint="eastAsia"/>
          <w:color w:val="333333"/>
          <w:kern w:val="0"/>
          <w:sz w:val="32"/>
          <w:szCs w:val="32"/>
        </w:rPr>
        <w:t>四、</w:t>
      </w:r>
      <w:r w:rsidR="00B42553">
        <w:rPr>
          <w:rFonts w:ascii="黑体" w:eastAsia="黑体" w:hAnsi="黑体" w:cs="黑体" w:hint="eastAsia"/>
          <w:color w:val="333333"/>
          <w:kern w:val="0"/>
          <w:sz w:val="32"/>
          <w:szCs w:val="32"/>
        </w:rPr>
        <w:t>期限</w:t>
      </w:r>
      <w:bookmarkStart w:id="1" w:name="OLE_LINK1"/>
      <w:bookmarkStart w:id="2" w:name="OLE_LINK2"/>
    </w:p>
    <w:p w:rsidR="007E548E" w:rsidRDefault="006F0C32">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合同签订后，</w:t>
      </w:r>
      <w:r w:rsidR="00B42553">
        <w:rPr>
          <w:rFonts w:ascii="仿宋_GB2312" w:eastAsia="仿宋_GB2312" w:hAnsi="仿宋_GB2312" w:cs="仿宋_GB2312" w:hint="eastAsia"/>
          <w:color w:val="333333"/>
          <w:kern w:val="0"/>
          <w:sz w:val="32"/>
          <w:szCs w:val="32"/>
        </w:rPr>
        <w:t>20日历天</w:t>
      </w:r>
      <w:bookmarkEnd w:id="1"/>
      <w:bookmarkEnd w:id="2"/>
    </w:p>
    <w:p w:rsidR="007E548E" w:rsidRDefault="00B42553">
      <w:pPr>
        <w:numPr>
          <w:ilvl w:val="0"/>
          <w:numId w:val="1"/>
        </w:numPr>
        <w:ind w:firstLineChars="200" w:firstLine="640"/>
        <w:rPr>
          <w:rFonts w:ascii="黑体" w:eastAsia="黑体" w:hAnsi="黑体" w:cs="黑体"/>
          <w:color w:val="333333"/>
          <w:kern w:val="0"/>
          <w:sz w:val="32"/>
          <w:szCs w:val="32"/>
        </w:rPr>
      </w:pPr>
      <w:r>
        <w:rPr>
          <w:rFonts w:ascii="黑体" w:eastAsia="黑体" w:hAnsi="黑体" w:cs="黑体" w:hint="eastAsia"/>
          <w:color w:val="333333"/>
          <w:kern w:val="0"/>
          <w:sz w:val="32"/>
          <w:szCs w:val="32"/>
        </w:rPr>
        <w:t>编制质量</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符合国家、地方相关法律、规范要求，并通过专家评审和相关部门备案审查。</w:t>
      </w:r>
    </w:p>
    <w:p w:rsidR="007E548E" w:rsidRDefault="00B42553">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六、付款方式</w:t>
      </w:r>
    </w:p>
    <w:p w:rsidR="00991DAD" w:rsidRDefault="005E2EFE">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最高限价</w:t>
      </w:r>
      <w:r w:rsidR="00991DAD" w:rsidRPr="00A87024">
        <w:rPr>
          <w:rFonts w:ascii="仿宋_GB2312" w:eastAsia="仿宋_GB2312" w:hAnsi="仿宋_GB2312" w:cs="仿宋_GB2312"/>
          <w:color w:val="333333"/>
          <w:kern w:val="0"/>
          <w:sz w:val="32"/>
          <w:szCs w:val="32"/>
        </w:rPr>
        <w:t>2</w:t>
      </w:r>
      <w:r w:rsidR="002434A7" w:rsidRPr="00A87024">
        <w:rPr>
          <w:rFonts w:ascii="仿宋_GB2312" w:eastAsia="仿宋_GB2312" w:hAnsi="仿宋_GB2312" w:cs="仿宋_GB2312"/>
          <w:color w:val="333333"/>
          <w:kern w:val="0"/>
          <w:sz w:val="32"/>
          <w:szCs w:val="32"/>
        </w:rPr>
        <w:t>8</w:t>
      </w:r>
      <w:r w:rsidR="00991DAD" w:rsidRPr="00A87024">
        <w:rPr>
          <w:rFonts w:ascii="仿宋_GB2312" w:eastAsia="仿宋_GB2312" w:hAnsi="仿宋_GB2312" w:cs="仿宋_GB2312" w:hint="eastAsia"/>
          <w:color w:val="333333"/>
          <w:kern w:val="0"/>
          <w:sz w:val="32"/>
          <w:szCs w:val="32"/>
        </w:rPr>
        <w:t>万</w:t>
      </w:r>
      <w:r w:rsidR="00991DAD">
        <w:rPr>
          <w:rFonts w:ascii="仿宋_GB2312" w:eastAsia="仿宋_GB2312" w:hAnsi="仿宋_GB2312" w:cs="仿宋_GB2312" w:hint="eastAsia"/>
          <w:color w:val="333333"/>
          <w:kern w:val="0"/>
          <w:sz w:val="32"/>
          <w:szCs w:val="32"/>
        </w:rPr>
        <w:t>，总价包干</w:t>
      </w:r>
      <w:r>
        <w:rPr>
          <w:rFonts w:ascii="仿宋_GB2312" w:eastAsia="仿宋_GB2312" w:hAnsi="仿宋_GB2312" w:cs="仿宋_GB2312" w:hint="eastAsia"/>
          <w:color w:val="333333"/>
          <w:kern w:val="0"/>
          <w:sz w:val="32"/>
          <w:szCs w:val="32"/>
        </w:rPr>
        <w:t>。</w:t>
      </w:r>
      <w:r w:rsidR="00991DAD">
        <w:rPr>
          <w:rFonts w:ascii="仿宋_GB2312" w:eastAsia="仿宋_GB2312" w:hAnsi="仿宋_GB2312" w:cs="仿宋_GB2312" w:hint="eastAsia"/>
          <w:color w:val="333333"/>
          <w:kern w:val="0"/>
          <w:sz w:val="32"/>
          <w:szCs w:val="32"/>
        </w:rPr>
        <w:t>该价格为安全、职业卫生专篇相关所有技术服务的价格。</w:t>
      </w:r>
    </w:p>
    <w:p w:rsidR="006F0C32" w:rsidRDefault="006F0C32">
      <w:pPr>
        <w:ind w:firstLineChars="200" w:firstLine="640"/>
        <w:rPr>
          <w:rFonts w:ascii="仿宋_GB2312" w:eastAsia="仿宋_GB2312" w:hAnsi="仿宋_GB2312" w:cs="仿宋_GB2312"/>
          <w:color w:val="333333"/>
          <w:kern w:val="0"/>
          <w:sz w:val="32"/>
          <w:szCs w:val="32"/>
        </w:rPr>
      </w:pPr>
      <w:r>
        <w:rPr>
          <w:rFonts w:ascii="仿宋_GB2312" w:eastAsia="仿宋_GB2312" w:hAnsi="仿宋_GB2312" w:cs="仿宋_GB2312" w:hint="eastAsia"/>
          <w:color w:val="333333"/>
          <w:kern w:val="0"/>
          <w:sz w:val="32"/>
          <w:szCs w:val="32"/>
        </w:rPr>
        <w:t>乙方向甲方提交安全、职业卫生报告（送审版8份，备案版8份）</w:t>
      </w:r>
    </w:p>
    <w:tbl>
      <w:tblPr>
        <w:tblW w:w="892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989"/>
        <w:gridCol w:w="2357"/>
        <w:gridCol w:w="1753"/>
        <w:gridCol w:w="3828"/>
      </w:tblGrid>
      <w:tr w:rsidR="007E548E">
        <w:trPr>
          <w:trHeight w:val="580"/>
          <w:tblHeader/>
          <w:jc w:val="center"/>
        </w:trPr>
        <w:tc>
          <w:tcPr>
            <w:tcW w:w="989" w:type="dxa"/>
            <w:vAlign w:val="center"/>
          </w:tcPr>
          <w:p w:rsidR="007E548E" w:rsidRDefault="007E548E">
            <w:pPr>
              <w:adjustRightInd w:val="0"/>
              <w:spacing w:line="360" w:lineRule="auto"/>
              <w:textAlignment w:val="baseline"/>
              <w:rPr>
                <w:rFonts w:ascii="仿宋_GB2312" w:eastAsia="仿宋_GB2312" w:hAnsi="仿宋_GB2312" w:cs="仿宋_GB2312"/>
                <w:b/>
                <w:kern w:val="0"/>
                <w:sz w:val="32"/>
                <w:szCs w:val="32"/>
              </w:rPr>
            </w:pPr>
          </w:p>
        </w:tc>
        <w:tc>
          <w:tcPr>
            <w:tcW w:w="2357" w:type="dxa"/>
            <w:vAlign w:val="center"/>
          </w:tcPr>
          <w:p w:rsidR="007E548E" w:rsidRDefault="00B42553">
            <w:pPr>
              <w:adjustRightInd w:val="0"/>
              <w:spacing w:line="360" w:lineRule="auto"/>
              <w:jc w:val="center"/>
              <w:textAlignment w:val="baseline"/>
              <w:rPr>
                <w:rFonts w:ascii="仿宋_GB2312" w:eastAsia="仿宋_GB2312" w:hAnsi="仿宋_GB2312" w:cs="仿宋_GB2312"/>
                <w:b/>
                <w:kern w:val="0"/>
                <w:sz w:val="32"/>
                <w:szCs w:val="32"/>
              </w:rPr>
            </w:pPr>
            <w:r>
              <w:rPr>
                <w:rFonts w:ascii="仿宋_GB2312" w:eastAsia="仿宋_GB2312" w:hAnsi="仿宋_GB2312" w:cs="仿宋_GB2312" w:hint="eastAsia"/>
                <w:b/>
                <w:kern w:val="0"/>
                <w:sz w:val="32"/>
                <w:szCs w:val="32"/>
              </w:rPr>
              <w:t>支付比例</w:t>
            </w:r>
          </w:p>
        </w:tc>
        <w:tc>
          <w:tcPr>
            <w:tcW w:w="1753" w:type="dxa"/>
          </w:tcPr>
          <w:p w:rsidR="007E548E" w:rsidRDefault="00B42553">
            <w:pPr>
              <w:adjustRightInd w:val="0"/>
              <w:spacing w:line="360" w:lineRule="auto"/>
              <w:jc w:val="center"/>
              <w:textAlignment w:val="baseline"/>
              <w:rPr>
                <w:rFonts w:ascii="仿宋_GB2312" w:eastAsia="仿宋_GB2312" w:hAnsi="仿宋_GB2312" w:cs="仿宋_GB2312"/>
                <w:b/>
                <w:kern w:val="0"/>
                <w:sz w:val="32"/>
                <w:szCs w:val="32"/>
              </w:rPr>
            </w:pPr>
            <w:r>
              <w:rPr>
                <w:rFonts w:ascii="仿宋_GB2312" w:eastAsia="仿宋_GB2312" w:hAnsi="仿宋_GB2312" w:cs="仿宋_GB2312" w:hint="eastAsia"/>
                <w:b/>
                <w:kern w:val="0"/>
                <w:sz w:val="32"/>
                <w:szCs w:val="32"/>
              </w:rPr>
              <w:t>设计费金额  （元）</w:t>
            </w:r>
          </w:p>
        </w:tc>
        <w:tc>
          <w:tcPr>
            <w:tcW w:w="3828" w:type="dxa"/>
            <w:vAlign w:val="center"/>
          </w:tcPr>
          <w:p w:rsidR="007E548E" w:rsidRDefault="00B42553">
            <w:pPr>
              <w:adjustRightInd w:val="0"/>
              <w:spacing w:line="360" w:lineRule="auto"/>
              <w:jc w:val="center"/>
              <w:textAlignment w:val="baseline"/>
              <w:rPr>
                <w:rFonts w:ascii="仿宋_GB2312" w:eastAsia="仿宋_GB2312" w:hAnsi="仿宋_GB2312" w:cs="仿宋_GB2312"/>
                <w:b/>
                <w:kern w:val="0"/>
                <w:sz w:val="32"/>
                <w:szCs w:val="32"/>
              </w:rPr>
            </w:pPr>
            <w:r>
              <w:rPr>
                <w:rFonts w:ascii="仿宋_GB2312" w:eastAsia="仿宋_GB2312" w:hAnsi="仿宋_GB2312" w:cs="仿宋_GB2312" w:hint="eastAsia"/>
                <w:b/>
                <w:kern w:val="0"/>
                <w:sz w:val="32"/>
                <w:szCs w:val="32"/>
              </w:rPr>
              <w:t>付费时间</w:t>
            </w:r>
          </w:p>
        </w:tc>
      </w:tr>
      <w:tr w:rsidR="007E548E">
        <w:trPr>
          <w:trHeight w:val="1186"/>
          <w:jc w:val="center"/>
        </w:trPr>
        <w:tc>
          <w:tcPr>
            <w:tcW w:w="989" w:type="dxa"/>
            <w:tcBorders>
              <w:bottom w:val="single" w:sz="4" w:space="0" w:color="auto"/>
            </w:tcBorders>
            <w:vAlign w:val="center"/>
          </w:tcPr>
          <w:p w:rsidR="007E548E" w:rsidRDefault="00B42553">
            <w:pPr>
              <w:adjustRightInd w:val="0"/>
              <w:spacing w:before="120" w:after="120"/>
              <w:jc w:val="center"/>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第一次</w:t>
            </w:r>
          </w:p>
          <w:p w:rsidR="007E548E" w:rsidRDefault="00B42553">
            <w:pPr>
              <w:adjustRightInd w:val="0"/>
              <w:spacing w:before="120" w:after="120"/>
              <w:jc w:val="center"/>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付款</w:t>
            </w:r>
          </w:p>
        </w:tc>
        <w:tc>
          <w:tcPr>
            <w:tcW w:w="2357" w:type="dxa"/>
            <w:tcBorders>
              <w:bottom w:val="single" w:sz="4" w:space="0" w:color="auto"/>
            </w:tcBorders>
            <w:vAlign w:val="center"/>
          </w:tcPr>
          <w:p w:rsidR="007E548E" w:rsidRDefault="00B42553">
            <w:pPr>
              <w:adjustRightInd w:val="0"/>
              <w:spacing w:before="120" w:after="120"/>
              <w:jc w:val="center"/>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支付本合同总费用的5</w:t>
            </w:r>
            <w:r>
              <w:rPr>
                <w:rFonts w:ascii="仿宋_GB2312" w:eastAsia="仿宋_GB2312" w:hAnsi="仿宋_GB2312" w:cs="仿宋_GB2312" w:hint="eastAsia"/>
                <w:color w:val="000000"/>
                <w:kern w:val="0"/>
                <w:sz w:val="32"/>
                <w:szCs w:val="32"/>
                <w:u w:val="single"/>
              </w:rPr>
              <w:t>0_</w:t>
            </w:r>
            <w:r>
              <w:rPr>
                <w:rFonts w:ascii="仿宋_GB2312" w:eastAsia="仿宋_GB2312" w:hAnsi="仿宋_GB2312" w:cs="仿宋_GB2312" w:hint="eastAsia"/>
                <w:color w:val="000000"/>
                <w:kern w:val="0"/>
                <w:sz w:val="32"/>
                <w:szCs w:val="32"/>
              </w:rPr>
              <w:t>_%</w:t>
            </w:r>
          </w:p>
        </w:tc>
        <w:tc>
          <w:tcPr>
            <w:tcW w:w="1753" w:type="dxa"/>
            <w:tcBorders>
              <w:bottom w:val="single" w:sz="4" w:space="0" w:color="auto"/>
            </w:tcBorders>
            <w:vAlign w:val="center"/>
          </w:tcPr>
          <w:p w:rsidR="007E548E" w:rsidRDefault="00B42553">
            <w:pPr>
              <w:adjustRightInd w:val="0"/>
              <w:spacing w:before="120" w:after="12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¥_</w:t>
            </w:r>
            <w:r>
              <w:rPr>
                <w:rFonts w:ascii="仿宋_GB2312" w:eastAsia="仿宋_GB2312" w:hAnsi="仿宋_GB2312" w:cs="仿宋_GB2312" w:hint="eastAsia"/>
                <w:color w:val="000000"/>
                <w:kern w:val="0"/>
                <w:sz w:val="32"/>
                <w:szCs w:val="32"/>
                <w:u w:val="single"/>
              </w:rPr>
              <w:t xml:space="preserve">      </w:t>
            </w:r>
            <w:r>
              <w:rPr>
                <w:rFonts w:ascii="仿宋_GB2312" w:eastAsia="仿宋_GB2312" w:hAnsi="仿宋_GB2312" w:cs="仿宋_GB2312" w:hint="eastAsia"/>
                <w:color w:val="000000"/>
                <w:kern w:val="0"/>
                <w:sz w:val="32"/>
                <w:szCs w:val="32"/>
              </w:rPr>
              <w:t xml:space="preserve">元 ，            </w:t>
            </w:r>
          </w:p>
          <w:p w:rsidR="007E548E" w:rsidRDefault="00B42553">
            <w:pPr>
              <w:adjustRightInd w:val="0"/>
              <w:spacing w:before="120" w:after="12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（大写：人民币</w:t>
            </w:r>
            <w:r>
              <w:rPr>
                <w:rFonts w:ascii="仿宋_GB2312" w:eastAsia="仿宋_GB2312" w:hAnsi="仿宋_GB2312" w:cs="仿宋_GB2312" w:hint="eastAsia"/>
                <w:color w:val="000000"/>
                <w:kern w:val="0"/>
                <w:sz w:val="32"/>
                <w:szCs w:val="32"/>
                <w:u w:val="single"/>
              </w:rPr>
              <w:t xml:space="preserve">        </w:t>
            </w:r>
            <w:r>
              <w:rPr>
                <w:rFonts w:ascii="仿宋_GB2312" w:eastAsia="仿宋_GB2312" w:hAnsi="仿宋_GB2312" w:cs="仿宋_GB2312" w:hint="eastAsia"/>
                <w:color w:val="000000"/>
                <w:kern w:val="0"/>
                <w:sz w:val="32"/>
                <w:szCs w:val="32"/>
              </w:rPr>
              <w:t>）</w:t>
            </w:r>
          </w:p>
        </w:tc>
        <w:tc>
          <w:tcPr>
            <w:tcW w:w="3828" w:type="dxa"/>
            <w:tcBorders>
              <w:bottom w:val="single" w:sz="4" w:space="0" w:color="auto"/>
            </w:tcBorders>
            <w:vAlign w:val="center"/>
          </w:tcPr>
          <w:p w:rsidR="007E548E" w:rsidRDefault="00B42553">
            <w:pPr>
              <w:adjustRightInd w:val="0"/>
              <w:spacing w:before="120" w:after="12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__</w:t>
            </w:r>
            <w:r>
              <w:rPr>
                <w:rFonts w:ascii="仿宋_GB2312" w:eastAsia="仿宋_GB2312" w:hAnsi="仿宋_GB2312" w:cs="仿宋_GB2312" w:hint="eastAsia"/>
                <w:color w:val="000000"/>
                <w:kern w:val="0"/>
                <w:sz w:val="32"/>
                <w:szCs w:val="32"/>
                <w:u w:val="single"/>
              </w:rPr>
              <w:t>安全\职业卫生设计专篇送审版完成</w:t>
            </w:r>
            <w:r>
              <w:rPr>
                <w:rFonts w:ascii="仿宋_GB2312" w:eastAsia="仿宋_GB2312" w:hAnsi="仿宋_GB2312" w:cs="仿宋_GB2312" w:hint="eastAsia"/>
                <w:color w:val="000000"/>
                <w:kern w:val="0"/>
                <w:sz w:val="32"/>
                <w:szCs w:val="32"/>
              </w:rPr>
              <w:t>_后7日内</w:t>
            </w:r>
          </w:p>
        </w:tc>
      </w:tr>
      <w:tr w:rsidR="007E548E">
        <w:trPr>
          <w:trHeight w:val="1087"/>
          <w:jc w:val="center"/>
        </w:trPr>
        <w:tc>
          <w:tcPr>
            <w:tcW w:w="989" w:type="dxa"/>
            <w:tcBorders>
              <w:bottom w:val="single" w:sz="6" w:space="0" w:color="auto"/>
            </w:tcBorders>
            <w:vAlign w:val="center"/>
          </w:tcPr>
          <w:p w:rsidR="007E548E" w:rsidRDefault="00B42553">
            <w:pPr>
              <w:adjustRightInd w:val="0"/>
              <w:spacing w:before="120" w:after="120"/>
              <w:jc w:val="center"/>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第二次 付款</w:t>
            </w:r>
          </w:p>
        </w:tc>
        <w:tc>
          <w:tcPr>
            <w:tcW w:w="2357" w:type="dxa"/>
            <w:tcBorders>
              <w:bottom w:val="single" w:sz="6" w:space="0" w:color="auto"/>
            </w:tcBorders>
            <w:vAlign w:val="center"/>
          </w:tcPr>
          <w:p w:rsidR="007E548E" w:rsidRDefault="00B42553">
            <w:pPr>
              <w:adjustRightInd w:val="0"/>
              <w:spacing w:before="120" w:after="120"/>
              <w:jc w:val="center"/>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支付本合同总费用的</w:t>
            </w:r>
            <w:r>
              <w:rPr>
                <w:rFonts w:ascii="仿宋_GB2312" w:eastAsia="仿宋_GB2312" w:hAnsi="仿宋_GB2312" w:cs="仿宋_GB2312" w:hint="eastAsia"/>
                <w:color w:val="000000"/>
                <w:kern w:val="0"/>
                <w:sz w:val="32"/>
                <w:szCs w:val="32"/>
                <w:u w:val="single"/>
              </w:rPr>
              <w:t>50</w:t>
            </w:r>
            <w:r>
              <w:rPr>
                <w:rFonts w:ascii="仿宋_GB2312" w:eastAsia="仿宋_GB2312" w:hAnsi="仿宋_GB2312" w:cs="仿宋_GB2312" w:hint="eastAsia"/>
                <w:color w:val="000000"/>
                <w:kern w:val="0"/>
                <w:sz w:val="32"/>
                <w:szCs w:val="32"/>
              </w:rPr>
              <w:t>__%</w:t>
            </w:r>
          </w:p>
        </w:tc>
        <w:tc>
          <w:tcPr>
            <w:tcW w:w="1753" w:type="dxa"/>
            <w:tcBorders>
              <w:bottom w:val="single" w:sz="6" w:space="0" w:color="auto"/>
            </w:tcBorders>
            <w:vAlign w:val="center"/>
          </w:tcPr>
          <w:p w:rsidR="007E548E" w:rsidRDefault="00B42553">
            <w:pPr>
              <w:adjustRightInd w:val="0"/>
              <w:spacing w:before="120" w:after="12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¥_</w:t>
            </w:r>
            <w:r>
              <w:rPr>
                <w:rFonts w:ascii="仿宋_GB2312" w:eastAsia="仿宋_GB2312" w:hAnsi="仿宋_GB2312" w:cs="仿宋_GB2312" w:hint="eastAsia"/>
                <w:color w:val="000000"/>
                <w:kern w:val="0"/>
                <w:sz w:val="32"/>
                <w:szCs w:val="32"/>
                <w:u w:val="single"/>
              </w:rPr>
              <w:t xml:space="preserve">      </w:t>
            </w:r>
            <w:r>
              <w:rPr>
                <w:rFonts w:ascii="仿宋_GB2312" w:eastAsia="仿宋_GB2312" w:hAnsi="仿宋_GB2312" w:cs="仿宋_GB2312" w:hint="eastAsia"/>
                <w:color w:val="000000"/>
                <w:kern w:val="0"/>
                <w:sz w:val="32"/>
                <w:szCs w:val="32"/>
              </w:rPr>
              <w:t xml:space="preserve">元 ，            </w:t>
            </w:r>
          </w:p>
          <w:p w:rsidR="007E548E" w:rsidRDefault="00B42553">
            <w:pPr>
              <w:adjustRightInd w:val="0"/>
              <w:spacing w:before="120" w:after="12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（大写：人民币</w:t>
            </w:r>
            <w:r>
              <w:rPr>
                <w:rFonts w:ascii="仿宋_GB2312" w:eastAsia="仿宋_GB2312" w:hAnsi="仿宋_GB2312" w:cs="仿宋_GB2312" w:hint="eastAsia"/>
                <w:color w:val="000000"/>
                <w:kern w:val="0"/>
                <w:sz w:val="32"/>
                <w:szCs w:val="32"/>
                <w:u w:val="single"/>
              </w:rPr>
              <w:t xml:space="preserve">      </w:t>
            </w:r>
            <w:r>
              <w:rPr>
                <w:rFonts w:ascii="仿宋_GB2312" w:eastAsia="仿宋_GB2312" w:hAnsi="仿宋_GB2312" w:cs="仿宋_GB2312" w:hint="eastAsia"/>
                <w:color w:val="000000"/>
                <w:kern w:val="0"/>
                <w:sz w:val="32"/>
                <w:szCs w:val="32"/>
              </w:rPr>
              <w:t>）</w:t>
            </w:r>
          </w:p>
        </w:tc>
        <w:tc>
          <w:tcPr>
            <w:tcW w:w="3828" w:type="dxa"/>
            <w:tcBorders>
              <w:bottom w:val="single" w:sz="6" w:space="0" w:color="auto"/>
            </w:tcBorders>
            <w:vAlign w:val="center"/>
          </w:tcPr>
          <w:p w:rsidR="007E548E" w:rsidRDefault="00B42553">
            <w:pPr>
              <w:adjustRightInd w:val="0"/>
              <w:spacing w:before="120" w:after="12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__</w:t>
            </w:r>
            <w:r>
              <w:rPr>
                <w:rFonts w:ascii="仿宋_GB2312" w:eastAsia="仿宋_GB2312" w:hAnsi="仿宋_GB2312" w:cs="仿宋_GB2312" w:hint="eastAsia"/>
                <w:color w:val="000000"/>
                <w:kern w:val="0"/>
                <w:sz w:val="32"/>
                <w:szCs w:val="32"/>
                <w:u w:val="single"/>
              </w:rPr>
              <w:t>安全/职业卫生专篇评审结束、根据专家意见修改完成，备案完成</w:t>
            </w:r>
            <w:r>
              <w:rPr>
                <w:rFonts w:ascii="仿宋_GB2312" w:eastAsia="仿宋_GB2312" w:hAnsi="仿宋_GB2312" w:cs="仿宋_GB2312" w:hint="eastAsia"/>
                <w:color w:val="000000"/>
                <w:kern w:val="0"/>
                <w:sz w:val="32"/>
                <w:szCs w:val="32"/>
              </w:rPr>
              <w:t>_。后7日内</w:t>
            </w:r>
          </w:p>
        </w:tc>
      </w:tr>
    </w:tbl>
    <w:p w:rsidR="007E548E" w:rsidRDefault="007E548E">
      <w:pPr>
        <w:rPr>
          <w:rFonts w:ascii="仿宋_GB2312" w:eastAsia="仿宋_GB2312" w:hAnsi="仿宋_GB2312" w:cs="仿宋_GB2312"/>
          <w:color w:val="333333"/>
          <w:kern w:val="0"/>
          <w:sz w:val="32"/>
          <w:szCs w:val="32"/>
        </w:rPr>
      </w:pPr>
    </w:p>
    <w:sectPr w:rsidR="007E54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9CA" w:rsidRDefault="00FE19CA" w:rsidP="006F0C32">
      <w:r>
        <w:separator/>
      </w:r>
    </w:p>
  </w:endnote>
  <w:endnote w:type="continuationSeparator" w:id="0">
    <w:p w:rsidR="00FE19CA" w:rsidRDefault="00FE19CA" w:rsidP="006F0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Arial Unicode MS"/>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9CA" w:rsidRDefault="00FE19CA" w:rsidP="006F0C32">
      <w:r>
        <w:separator/>
      </w:r>
    </w:p>
  </w:footnote>
  <w:footnote w:type="continuationSeparator" w:id="0">
    <w:p w:rsidR="00FE19CA" w:rsidRDefault="00FE19CA" w:rsidP="006F0C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45588"/>
    <w:multiLevelType w:val="singleLevel"/>
    <w:tmpl w:val="1DD45588"/>
    <w:lvl w:ilvl="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09D"/>
    <w:rsid w:val="000075D0"/>
    <w:rsid w:val="000E7192"/>
    <w:rsid w:val="00140311"/>
    <w:rsid w:val="00172F82"/>
    <w:rsid w:val="00216F59"/>
    <w:rsid w:val="002434A7"/>
    <w:rsid w:val="002A73C3"/>
    <w:rsid w:val="003A35D0"/>
    <w:rsid w:val="003B62A1"/>
    <w:rsid w:val="00434C95"/>
    <w:rsid w:val="00473ABD"/>
    <w:rsid w:val="004D2F32"/>
    <w:rsid w:val="004D64D2"/>
    <w:rsid w:val="00516E0E"/>
    <w:rsid w:val="0058517B"/>
    <w:rsid w:val="005A5EB6"/>
    <w:rsid w:val="005E2EFE"/>
    <w:rsid w:val="006471E9"/>
    <w:rsid w:val="0065509D"/>
    <w:rsid w:val="006607E8"/>
    <w:rsid w:val="006F0C32"/>
    <w:rsid w:val="007B3C1F"/>
    <w:rsid w:val="007C391D"/>
    <w:rsid w:val="007E548E"/>
    <w:rsid w:val="007E7B2F"/>
    <w:rsid w:val="008122C9"/>
    <w:rsid w:val="0086743D"/>
    <w:rsid w:val="008937B3"/>
    <w:rsid w:val="008D66A5"/>
    <w:rsid w:val="00942B53"/>
    <w:rsid w:val="00991DAD"/>
    <w:rsid w:val="009E37DF"/>
    <w:rsid w:val="00A0590E"/>
    <w:rsid w:val="00A223E4"/>
    <w:rsid w:val="00A67452"/>
    <w:rsid w:val="00A87024"/>
    <w:rsid w:val="00AC3A86"/>
    <w:rsid w:val="00B42553"/>
    <w:rsid w:val="00B6110A"/>
    <w:rsid w:val="00BA3C82"/>
    <w:rsid w:val="00BD15B0"/>
    <w:rsid w:val="00C2665C"/>
    <w:rsid w:val="00C268DD"/>
    <w:rsid w:val="00C2797C"/>
    <w:rsid w:val="00C3510C"/>
    <w:rsid w:val="00C558B3"/>
    <w:rsid w:val="00DB03EE"/>
    <w:rsid w:val="00DE0649"/>
    <w:rsid w:val="00E550B3"/>
    <w:rsid w:val="00EB4A4C"/>
    <w:rsid w:val="00EF2685"/>
    <w:rsid w:val="00F4001D"/>
    <w:rsid w:val="00F96566"/>
    <w:rsid w:val="00FE19CA"/>
    <w:rsid w:val="00FE7DAB"/>
    <w:rsid w:val="221B22C8"/>
    <w:rsid w:val="4D2062CD"/>
    <w:rsid w:val="552410CE"/>
    <w:rsid w:val="6E152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8D34E"/>
  <w15:docId w15:val="{6C51B23E-6113-458B-8095-0BA4733F7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4</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ZJ</dc:creator>
  <cp:lastModifiedBy>ZJ</cp:lastModifiedBy>
  <cp:revision>48</cp:revision>
  <cp:lastPrinted>2020-09-24T07:44:00Z</cp:lastPrinted>
  <dcterms:created xsi:type="dcterms:W3CDTF">2020-09-24T07:05:00Z</dcterms:created>
  <dcterms:modified xsi:type="dcterms:W3CDTF">2020-09-28T01:46:00Z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