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9509F5">
      <w:pPr>
        <w:jc w:val="center"/>
        <w:rPr>
          <w:rFonts w:hint="eastAsia"/>
          <w:b/>
          <w:bCs/>
          <w:sz w:val="36"/>
        </w:rPr>
      </w:pPr>
      <w:r>
        <w:rPr>
          <w:rFonts w:hint="eastAsia"/>
          <w:b/>
          <w:bCs/>
          <w:sz w:val="36"/>
        </w:rPr>
        <w:t>固 定 资 产 申 购 单</w:t>
      </w:r>
    </w:p>
    <w:p w14:paraId="22A9C82E">
      <w:pPr>
        <w:ind w:firstLine="118" w:firstLineChars="49"/>
        <w:jc w:val="left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申购单位：                                                     日 期：</w:t>
      </w:r>
    </w:p>
    <w:tbl>
      <w:tblPr>
        <w:tblStyle w:val="2"/>
        <w:tblW w:w="96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4"/>
        <w:gridCol w:w="2088"/>
        <w:gridCol w:w="950"/>
        <w:gridCol w:w="119"/>
        <w:gridCol w:w="465"/>
        <w:gridCol w:w="262"/>
        <w:gridCol w:w="366"/>
        <w:gridCol w:w="594"/>
        <w:gridCol w:w="1227"/>
        <w:gridCol w:w="1267"/>
        <w:gridCol w:w="1735"/>
      </w:tblGrid>
      <w:tr w14:paraId="66C35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64" w:type="dxa"/>
            <w:vAlign w:val="center"/>
          </w:tcPr>
          <w:p w14:paraId="75CB8EF2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2088" w:type="dxa"/>
            <w:vAlign w:val="center"/>
          </w:tcPr>
          <w:p w14:paraId="33C24B0B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名      称</w:t>
            </w:r>
          </w:p>
        </w:tc>
        <w:tc>
          <w:tcPr>
            <w:tcW w:w="950" w:type="dxa"/>
            <w:vAlign w:val="center"/>
          </w:tcPr>
          <w:p w14:paraId="179F1FFE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申购</w:t>
            </w:r>
          </w:p>
          <w:p w14:paraId="60815AD8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数量</w:t>
            </w:r>
          </w:p>
        </w:tc>
        <w:tc>
          <w:tcPr>
            <w:tcW w:w="846" w:type="dxa"/>
            <w:gridSpan w:val="3"/>
            <w:vAlign w:val="center"/>
          </w:tcPr>
          <w:p w14:paraId="771BFA45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预算</w:t>
            </w:r>
          </w:p>
          <w:p w14:paraId="3F6101CE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单价</w:t>
            </w:r>
          </w:p>
          <w:p w14:paraId="68C744F2">
            <w:pPr>
              <w:jc w:val="center"/>
              <w:rPr>
                <w:rFonts w:hint="eastAsia"/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（万元）</w:t>
            </w:r>
          </w:p>
        </w:tc>
        <w:tc>
          <w:tcPr>
            <w:tcW w:w="960" w:type="dxa"/>
            <w:gridSpan w:val="2"/>
            <w:vAlign w:val="center"/>
          </w:tcPr>
          <w:p w14:paraId="0C6F1EF2">
            <w:pPr>
              <w:jc w:val="left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预算    </w:t>
            </w:r>
          </w:p>
          <w:p w14:paraId="6B551F35">
            <w:pPr>
              <w:jc w:val="left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金额</w:t>
            </w:r>
          </w:p>
          <w:p w14:paraId="69FDB140">
            <w:pPr>
              <w:jc w:val="left"/>
              <w:rPr>
                <w:rFonts w:hint="eastAsia"/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（万元）</w:t>
            </w:r>
          </w:p>
        </w:tc>
        <w:tc>
          <w:tcPr>
            <w:tcW w:w="2494" w:type="dxa"/>
            <w:gridSpan w:val="2"/>
            <w:vAlign w:val="center"/>
          </w:tcPr>
          <w:p w14:paraId="5F6A2CD1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建议型号</w:t>
            </w:r>
          </w:p>
        </w:tc>
        <w:tc>
          <w:tcPr>
            <w:tcW w:w="1735" w:type="dxa"/>
            <w:vAlign w:val="center"/>
          </w:tcPr>
          <w:p w14:paraId="0D9EF8D0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主要技术指标配置及功能需求</w:t>
            </w:r>
          </w:p>
        </w:tc>
      </w:tr>
      <w:tr w14:paraId="416FB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4" w:type="dxa"/>
            <w:vAlign w:val="center"/>
          </w:tcPr>
          <w:p w14:paraId="7750A262">
            <w:pPr>
              <w:jc w:val="center"/>
              <w:rPr>
                <w:rFonts w:hint="eastAsia"/>
                <w:b/>
                <w:bCs/>
              </w:rPr>
            </w:pPr>
            <w:bookmarkStart w:id="0" w:name="OLE_LINK1"/>
            <w:r>
              <w:rPr>
                <w:rFonts w:hint="eastAsia"/>
                <w:b/>
                <w:bCs/>
              </w:rPr>
              <w:t>1</w:t>
            </w:r>
          </w:p>
        </w:tc>
        <w:tc>
          <w:tcPr>
            <w:tcW w:w="2088" w:type="dxa"/>
            <w:vAlign w:val="top"/>
          </w:tcPr>
          <w:p w14:paraId="3D6CAC23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振荡培养箱</w:t>
            </w:r>
          </w:p>
        </w:tc>
        <w:tc>
          <w:tcPr>
            <w:tcW w:w="950" w:type="dxa"/>
            <w:vAlign w:val="center"/>
          </w:tcPr>
          <w:p w14:paraId="61D3BE40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lang w:val="en-US" w:eastAsia="zh-CN"/>
              </w:rPr>
              <w:t>3</w:t>
            </w:r>
          </w:p>
        </w:tc>
        <w:tc>
          <w:tcPr>
            <w:tcW w:w="846" w:type="dxa"/>
            <w:gridSpan w:val="3"/>
            <w:vAlign w:val="top"/>
          </w:tcPr>
          <w:p w14:paraId="423A86E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1"/>
                <w:u w:val="none"/>
                <w:lang w:val="en-US" w:eastAsia="zh-CN" w:bidi="ar"/>
              </w:rPr>
              <w:t>5.15</w:t>
            </w:r>
          </w:p>
        </w:tc>
        <w:tc>
          <w:tcPr>
            <w:tcW w:w="960" w:type="dxa"/>
            <w:gridSpan w:val="2"/>
            <w:vAlign w:val="top"/>
          </w:tcPr>
          <w:p w14:paraId="544A378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sz w:val="21"/>
                <w:u w:val="none"/>
                <w:lang w:val="en-US" w:eastAsia="zh-CN" w:bidi="ar"/>
              </w:rPr>
              <w:t>15.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2494" w:type="dxa"/>
            <w:gridSpan w:val="2"/>
            <w:vAlign w:val="top"/>
          </w:tcPr>
          <w:p w14:paraId="28C1D2CF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ZQZY-CR8</w:t>
            </w:r>
          </w:p>
        </w:tc>
        <w:tc>
          <w:tcPr>
            <w:tcW w:w="1735" w:type="dxa"/>
            <w:vAlign w:val="center"/>
          </w:tcPr>
          <w:p w14:paraId="212A296E">
            <w:pPr>
              <w:jc w:val="center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见附表</w:t>
            </w:r>
          </w:p>
        </w:tc>
      </w:tr>
      <w:bookmarkEnd w:id="0"/>
      <w:tr w14:paraId="56267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4" w:type="dxa"/>
            <w:vAlign w:val="center"/>
          </w:tcPr>
          <w:p w14:paraId="4566B89A">
            <w:pPr>
              <w:jc w:val="center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2</w:t>
            </w:r>
          </w:p>
        </w:tc>
        <w:tc>
          <w:tcPr>
            <w:tcW w:w="2088" w:type="dxa"/>
            <w:vAlign w:val="top"/>
          </w:tcPr>
          <w:p w14:paraId="312C5E1E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超净工作台</w:t>
            </w:r>
          </w:p>
        </w:tc>
        <w:tc>
          <w:tcPr>
            <w:tcW w:w="950" w:type="dxa"/>
            <w:vAlign w:val="center"/>
          </w:tcPr>
          <w:p w14:paraId="4A2A47F9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846" w:type="dxa"/>
            <w:gridSpan w:val="3"/>
            <w:vAlign w:val="top"/>
          </w:tcPr>
          <w:p w14:paraId="5407305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1.3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gridSpan w:val="2"/>
            <w:vAlign w:val="top"/>
          </w:tcPr>
          <w:p w14:paraId="62DB373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1.3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494" w:type="dxa"/>
            <w:gridSpan w:val="2"/>
            <w:vAlign w:val="top"/>
          </w:tcPr>
          <w:p w14:paraId="5DF9BFA3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ZC-CJ-1FD</w:t>
            </w:r>
          </w:p>
        </w:tc>
        <w:tc>
          <w:tcPr>
            <w:tcW w:w="1735" w:type="dxa"/>
            <w:vAlign w:val="center"/>
          </w:tcPr>
          <w:p w14:paraId="26EBB6B2">
            <w:pPr>
              <w:jc w:val="center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见附表</w:t>
            </w:r>
          </w:p>
        </w:tc>
      </w:tr>
      <w:tr w14:paraId="39130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  <w:jc w:val="center"/>
        </w:trPr>
        <w:tc>
          <w:tcPr>
            <w:tcW w:w="564" w:type="dxa"/>
            <w:vAlign w:val="center"/>
          </w:tcPr>
          <w:p w14:paraId="3C1AB3BD">
            <w:pPr>
              <w:jc w:val="center"/>
              <w:rPr>
                <w:rFonts w:hint="eastAsia" w:eastAsia="宋体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3</w:t>
            </w:r>
          </w:p>
        </w:tc>
        <w:tc>
          <w:tcPr>
            <w:tcW w:w="2088" w:type="dxa"/>
            <w:vAlign w:val="center"/>
          </w:tcPr>
          <w:p w14:paraId="4FD53E10">
            <w:pPr>
              <w:jc w:val="center"/>
              <w:rPr>
                <w:rFonts w:hint="default" w:ascii="宋体" w:hAnsi="宋体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超低温冰箱</w:t>
            </w:r>
          </w:p>
        </w:tc>
        <w:tc>
          <w:tcPr>
            <w:tcW w:w="950" w:type="dxa"/>
            <w:vAlign w:val="center"/>
          </w:tcPr>
          <w:p w14:paraId="426CDB25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846" w:type="dxa"/>
            <w:gridSpan w:val="3"/>
            <w:vAlign w:val="center"/>
          </w:tcPr>
          <w:p w14:paraId="525222F0">
            <w:pPr>
              <w:jc w:val="center"/>
              <w:rPr>
                <w:rFonts w:hint="default" w:ascii="Times New Roman" w:hAnsi="Times New Roman" w:eastAsia="宋体" w:cs="Times New Roman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 w:eastAsia="zh-CN"/>
              </w:rPr>
              <w:t>7.8</w:t>
            </w:r>
          </w:p>
        </w:tc>
        <w:tc>
          <w:tcPr>
            <w:tcW w:w="960" w:type="dxa"/>
            <w:gridSpan w:val="2"/>
            <w:vAlign w:val="center"/>
          </w:tcPr>
          <w:p w14:paraId="619B6292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val="en-US" w:eastAsia="zh-CN"/>
              </w:rPr>
              <w:t>7.8</w:t>
            </w:r>
          </w:p>
        </w:tc>
        <w:tc>
          <w:tcPr>
            <w:tcW w:w="2494" w:type="dxa"/>
            <w:gridSpan w:val="2"/>
            <w:vAlign w:val="center"/>
          </w:tcPr>
          <w:p w14:paraId="6200F494">
            <w:pPr>
              <w:jc w:val="center"/>
              <w:rPr>
                <w:rFonts w:hint="default" w:ascii="宋体" w:hAnsi="宋体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DW-86L726G</w:t>
            </w:r>
          </w:p>
        </w:tc>
        <w:tc>
          <w:tcPr>
            <w:tcW w:w="1735" w:type="dxa"/>
            <w:vAlign w:val="center"/>
          </w:tcPr>
          <w:p w14:paraId="4E8B5E7E">
            <w:pPr>
              <w:jc w:val="center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见附表</w:t>
            </w:r>
          </w:p>
        </w:tc>
      </w:tr>
      <w:tr w14:paraId="394D4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exact"/>
          <w:jc w:val="center"/>
        </w:trPr>
        <w:tc>
          <w:tcPr>
            <w:tcW w:w="564" w:type="dxa"/>
            <w:vAlign w:val="center"/>
          </w:tcPr>
          <w:p w14:paraId="1C476ABD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2088" w:type="dxa"/>
            <w:vAlign w:val="center"/>
          </w:tcPr>
          <w:p w14:paraId="7E2B156E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合  计</w:t>
            </w:r>
          </w:p>
        </w:tc>
        <w:tc>
          <w:tcPr>
            <w:tcW w:w="950" w:type="dxa"/>
            <w:vAlign w:val="center"/>
          </w:tcPr>
          <w:p w14:paraId="159B2D10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846" w:type="dxa"/>
            <w:gridSpan w:val="3"/>
            <w:vAlign w:val="center"/>
          </w:tcPr>
          <w:p w14:paraId="11DB1EE7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960" w:type="dxa"/>
            <w:gridSpan w:val="2"/>
            <w:vAlign w:val="center"/>
          </w:tcPr>
          <w:p w14:paraId="0D93AA00">
            <w:pPr>
              <w:jc w:val="center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24.6</w:t>
            </w:r>
          </w:p>
        </w:tc>
        <w:tc>
          <w:tcPr>
            <w:tcW w:w="2494" w:type="dxa"/>
            <w:gridSpan w:val="2"/>
            <w:vAlign w:val="center"/>
          </w:tcPr>
          <w:p w14:paraId="771D71EC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1735" w:type="dxa"/>
            <w:vAlign w:val="center"/>
          </w:tcPr>
          <w:p w14:paraId="5002076B">
            <w:pPr>
              <w:spacing w:line="300" w:lineRule="exact"/>
              <w:jc w:val="center"/>
              <w:rPr>
                <w:rFonts w:hint="eastAsia" w:ascii="宋体" w:hAnsi="宋体"/>
                <w:sz w:val="20"/>
                <w:szCs w:val="20"/>
              </w:rPr>
            </w:pPr>
          </w:p>
        </w:tc>
      </w:tr>
      <w:tr w14:paraId="59416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9637" w:type="dxa"/>
            <w:gridSpan w:val="11"/>
            <w:vAlign w:val="center"/>
          </w:tcPr>
          <w:p w14:paraId="2B86979C">
            <w:pPr>
              <w:rPr>
                <w:rFonts w:hint="default" w:eastAsia="宋体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</w:rPr>
              <w:t>资产购置用途及存放地点：</w:t>
            </w:r>
            <w:r>
              <w:rPr>
                <w:rFonts w:hint="eastAsia"/>
                <w:b/>
                <w:bCs/>
                <w:lang w:val="en-US" w:eastAsia="zh-CN"/>
              </w:rPr>
              <w:t>存放药学院细胞房</w:t>
            </w:r>
          </w:p>
        </w:tc>
      </w:tr>
      <w:tr w14:paraId="2F338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  <w:jc w:val="center"/>
        </w:trPr>
        <w:tc>
          <w:tcPr>
            <w:tcW w:w="2652" w:type="dxa"/>
            <w:gridSpan w:val="2"/>
            <w:vAlign w:val="center"/>
          </w:tcPr>
          <w:p w14:paraId="08CE71AA">
            <w:pPr>
              <w:rPr>
                <w:rFonts w:hint="eastAsia"/>
                <w:b/>
                <w:bCs/>
                <w:color w:val="FF0000"/>
              </w:rPr>
            </w:pPr>
            <w:r>
              <w:rPr>
                <w:rFonts w:hint="eastAsia"/>
                <w:b/>
                <w:bCs/>
                <w:color w:val="FF0000"/>
              </w:rPr>
              <w:t>10万元以上设备查询情况</w:t>
            </w:r>
          </w:p>
        </w:tc>
        <w:tc>
          <w:tcPr>
            <w:tcW w:w="1069" w:type="dxa"/>
            <w:gridSpan w:val="2"/>
            <w:vAlign w:val="center"/>
          </w:tcPr>
          <w:p w14:paraId="0D94FC61">
            <w:pPr>
              <w:rPr>
                <w:rFonts w:hint="eastAsia"/>
                <w:b/>
                <w:bCs/>
                <w:color w:val="FF0000"/>
              </w:rPr>
            </w:pPr>
            <w:r>
              <w:rPr>
                <w:rFonts w:hint="eastAsia"/>
                <w:b/>
                <w:bCs/>
                <w:color w:val="FF0000"/>
              </w:rPr>
              <w:t>无</w:t>
            </w:r>
          </w:p>
        </w:tc>
        <w:tc>
          <w:tcPr>
            <w:tcW w:w="465" w:type="dxa"/>
            <w:vAlign w:val="center"/>
          </w:tcPr>
          <w:p w14:paraId="6ED66D94">
            <w:pPr>
              <w:rPr>
                <w:rFonts w:hint="eastAsia"/>
                <w:b/>
                <w:bCs/>
                <w:color w:val="FF0000"/>
              </w:rPr>
            </w:pPr>
            <w:r>
              <w:rPr>
                <w:rFonts w:hint="eastAsia"/>
                <w:b/>
                <w:bCs/>
                <w:color w:val="FF0000"/>
              </w:rPr>
              <w:t>有</w:t>
            </w:r>
          </w:p>
        </w:tc>
        <w:tc>
          <w:tcPr>
            <w:tcW w:w="5451" w:type="dxa"/>
            <w:gridSpan w:val="6"/>
            <w:vAlign w:val="center"/>
          </w:tcPr>
          <w:p w14:paraId="427E6FD7">
            <w:pPr>
              <w:rPr>
                <w:rFonts w:hint="eastAsia"/>
                <w:b/>
                <w:bCs/>
                <w:color w:val="FF0000"/>
              </w:rPr>
            </w:pPr>
            <w:r>
              <w:rPr>
                <w:rFonts w:hint="eastAsia"/>
                <w:b/>
                <w:bCs/>
                <w:color w:val="FF0000"/>
              </w:rPr>
              <w:t>无</w:t>
            </w:r>
          </w:p>
        </w:tc>
      </w:tr>
      <w:tr w14:paraId="7EFE9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7" w:hRule="atLeast"/>
          <w:jc w:val="center"/>
        </w:trPr>
        <w:tc>
          <w:tcPr>
            <w:tcW w:w="2652" w:type="dxa"/>
            <w:gridSpan w:val="2"/>
            <w:vAlign w:val="center"/>
          </w:tcPr>
          <w:p w14:paraId="231B3143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后 勤 管 理 部 门 意 见</w:t>
            </w:r>
          </w:p>
          <w:p w14:paraId="138FAB9F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（修缮科）</w:t>
            </w:r>
          </w:p>
        </w:tc>
        <w:tc>
          <w:tcPr>
            <w:tcW w:w="3983" w:type="dxa"/>
            <w:gridSpan w:val="7"/>
            <w:vAlign w:val="center"/>
          </w:tcPr>
          <w:p w14:paraId="356AD34C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财  务  处  意  见</w:t>
            </w:r>
          </w:p>
        </w:tc>
        <w:tc>
          <w:tcPr>
            <w:tcW w:w="3002" w:type="dxa"/>
            <w:gridSpan w:val="2"/>
            <w:vAlign w:val="center"/>
          </w:tcPr>
          <w:p w14:paraId="35CC475C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资  产 管 理 处 意 见</w:t>
            </w:r>
          </w:p>
        </w:tc>
      </w:tr>
      <w:tr w14:paraId="7913D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98" w:hRule="atLeast"/>
          <w:jc w:val="center"/>
        </w:trPr>
        <w:tc>
          <w:tcPr>
            <w:tcW w:w="2652" w:type="dxa"/>
            <w:gridSpan w:val="2"/>
            <w:vAlign w:val="center"/>
          </w:tcPr>
          <w:p w14:paraId="46EDCCBC">
            <w:pPr>
              <w:rPr>
                <w:rFonts w:hint="eastAsia"/>
                <w:b/>
                <w:bCs/>
              </w:rPr>
            </w:pPr>
          </w:p>
          <w:p w14:paraId="597D1BF3">
            <w:pPr>
              <w:rPr>
                <w:rFonts w:hint="eastAsia"/>
                <w:b/>
                <w:bCs/>
              </w:rPr>
            </w:pPr>
          </w:p>
          <w:p w14:paraId="4FFFC313">
            <w:pPr>
              <w:rPr>
                <w:rFonts w:hint="eastAsia"/>
                <w:b/>
                <w:bCs/>
              </w:rPr>
            </w:pPr>
          </w:p>
          <w:p w14:paraId="4E43BEEE">
            <w:pPr>
              <w:rPr>
                <w:rFonts w:hint="eastAsia"/>
                <w:b/>
                <w:bCs/>
              </w:rPr>
            </w:pPr>
          </w:p>
          <w:p w14:paraId="0555FD50">
            <w:pPr>
              <w:jc w:val="center"/>
              <w:rPr>
                <w:rFonts w:hint="eastAsia"/>
                <w:b/>
                <w:bCs/>
              </w:rPr>
            </w:pPr>
          </w:p>
          <w:p w14:paraId="5EE4EE91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      年    月    日</w:t>
            </w:r>
          </w:p>
        </w:tc>
        <w:tc>
          <w:tcPr>
            <w:tcW w:w="3983" w:type="dxa"/>
            <w:gridSpan w:val="7"/>
            <w:vAlign w:val="center"/>
          </w:tcPr>
          <w:p w14:paraId="00F36C06">
            <w:pPr>
              <w:rPr>
                <w:rFonts w:hint="eastAsia"/>
                <w:b/>
                <w:bCs/>
              </w:rPr>
            </w:pPr>
          </w:p>
          <w:p w14:paraId="5348B665">
            <w:pPr>
              <w:rPr>
                <w:rFonts w:hint="eastAsia"/>
                <w:b/>
                <w:bCs/>
              </w:rPr>
            </w:pPr>
          </w:p>
          <w:p w14:paraId="061E8671">
            <w:pPr>
              <w:rPr>
                <w:rFonts w:hint="eastAsia"/>
                <w:b/>
                <w:bCs/>
              </w:rPr>
            </w:pPr>
          </w:p>
          <w:p w14:paraId="1BCBE0A5">
            <w:pPr>
              <w:rPr>
                <w:rFonts w:hint="eastAsia"/>
                <w:b/>
                <w:bCs/>
              </w:rPr>
            </w:pPr>
          </w:p>
          <w:p w14:paraId="06293512">
            <w:pPr>
              <w:rPr>
                <w:rFonts w:hint="eastAsia"/>
                <w:b/>
                <w:bCs/>
              </w:rPr>
            </w:pPr>
          </w:p>
          <w:p w14:paraId="4F8820CC">
            <w:pPr>
              <w:ind w:firstLine="1562" w:firstLineChars="741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年    月    日</w:t>
            </w:r>
          </w:p>
        </w:tc>
        <w:tc>
          <w:tcPr>
            <w:tcW w:w="3002" w:type="dxa"/>
            <w:gridSpan w:val="2"/>
            <w:vAlign w:val="center"/>
          </w:tcPr>
          <w:p w14:paraId="65204BDE">
            <w:pPr>
              <w:rPr>
                <w:rFonts w:hint="eastAsia"/>
                <w:b/>
                <w:bCs/>
              </w:rPr>
            </w:pPr>
          </w:p>
          <w:p w14:paraId="4001EBEB">
            <w:pPr>
              <w:rPr>
                <w:rFonts w:hint="eastAsia"/>
                <w:b/>
                <w:bCs/>
              </w:rPr>
            </w:pPr>
          </w:p>
          <w:p w14:paraId="44A62D55">
            <w:pPr>
              <w:rPr>
                <w:rFonts w:hint="eastAsia"/>
                <w:b/>
                <w:bCs/>
              </w:rPr>
            </w:pPr>
          </w:p>
          <w:p w14:paraId="312425DE">
            <w:pPr>
              <w:rPr>
                <w:rFonts w:hint="eastAsia"/>
                <w:b/>
                <w:bCs/>
              </w:rPr>
            </w:pPr>
          </w:p>
          <w:p w14:paraId="4E9E4B4F">
            <w:pPr>
              <w:rPr>
                <w:rFonts w:hint="eastAsia"/>
                <w:b/>
                <w:bCs/>
              </w:rPr>
            </w:pPr>
          </w:p>
          <w:p w14:paraId="4BD1F9A6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        年    月    日</w:t>
            </w:r>
          </w:p>
        </w:tc>
      </w:tr>
      <w:tr w14:paraId="5AD3A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36" w:hRule="atLeast"/>
          <w:jc w:val="center"/>
        </w:trPr>
        <w:tc>
          <w:tcPr>
            <w:tcW w:w="4814" w:type="dxa"/>
            <w:gridSpan w:val="7"/>
            <w:vAlign w:val="center"/>
          </w:tcPr>
          <w:p w14:paraId="7A4CD6E1">
            <w:pPr>
              <w:rPr>
                <w:rFonts w:hint="eastAsia"/>
                <w:b/>
                <w:bCs/>
              </w:rPr>
            </w:pPr>
          </w:p>
          <w:p w14:paraId="21F718A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经费负责人审批（经费来源）：</w:t>
            </w:r>
          </w:p>
          <w:p w14:paraId="3DEA09A7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   </w:t>
            </w:r>
          </w:p>
          <w:p w14:paraId="5B95C4CE">
            <w:pPr>
              <w:rPr>
                <w:rFonts w:hint="eastAsia"/>
                <w:b/>
                <w:bCs/>
              </w:rPr>
            </w:pPr>
          </w:p>
          <w:p w14:paraId="40EF00A0">
            <w:pPr>
              <w:tabs>
                <w:tab w:val="left" w:pos="7992"/>
                <w:tab w:val="left" w:pos="8382"/>
                <w:tab w:val="left" w:pos="8832"/>
              </w:tabs>
              <w:ind w:firstLine="6820" w:firstLineChars="3235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    </w:t>
            </w:r>
          </w:p>
        </w:tc>
        <w:tc>
          <w:tcPr>
            <w:tcW w:w="4823" w:type="dxa"/>
            <w:gridSpan w:val="4"/>
            <w:vAlign w:val="top"/>
          </w:tcPr>
          <w:p w14:paraId="6DB29CD2">
            <w:pPr>
              <w:tabs>
                <w:tab w:val="left" w:pos="7992"/>
                <w:tab w:val="left" w:pos="8382"/>
                <w:tab w:val="left" w:pos="8832"/>
              </w:tabs>
              <w:ind w:firstLine="6820" w:firstLineChars="3235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分分管校领导审批：</w:t>
            </w:r>
          </w:p>
        </w:tc>
      </w:tr>
      <w:tr w14:paraId="0F77E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3" w:hRule="atLeast"/>
          <w:jc w:val="center"/>
        </w:trPr>
        <w:tc>
          <w:tcPr>
            <w:tcW w:w="9637" w:type="dxa"/>
            <w:gridSpan w:val="11"/>
            <w:vAlign w:val="center"/>
          </w:tcPr>
          <w:p w14:paraId="793F07DC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经费指标划转</w:t>
            </w:r>
          </w:p>
          <w:p w14:paraId="1C3059AF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财务经办人：</w:t>
            </w:r>
          </w:p>
          <w:p w14:paraId="17796614">
            <w:pPr>
              <w:ind w:firstLine="6807" w:firstLineChars="3229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    年   月    日</w:t>
            </w:r>
          </w:p>
        </w:tc>
      </w:tr>
    </w:tbl>
    <w:p w14:paraId="46336BEC">
      <w:pPr>
        <w:ind w:firstLine="211" w:firstLineChars="100"/>
        <w:rPr>
          <w:rFonts w:hint="eastAsia"/>
          <w:b/>
          <w:bCs/>
        </w:rPr>
      </w:pPr>
      <w:r>
        <w:rPr>
          <w:rFonts w:hint="eastAsia"/>
          <w:b/>
          <w:bCs/>
        </w:rPr>
        <w:t>经办人：                                                  联系电话：</w:t>
      </w:r>
    </w:p>
    <w:p w14:paraId="10B193AA">
      <w:pPr>
        <w:ind w:left="415" w:hanging="415" w:hangingChars="197"/>
        <w:rPr>
          <w:rFonts w:hint="eastAsia"/>
          <w:b/>
          <w:bCs/>
        </w:rPr>
      </w:pPr>
      <w:r>
        <w:rPr>
          <w:rFonts w:hint="eastAsia"/>
          <w:b/>
          <w:bCs/>
        </w:rPr>
        <w:t>注：1、后勤管理部门负责审核拟购设备使用用房、水及电配套设施是否完备；财务处负责审核资金落实情况；资产处负责审核拟购设备是否超标。</w:t>
      </w:r>
    </w:p>
    <w:p w14:paraId="4E90428B">
      <w:pPr>
        <w:numPr>
          <w:ilvl w:val="0"/>
          <w:numId w:val="1"/>
        </w:numPr>
        <w:ind w:firstLine="413" w:firstLineChars="196"/>
        <w:rPr>
          <w:rFonts w:hint="eastAsia"/>
          <w:b/>
          <w:bCs/>
        </w:rPr>
      </w:pPr>
      <w:r>
        <w:rPr>
          <w:rFonts w:hint="eastAsia"/>
          <w:b/>
          <w:bCs/>
        </w:rPr>
        <w:t>主要技术指标、配置及功能需求填写在附表中</w:t>
      </w:r>
    </w:p>
    <w:p w14:paraId="3F341A79">
      <w:pPr>
        <w:numPr>
          <w:ilvl w:val="0"/>
          <w:numId w:val="1"/>
        </w:numPr>
        <w:ind w:firstLine="413" w:firstLineChars="196"/>
        <w:rPr>
          <w:rFonts w:hint="eastAsia"/>
          <w:b/>
          <w:bCs/>
        </w:rPr>
      </w:pPr>
      <w:r>
        <w:rPr>
          <w:rFonts w:hint="eastAsia"/>
          <w:b/>
          <w:bCs/>
        </w:rPr>
        <w:t>如申购单为网上超市购买产品（附表打印网上超市选购产品首页）</w:t>
      </w:r>
    </w:p>
    <w:p w14:paraId="27A10AC6">
      <w:pPr>
        <w:ind w:firstLine="422" w:firstLineChars="200"/>
        <w:rPr>
          <w:rFonts w:hint="eastAsia"/>
          <w:b/>
          <w:bCs/>
        </w:rPr>
      </w:pPr>
      <w:r>
        <w:rPr>
          <w:rFonts w:hint="eastAsia"/>
          <w:b/>
          <w:bCs/>
        </w:rPr>
        <w:t>4、一次性采购量在30万元以上（含单台件和批量）需分管校领导审批。</w:t>
      </w:r>
    </w:p>
    <w:p w14:paraId="21422EAB">
      <w:pPr>
        <w:ind w:left="315" w:leftChars="150" w:firstLine="105" w:firstLineChars="50"/>
        <w:rPr>
          <w:rFonts w:hint="eastAsia"/>
          <w:b/>
          <w:bCs/>
          <w:color w:val="FF0000"/>
        </w:rPr>
      </w:pPr>
      <w:r>
        <w:rPr>
          <w:rFonts w:hint="eastAsia"/>
          <w:b/>
          <w:bCs/>
          <w:color w:val="FF0000"/>
        </w:rPr>
        <w:t>5、10万元以上设备查询情况：查询情况：有，须说明。（存量对比说明，购置单台件10万元以上的设备，要与学校设备存量情况对比，对已有存量设备的新增设备进行说明）</w:t>
      </w:r>
    </w:p>
    <w:p w14:paraId="7D69E1EC">
      <w:pPr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br w:type="page"/>
      </w:r>
      <w:r>
        <w:rPr>
          <w:rFonts w:hint="eastAsia"/>
          <w:b/>
          <w:bCs/>
          <w:sz w:val="28"/>
          <w:szCs w:val="28"/>
        </w:rPr>
        <w:t>附 表：</w:t>
      </w:r>
    </w:p>
    <w:tbl>
      <w:tblPr>
        <w:tblStyle w:val="2"/>
        <w:tblW w:w="9599" w:type="dxa"/>
        <w:tblInd w:w="-17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1"/>
        <w:gridCol w:w="817"/>
        <w:gridCol w:w="8021"/>
      </w:tblGrid>
      <w:tr w14:paraId="221E5D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139D0A">
            <w:pPr>
              <w:widowControl/>
              <w:jc w:val="center"/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15681A">
            <w:pPr>
              <w:widowControl/>
              <w:jc w:val="center"/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lang w:bidi="ar"/>
              </w:rPr>
              <w:t>设备</w:t>
            </w:r>
          </w:p>
          <w:p w14:paraId="5D9207A7">
            <w:pPr>
              <w:widowControl/>
              <w:jc w:val="center"/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lang w:bidi="ar"/>
              </w:rPr>
              <w:t>名称</w:t>
            </w:r>
          </w:p>
        </w:tc>
        <w:tc>
          <w:tcPr>
            <w:tcW w:w="8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B9696A">
            <w:pPr>
              <w:widowControl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主要技术指标、配置及功能需求</w:t>
            </w:r>
          </w:p>
        </w:tc>
      </w:tr>
      <w:tr w14:paraId="04F1CB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4BA12F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0CE0A9">
            <w:pPr>
              <w:widowControl/>
              <w:jc w:val="center"/>
              <w:rPr>
                <w:rFonts w:hint="eastAsia" w:ascii="宋体" w:hAnsi="宋体" w:eastAsia="宋体"/>
                <w:b/>
                <w:bCs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/>
                <w:b/>
                <w:bCs/>
                <w:color w:val="000000"/>
                <w:kern w:val="0"/>
                <w:sz w:val="24"/>
                <w:lang w:val="en-US" w:eastAsia="zh-CN" w:bidi="ar"/>
              </w:rPr>
              <w:t>振荡培养箱</w:t>
            </w:r>
          </w:p>
        </w:tc>
        <w:tc>
          <w:tcPr>
            <w:tcW w:w="8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385DF7">
            <w:pPr>
              <w:rPr>
                <w:rFonts w:hint="eastAsia"/>
              </w:rPr>
            </w:pPr>
            <w:bookmarkStart w:id="1" w:name="_GoBack"/>
            <w:r>
              <w:rPr>
                <w:rFonts w:hint="eastAsia"/>
              </w:rPr>
              <w:t>1.</w:t>
            </w:r>
            <w:r>
              <w:rPr>
                <w:rFonts w:hint="eastAsia"/>
                <w:lang w:val="en-US" w:eastAsia="zh-CN"/>
              </w:rPr>
              <w:t>空载重量：总重量不得高于210kg</w:t>
            </w:r>
            <w:r>
              <w:rPr>
                <w:rFonts w:hint="eastAsia"/>
              </w:rPr>
              <w:t>；</w:t>
            </w:r>
          </w:p>
          <w:p w14:paraId="38C64045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  <w:lang w:val="en-US" w:eastAsia="zh-CN"/>
              </w:rPr>
              <w:t>具有</w:t>
            </w:r>
            <w:r>
              <w:rPr>
                <w:rFonts w:hint="eastAsia"/>
              </w:rPr>
              <w:t>PID微电脑智能控温仪；</w:t>
            </w:r>
          </w:p>
          <w:p w14:paraId="79515BDE">
            <w:pPr>
              <w:rPr>
                <w:rFonts w:hint="eastAsia"/>
              </w:rPr>
            </w:pPr>
            <w:r>
              <w:rPr>
                <w:rFonts w:hint="eastAsia"/>
              </w:rPr>
              <w:t>3.偏三轮驱动，运转</w:t>
            </w:r>
            <w:r>
              <w:rPr>
                <w:rFonts w:hint="eastAsia"/>
                <w:lang w:val="en-US" w:eastAsia="zh-CN"/>
              </w:rPr>
              <w:t>应</w:t>
            </w:r>
            <w:r>
              <w:rPr>
                <w:rFonts w:hint="eastAsia"/>
              </w:rPr>
              <w:t>平滑、稳定；</w:t>
            </w:r>
          </w:p>
          <w:p w14:paraId="22372EE1">
            <w:pPr>
              <w:rPr>
                <w:rFonts w:hint="eastAsia"/>
              </w:rPr>
            </w:pPr>
            <w:r>
              <w:rPr>
                <w:rFonts w:hint="eastAsia"/>
              </w:rPr>
              <w:t>4.具有超温报警功能及异常情况自动断电功能；具有断电恢复功能，避免因停电、死机而造成的数据丢失问题；</w:t>
            </w:r>
          </w:p>
          <w:p w14:paraId="6A77CD2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5.箱体外观采用圆弧角，外壳采用静电喷塑，</w:t>
            </w:r>
            <w:r>
              <w:rPr>
                <w:rFonts w:hint="eastAsia"/>
              </w:rPr>
              <w:t>内衬采用圆弧角（R角）镜面不锈钢设计，便于清洁。</w:t>
            </w:r>
          </w:p>
          <w:p w14:paraId="7FD0EB7B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6.具有冲压门，</w:t>
            </w:r>
            <w:r>
              <w:rPr>
                <w:rFonts w:hint="eastAsia"/>
              </w:rPr>
              <w:t>采用不锈钢无螺丝固定，翻式开门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</w:rPr>
              <w:t>摇板可自由抽出，方便装卸摇瓶；</w:t>
            </w:r>
          </w:p>
          <w:p w14:paraId="5E4FDF26"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</w:rPr>
              <w:t>.压缩机</w:t>
            </w:r>
            <w:r>
              <w:rPr>
                <w:rFonts w:hint="eastAsia"/>
                <w:lang w:val="en-US" w:eastAsia="zh-CN"/>
              </w:rPr>
              <w:t>采用</w:t>
            </w:r>
            <w:r>
              <w:rPr>
                <w:rFonts w:hint="eastAsia"/>
              </w:rPr>
              <w:t>无氟环保制冷剂，</w:t>
            </w:r>
            <w:r>
              <w:rPr>
                <w:rFonts w:hint="eastAsia"/>
                <w:lang w:val="en-US" w:eastAsia="zh-CN"/>
              </w:rPr>
              <w:t>可</w:t>
            </w:r>
            <w:r>
              <w:rPr>
                <w:rFonts w:hint="eastAsia"/>
              </w:rPr>
              <w:t>在低温状态下长时间稳定运行；</w:t>
            </w:r>
          </w:p>
          <w:p w14:paraId="7D295EF0">
            <w:pPr>
              <w:rPr>
                <w:rFonts w:hint="eastAsia"/>
              </w:rPr>
            </w:pPr>
            <w:r>
              <w:rPr>
                <w:rFonts w:hint="eastAsia"/>
              </w:rPr>
              <w:t>8.</w:t>
            </w:r>
            <w:r>
              <w:rPr>
                <w:rFonts w:hint="eastAsia"/>
                <w:lang w:val="en-US" w:eastAsia="zh-CN"/>
              </w:rPr>
              <w:t>具有</w:t>
            </w:r>
            <w:r>
              <w:rPr>
                <w:rFonts w:hint="eastAsia"/>
              </w:rPr>
              <w:t>开门即停功能；</w:t>
            </w:r>
          </w:p>
          <w:p w14:paraId="64413C29">
            <w:pPr>
              <w:rPr>
                <w:rFonts w:hint="eastAsia"/>
              </w:rPr>
            </w:pPr>
            <w:r>
              <w:rPr>
                <w:rFonts w:hint="eastAsia"/>
              </w:rPr>
              <w:t>9.</w:t>
            </w:r>
            <w:r>
              <w:rPr>
                <w:rFonts w:hint="eastAsia"/>
                <w:lang w:val="en-US" w:eastAsia="zh-CN"/>
              </w:rPr>
              <w:t>紫外灯嵌入屏幕内，且具有紫外线定时灭菌</w:t>
            </w:r>
            <w:r>
              <w:rPr>
                <w:rFonts w:hint="eastAsia"/>
              </w:rPr>
              <w:t>功能；</w:t>
            </w:r>
          </w:p>
          <w:p w14:paraId="3185B0C6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0</w:t>
            </w:r>
            <w:r>
              <w:rPr>
                <w:rFonts w:hint="eastAsia"/>
              </w:rPr>
              <w:t>.配备高质伺服电机；</w:t>
            </w:r>
          </w:p>
          <w:p w14:paraId="774FE898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.制冷量可调节，温度</w:t>
            </w:r>
            <w:r>
              <w:rPr>
                <w:rFonts w:hint="eastAsia"/>
                <w:lang w:val="en-US" w:eastAsia="zh-CN"/>
              </w:rPr>
              <w:t>可</w:t>
            </w:r>
            <w:r>
              <w:rPr>
                <w:rFonts w:hint="eastAsia"/>
              </w:rPr>
              <w:t>控制；</w:t>
            </w:r>
          </w:p>
          <w:p w14:paraId="5CC8507C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  <w:lang w:val="en-US" w:eastAsia="zh-CN"/>
              </w:rPr>
              <w:t>具有</w:t>
            </w:r>
            <w:r>
              <w:rPr>
                <w:rFonts w:hint="eastAsia"/>
              </w:rPr>
              <w:t>定时除霜功能，可1~</w:t>
            </w:r>
            <w:r>
              <w:rPr>
                <w:rFonts w:hint="eastAsia"/>
                <w:lang w:val="en-US" w:eastAsia="zh-CN"/>
              </w:rPr>
              <w:t>250秒</w:t>
            </w:r>
            <w:r>
              <w:rPr>
                <w:rFonts w:hint="eastAsia"/>
              </w:rPr>
              <w:t>自由设定，除霜间隔30~600分钟可调，长时间在低温状态下运行时蒸发器不结冰；</w:t>
            </w:r>
          </w:p>
          <w:p w14:paraId="2F4E558D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.LCD触摸屏，设定温度、转速、时间和实测温度、转速、剩余时间在同一界面显示；操作界面加密锁定功能；可自由设定摇板正转或反转；强制对流的风扇常开或自动；</w:t>
            </w:r>
          </w:p>
          <w:p w14:paraId="4900F1C1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.拥有数据记录功能，可记录近</w:t>
            </w:r>
            <w:r>
              <w:rPr>
                <w:rFonts w:hint="eastAsia"/>
                <w:lang w:val="en-US" w:eastAsia="zh-CN"/>
              </w:rPr>
              <w:t>5年</w:t>
            </w:r>
            <w:r>
              <w:rPr>
                <w:rFonts w:hint="eastAsia"/>
              </w:rPr>
              <w:t>的数据，并且可显示温度、速度曲线；有USB接口；</w:t>
            </w:r>
          </w:p>
          <w:p w14:paraId="579FC7D3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  <w:lang w:val="en-US" w:eastAsia="zh-CN"/>
              </w:rPr>
              <w:t>配备滤波磁环，减少外界和自身对机器稳定性的干扰</w:t>
            </w:r>
            <w:r>
              <w:rPr>
                <w:rFonts w:hint="eastAsia"/>
              </w:rPr>
              <w:t>；</w:t>
            </w:r>
          </w:p>
          <w:p w14:paraId="17D46D6A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eastAsia"/>
              </w:rPr>
              <w:t>.夹具为一次成型塑胶夹具，可单手取放样品瓶；</w:t>
            </w:r>
          </w:p>
          <w:p w14:paraId="2DB36F4D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</w:rPr>
              <w:t>.振荡频率：10-300rpm；</w:t>
            </w:r>
          </w:p>
          <w:p w14:paraId="58F5EF67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</w:t>
            </w:r>
            <w:r>
              <w:rPr>
                <w:rFonts w:hint="eastAsia"/>
              </w:rPr>
              <w:t>.振荡频率精度：≤±1rpm；</w:t>
            </w:r>
          </w:p>
          <w:p w14:paraId="5EE41C83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eastAsia"/>
              </w:rPr>
              <w:t>.摇板振幅：Ф26mm；</w:t>
            </w:r>
          </w:p>
          <w:p w14:paraId="08029E62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val="en-US" w:eastAsia="zh-CN"/>
              </w:rPr>
              <w:t>0</w:t>
            </w:r>
            <w:r>
              <w:rPr>
                <w:rFonts w:hint="eastAsia"/>
              </w:rPr>
              <w:t>.温控范围：4～60℃（在室温23℃-25℃）；</w:t>
            </w:r>
          </w:p>
          <w:p w14:paraId="6E206536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.温度调节精度：≤±0.1℃；</w:t>
            </w:r>
          </w:p>
          <w:p w14:paraId="61B800F9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.温度均匀度：≤±0.</w:t>
            </w:r>
            <w:r>
              <w:rPr>
                <w:rFonts w:hint="eastAsia"/>
                <w:lang w:val="en-US" w:eastAsia="zh-CN"/>
              </w:rPr>
              <w:t>8</w:t>
            </w:r>
            <w:r>
              <w:rPr>
                <w:rFonts w:hint="eastAsia"/>
              </w:rPr>
              <w:t>℃（at37℃）；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需提供国家要求的9点检测温度均一性检测报告</w:t>
            </w:r>
            <w:r>
              <w:rPr>
                <w:rFonts w:hint="eastAsia"/>
                <w:lang w:eastAsia="zh-CN"/>
              </w:rPr>
              <w:t>）</w:t>
            </w:r>
          </w:p>
          <w:p w14:paraId="1494961E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.对流方式：强制对流；</w:t>
            </w:r>
          </w:p>
          <w:p w14:paraId="6AD34179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.最大容量（不锈钢夹具）：250ml</w:t>
            </w:r>
            <w:r>
              <w:rPr>
                <w:rFonts w:hint="eastAsia"/>
                <w:lang w:val="en-US" w:eastAsia="zh-CN"/>
              </w:rPr>
              <w:t>摇品不少于</w:t>
            </w:r>
            <w:r>
              <w:rPr>
                <w:rFonts w:hint="eastAsia"/>
              </w:rPr>
              <w:t>66</w:t>
            </w:r>
            <w:r>
              <w:rPr>
                <w:rFonts w:hint="eastAsia"/>
                <w:lang w:val="en-US" w:eastAsia="zh-CN"/>
              </w:rPr>
              <w:t>个</w:t>
            </w:r>
            <w:r>
              <w:rPr>
                <w:rFonts w:hint="eastAsia"/>
              </w:rPr>
              <w:t>；</w:t>
            </w:r>
          </w:p>
          <w:p w14:paraId="72117112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25</w:t>
            </w:r>
            <w:r>
              <w:rPr>
                <w:rFonts w:hint="eastAsia"/>
              </w:rPr>
              <w:t>.定时范围：0-999.9小时；噪 音：低于55dB；</w:t>
            </w:r>
          </w:p>
          <w:p w14:paraId="541E5DE2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26</w:t>
            </w:r>
            <w:r>
              <w:rPr>
                <w:rFonts w:hint="eastAsia"/>
              </w:rPr>
              <w:t>.摇板尺寸：</w:t>
            </w:r>
            <w:r>
              <w:rPr>
                <w:rFonts w:hint="eastAsia"/>
                <w:lang w:val="en-US" w:eastAsia="zh-CN"/>
              </w:rPr>
              <w:t>长</w:t>
            </w:r>
            <w:r>
              <w:rPr>
                <w:rFonts w:hint="eastAsia"/>
              </w:rPr>
              <w:t>≥9</w:t>
            </w:r>
            <w:r>
              <w:rPr>
                <w:rFonts w:hint="eastAsia"/>
                <w:lang w:val="en-US" w:eastAsia="zh-CN"/>
              </w:rPr>
              <w:t>00</w:t>
            </w:r>
            <w:r>
              <w:rPr>
                <w:rFonts w:hint="eastAsia"/>
              </w:rPr>
              <w:t>mm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  <w:lang w:val="en-US" w:eastAsia="zh-CN"/>
              </w:rPr>
              <w:t>宽≥</w:t>
            </w:r>
            <w:r>
              <w:rPr>
                <w:rFonts w:hint="eastAsia"/>
              </w:rPr>
              <w:t>530mm；</w:t>
            </w:r>
          </w:p>
          <w:p w14:paraId="6AC238FB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27</w:t>
            </w:r>
            <w:r>
              <w:rPr>
                <w:rFonts w:hint="eastAsia"/>
              </w:rPr>
              <w:t>.夹具板到顶部距离：</w:t>
            </w:r>
            <w:r>
              <w:rPr>
                <w:rFonts w:hint="eastAsia"/>
                <w:lang w:val="en-US" w:eastAsia="zh-CN"/>
              </w:rPr>
              <w:t>夹具板到顶部距离不低于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  <w:lang w:val="en-US" w:eastAsia="zh-CN"/>
              </w:rPr>
              <w:t>00</w:t>
            </w:r>
            <w:r>
              <w:rPr>
                <w:rFonts w:hint="eastAsia"/>
              </w:rPr>
              <w:t>mm</w:t>
            </w:r>
          </w:p>
          <w:p w14:paraId="1DD0DFBF">
            <w:pPr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配置：主机1套</w:t>
            </w:r>
          </w:p>
          <w:p w14:paraId="55DD357F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安装要求：</w:t>
            </w:r>
            <w:r>
              <w:rPr>
                <w:rFonts w:hint="eastAsia"/>
              </w:rPr>
              <w:t>根据现场已有条件负责安装场地清理，负责</w:t>
            </w:r>
            <w:r>
              <w:rPr>
                <w:rFonts w:hint="eastAsia"/>
                <w:lang w:val="en-US" w:eastAsia="zh-CN"/>
              </w:rPr>
              <w:t>机房电路的</w:t>
            </w:r>
            <w:r>
              <w:rPr>
                <w:rFonts w:hint="eastAsia"/>
              </w:rPr>
              <w:t>接入</w:t>
            </w:r>
            <w:r>
              <w:rPr>
                <w:rFonts w:hint="eastAsia"/>
                <w:lang w:val="en-US" w:eastAsia="zh-CN"/>
              </w:rPr>
              <w:t>和零线安全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  <w:lang w:val="en-US" w:eastAsia="zh-CN"/>
              </w:rPr>
              <w:t>保证电路符合现有实验室安全警报系统要求，</w:t>
            </w:r>
            <w:r>
              <w:rPr>
                <w:rFonts w:hint="eastAsia"/>
              </w:rPr>
              <w:t>确保</w:t>
            </w:r>
            <w:r>
              <w:rPr>
                <w:rFonts w:hint="eastAsia"/>
                <w:lang w:val="en-US" w:eastAsia="zh-CN"/>
              </w:rPr>
              <w:t>设备能安全、正常运行</w:t>
            </w:r>
            <w:r>
              <w:rPr>
                <w:rFonts w:hint="eastAsia"/>
              </w:rPr>
              <w:t>。</w:t>
            </w:r>
            <w:bookmarkEnd w:id="1"/>
          </w:p>
        </w:tc>
      </w:tr>
      <w:tr w14:paraId="02D0C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D4BB10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F5C32F">
            <w:pPr>
              <w:widowControl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超净工作台</w:t>
            </w:r>
          </w:p>
        </w:tc>
        <w:tc>
          <w:tcPr>
            <w:tcW w:w="8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8910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1</w:t>
            </w:r>
            <w:r>
              <w:rPr>
                <w:rFonts w:hint="eastAsia" w:ascii="Arial" w:hAnsi="宋体"/>
                <w:szCs w:val="21"/>
                <w:lang w:val="en-US" w:eastAsia="zh-CN"/>
              </w:rPr>
              <w:t>.</w:t>
            </w:r>
            <w:r>
              <w:rPr>
                <w:rFonts w:ascii="Arial" w:hAnsi="宋体"/>
                <w:szCs w:val="21"/>
              </w:rPr>
              <w:t>单人单面</w:t>
            </w:r>
            <w:r>
              <w:rPr>
                <w:rFonts w:hint="eastAsia" w:ascii="Arial" w:hAnsi="宋体"/>
                <w:szCs w:val="21"/>
              </w:rPr>
              <w:t>；</w:t>
            </w:r>
          </w:p>
          <w:p w14:paraId="3386A5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2</w:t>
            </w:r>
            <w:r>
              <w:rPr>
                <w:rFonts w:hint="eastAsia" w:ascii="Arial" w:hAnsi="宋体"/>
                <w:szCs w:val="21"/>
                <w:lang w:val="en-US" w:eastAsia="zh-CN"/>
              </w:rPr>
              <w:t>.</w:t>
            </w:r>
            <w:r>
              <w:rPr>
                <w:rFonts w:ascii="Arial" w:hAnsi="宋体"/>
                <w:szCs w:val="21"/>
              </w:rPr>
              <w:t>气流模式：</w:t>
            </w:r>
            <w:r>
              <w:rPr>
                <w:rFonts w:hint="eastAsia" w:ascii="Arial" w:hAnsi="Arial"/>
                <w:szCs w:val="21"/>
              </w:rPr>
              <w:t>垂直气流</w:t>
            </w:r>
            <w:r>
              <w:rPr>
                <w:rFonts w:hint="eastAsia" w:ascii="Arial" w:hAnsi="宋体"/>
                <w:szCs w:val="21"/>
              </w:rPr>
              <w:t>；</w:t>
            </w:r>
          </w:p>
          <w:p w14:paraId="5CBC74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/>
              </w:rPr>
            </w:pPr>
            <w:r>
              <w:rPr>
                <w:rFonts w:hint="eastAsia" w:ascii="Arial" w:hAnsi="Arial"/>
                <w:szCs w:val="21"/>
              </w:rPr>
              <w:t>3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ascii="Arial" w:hAnsi="宋体"/>
                <w:szCs w:val="21"/>
              </w:rPr>
              <w:t>工作区尺寸：≥</w:t>
            </w:r>
            <w:r>
              <w:rPr>
                <w:rFonts w:hint="eastAsia"/>
              </w:rPr>
              <w:t>1050</w:t>
            </w:r>
            <w:r>
              <w:rPr>
                <w:rFonts w:hint="eastAsia"/>
                <w:sz w:val="24"/>
                <w:szCs w:val="32"/>
              </w:rPr>
              <w:t>×</w:t>
            </w:r>
            <w:r>
              <w:rPr>
                <w:rFonts w:hint="eastAsia"/>
              </w:rPr>
              <w:t>680</w:t>
            </w:r>
            <w:r>
              <w:rPr>
                <w:rFonts w:hint="eastAsia"/>
                <w:sz w:val="24"/>
                <w:szCs w:val="32"/>
              </w:rPr>
              <w:t>×</w:t>
            </w:r>
            <w:r>
              <w:rPr>
                <w:rFonts w:hint="eastAsia"/>
              </w:rPr>
              <w:t>500mm</w:t>
            </w:r>
            <w:r>
              <w:rPr>
                <w:rFonts w:ascii="Arial" w:hAnsi="宋体"/>
                <w:szCs w:val="21"/>
              </w:rPr>
              <w:t>（长</w:t>
            </w:r>
            <w:r>
              <w:rPr>
                <w:rFonts w:ascii="Arial" w:hAnsi="Arial"/>
                <w:szCs w:val="21"/>
              </w:rPr>
              <w:t>x</w:t>
            </w:r>
            <w:r>
              <w:rPr>
                <w:rFonts w:ascii="Arial" w:hAnsi="宋体"/>
                <w:szCs w:val="21"/>
              </w:rPr>
              <w:t>宽</w:t>
            </w:r>
            <w:r>
              <w:rPr>
                <w:rFonts w:ascii="Arial" w:hAnsi="Arial"/>
                <w:szCs w:val="21"/>
              </w:rPr>
              <w:t>x</w:t>
            </w:r>
            <w:r>
              <w:rPr>
                <w:rFonts w:ascii="Arial" w:hAnsi="宋体"/>
                <w:szCs w:val="21"/>
              </w:rPr>
              <w:t>高）</w:t>
            </w:r>
          </w:p>
          <w:p w14:paraId="1343835C">
            <w:pPr>
              <w:keepNext w:val="0"/>
              <w:keepLines w:val="0"/>
              <w:pageBreakBefore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ascii="Arial" w:hAnsi="宋体"/>
                <w:szCs w:val="21"/>
              </w:rPr>
            </w:pPr>
            <w:r>
              <w:rPr>
                <w:rFonts w:hint="eastAsia" w:ascii="Arial" w:hAnsi="宋体"/>
                <w:szCs w:val="21"/>
                <w:lang w:val="en-US" w:eastAsia="zh-CN"/>
              </w:rPr>
              <w:t>4.</w:t>
            </w:r>
            <w:r>
              <w:rPr>
                <w:rFonts w:ascii="Arial" w:hAnsi="宋体"/>
                <w:szCs w:val="21"/>
              </w:rPr>
              <w:t>平均气流风速：沉降气流</w:t>
            </w:r>
            <w:r>
              <w:rPr>
                <w:rFonts w:ascii="Arial" w:hAnsi="Arial"/>
                <w:szCs w:val="21"/>
              </w:rPr>
              <w:t>≥0.30 m/s</w:t>
            </w:r>
            <w:r>
              <w:rPr>
                <w:rFonts w:hint="eastAsia" w:ascii="Arial" w:hAnsi="Arial"/>
                <w:szCs w:val="21"/>
              </w:rPr>
              <w:t>，整个沉降面控制在正负20</w:t>
            </w:r>
            <w:r>
              <w:rPr>
                <w:rFonts w:ascii="Arial" w:hAnsi="Arial"/>
                <w:szCs w:val="21"/>
              </w:rPr>
              <w:t>%</w:t>
            </w:r>
            <w:r>
              <w:rPr>
                <w:rFonts w:hint="eastAsia" w:ascii="Arial" w:hAnsi="Arial"/>
                <w:szCs w:val="21"/>
              </w:rPr>
              <w:t>以内</w:t>
            </w:r>
          </w:p>
          <w:p w14:paraId="5A6EC6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/>
              </w:rPr>
            </w:pPr>
            <w:r>
              <w:rPr>
                <w:rFonts w:hint="eastAsia"/>
              </w:rPr>
              <w:t>.</w:t>
            </w:r>
            <w:r>
              <w:rPr>
                <w:rFonts w:hint="eastAsia" w:ascii="Arial" w:hAnsi="Arial"/>
                <w:szCs w:val="21"/>
              </w:rPr>
              <w:t>5</w:t>
            </w:r>
            <w:r>
              <w:rPr>
                <w:rFonts w:hint="eastAsia" w:ascii="Arial" w:hAnsi="宋体"/>
                <w:szCs w:val="21"/>
                <w:lang w:val="en-US" w:eastAsia="zh-CN"/>
              </w:rPr>
              <w:t>.</w:t>
            </w:r>
            <w:r>
              <w:rPr>
                <w:rFonts w:ascii="Arial" w:hAnsi="宋体"/>
                <w:szCs w:val="21"/>
              </w:rPr>
              <w:t>过滤系统：</w:t>
            </w:r>
            <w:r>
              <w:rPr>
                <w:rFonts w:hint="eastAsia" w:ascii="Arial" w:hAnsi="宋体"/>
                <w:szCs w:val="21"/>
              </w:rPr>
              <w:t>一</w:t>
            </w:r>
            <w:r>
              <w:rPr>
                <w:rFonts w:ascii="Arial" w:hAnsi="宋体"/>
                <w:szCs w:val="21"/>
              </w:rPr>
              <w:t>块</w:t>
            </w:r>
            <w:r>
              <w:rPr>
                <w:rFonts w:hint="eastAsia" w:ascii="Arial" w:hAnsi="Arial"/>
                <w:szCs w:val="21"/>
              </w:rPr>
              <w:t>HE</w:t>
            </w:r>
            <w:r>
              <w:rPr>
                <w:rFonts w:ascii="Arial" w:hAnsi="Arial"/>
                <w:szCs w:val="21"/>
              </w:rPr>
              <w:t>PA</w:t>
            </w:r>
            <w:r>
              <w:rPr>
                <w:rFonts w:ascii="Arial" w:hAnsi="宋体"/>
                <w:szCs w:val="21"/>
              </w:rPr>
              <w:t>级高效微皱褶无间隔过滤器，针对</w:t>
            </w:r>
            <w:r>
              <w:rPr>
                <w:rFonts w:ascii="Arial" w:hAnsi="Arial"/>
                <w:szCs w:val="21"/>
              </w:rPr>
              <w:t>&gt;</w:t>
            </w:r>
            <w:r>
              <w:rPr>
                <w:rFonts w:hint="eastAsia" w:ascii="Arial" w:hAnsi="Arial"/>
                <w:szCs w:val="21"/>
              </w:rPr>
              <w:t>0.3</w:t>
            </w:r>
            <w:r>
              <w:rPr>
                <w:rFonts w:ascii="Arial" w:hAnsi="Arial"/>
                <w:szCs w:val="21"/>
              </w:rPr>
              <w:t>μm</w:t>
            </w:r>
            <w:r>
              <w:rPr>
                <w:rFonts w:ascii="Arial" w:hAnsi="宋体"/>
                <w:szCs w:val="21"/>
              </w:rPr>
              <w:t>颗粒系过滤效率</w:t>
            </w:r>
            <w:r>
              <w:rPr>
                <w:rFonts w:ascii="Arial" w:hAnsi="Arial"/>
                <w:szCs w:val="21"/>
              </w:rPr>
              <w:t>&gt;99.99%</w:t>
            </w:r>
            <w:r>
              <w:rPr>
                <w:rFonts w:ascii="Arial" w:hAnsi="宋体"/>
                <w:szCs w:val="21"/>
              </w:rPr>
              <w:t>，易于前部更换</w:t>
            </w:r>
            <w:r>
              <w:rPr>
                <w:rFonts w:hint="eastAsia" w:ascii="Arial" w:hAnsi="宋体"/>
                <w:szCs w:val="21"/>
              </w:rPr>
              <w:t>；</w:t>
            </w:r>
          </w:p>
          <w:p w14:paraId="452604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6</w:t>
            </w:r>
            <w:r>
              <w:rPr>
                <w:rFonts w:hint="eastAsia" w:ascii="Arial" w:hAnsi="宋体"/>
                <w:szCs w:val="21"/>
                <w:lang w:val="en-US" w:eastAsia="zh-CN"/>
              </w:rPr>
              <w:t>.</w:t>
            </w:r>
            <w:r>
              <w:rPr>
                <w:rFonts w:ascii="Arial" w:hAnsi="宋体"/>
                <w:szCs w:val="21"/>
              </w:rPr>
              <w:t>风机系统：</w:t>
            </w:r>
            <w:r>
              <w:rPr>
                <w:rFonts w:hint="eastAsia" w:ascii="Arial" w:hAnsi="宋体"/>
                <w:szCs w:val="21"/>
              </w:rPr>
              <w:t>采用可变速</w:t>
            </w:r>
            <w:r>
              <w:rPr>
                <w:rFonts w:ascii="Arial" w:hAnsi="宋体"/>
                <w:szCs w:val="21"/>
              </w:rPr>
              <w:t>单风机系统，</w:t>
            </w:r>
            <w:r>
              <w:rPr>
                <w:rFonts w:hint="eastAsia" w:ascii="Arial" w:hAnsi="Arial"/>
                <w:szCs w:val="21"/>
              </w:rPr>
              <w:t>具有自动风速补偿功能。</w:t>
            </w:r>
          </w:p>
          <w:p w14:paraId="1E5689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/>
              </w:rPr>
            </w:pPr>
            <w:r>
              <w:rPr>
                <w:rFonts w:hint="eastAsia" w:ascii="Arial" w:hAnsi="Arial"/>
                <w:szCs w:val="21"/>
              </w:rPr>
              <w:t>7</w:t>
            </w:r>
            <w:r>
              <w:rPr>
                <w:rFonts w:hint="eastAsia" w:ascii="Arial" w:hAnsi="宋体"/>
                <w:szCs w:val="21"/>
                <w:lang w:val="en-US" w:eastAsia="zh-CN"/>
              </w:rPr>
              <w:t>.</w:t>
            </w:r>
            <w:r>
              <w:rPr>
                <w:rFonts w:ascii="Arial" w:hAnsi="宋体"/>
                <w:szCs w:val="21"/>
              </w:rPr>
              <w:t>控制器</w:t>
            </w:r>
            <w:r>
              <w:rPr>
                <w:rFonts w:hint="eastAsia" w:ascii="Arial" w:hAnsi="宋体"/>
                <w:szCs w:val="21"/>
              </w:rPr>
              <w:t>：</w:t>
            </w:r>
            <w:r>
              <w:rPr>
                <w:rFonts w:ascii="Arial" w:hAnsi="宋体"/>
                <w:szCs w:val="21"/>
              </w:rPr>
              <w:t>微电脑控制，位于柜体</w:t>
            </w:r>
            <w:r>
              <w:rPr>
                <w:rFonts w:hint="eastAsia" w:ascii="Arial" w:hAnsi="宋体"/>
                <w:szCs w:val="21"/>
              </w:rPr>
              <w:t>下右侧板</w:t>
            </w:r>
            <w:r>
              <w:rPr>
                <w:rFonts w:ascii="Arial" w:hAnsi="宋体"/>
                <w:szCs w:val="21"/>
              </w:rPr>
              <w:t>面，易于操作，</w:t>
            </w:r>
            <w:r>
              <w:rPr>
                <w:rFonts w:hint="eastAsia" w:ascii="Arial" w:hAnsi="宋体"/>
                <w:szCs w:val="21"/>
              </w:rPr>
              <w:t>触摸键采用厚度3mm玻璃面板感应式，反应快并且使用寿命长；</w:t>
            </w:r>
          </w:p>
          <w:p w14:paraId="4FCC87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8</w:t>
            </w:r>
            <w:r>
              <w:rPr>
                <w:rFonts w:hint="eastAsia" w:ascii="Arial" w:hAnsi="宋体"/>
                <w:szCs w:val="21"/>
                <w:lang w:val="en-US" w:eastAsia="zh-CN"/>
              </w:rPr>
              <w:t>.</w:t>
            </w:r>
            <w:r>
              <w:rPr>
                <w:rFonts w:ascii="Arial" w:hAnsi="宋体"/>
                <w:szCs w:val="21"/>
              </w:rPr>
              <w:t>主体结构：</w:t>
            </w:r>
            <w:r>
              <w:rPr>
                <w:rFonts w:ascii="Arial" w:hAnsi="Arial"/>
                <w:szCs w:val="21"/>
              </w:rPr>
              <w:t>&gt;1.</w:t>
            </w:r>
            <w:r>
              <w:rPr>
                <w:rFonts w:hint="eastAsia" w:ascii="Arial" w:hAnsi="Arial"/>
                <w:szCs w:val="21"/>
              </w:rPr>
              <w:t>0</w:t>
            </w:r>
            <w:r>
              <w:rPr>
                <w:rFonts w:ascii="Arial" w:hAnsi="Arial"/>
                <w:szCs w:val="21"/>
              </w:rPr>
              <w:t>mm</w:t>
            </w:r>
            <w:r>
              <w:rPr>
                <w:rFonts w:hint="eastAsia" w:ascii="Arial" w:hAnsi="宋体"/>
                <w:szCs w:val="21"/>
                <w:lang w:val="en-US" w:eastAsia="zh-CN"/>
              </w:rPr>
              <w:t>冷轧</w:t>
            </w:r>
            <w:r>
              <w:rPr>
                <w:rFonts w:ascii="Arial" w:hAnsi="宋体"/>
                <w:szCs w:val="21"/>
              </w:rPr>
              <w:t>钢板，</w:t>
            </w:r>
            <w:r>
              <w:rPr>
                <w:rFonts w:hint="eastAsia" w:ascii="Arial" w:hAnsi="宋体"/>
                <w:szCs w:val="21"/>
              </w:rPr>
              <w:t>左右开窗</w:t>
            </w:r>
            <w:r>
              <w:rPr>
                <w:rFonts w:ascii="Arial" w:hAnsi="宋体"/>
                <w:szCs w:val="21"/>
              </w:rPr>
              <w:t>设计</w:t>
            </w:r>
            <w:r>
              <w:rPr>
                <w:rFonts w:hint="eastAsia" w:ascii="Arial" w:hAnsi="宋体"/>
                <w:szCs w:val="21"/>
              </w:rPr>
              <w:t>；</w:t>
            </w:r>
          </w:p>
          <w:p w14:paraId="246287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/>
              </w:rPr>
            </w:pPr>
            <w:r>
              <w:rPr>
                <w:rFonts w:hint="eastAsia" w:ascii="Arial" w:hAnsi="Arial"/>
                <w:szCs w:val="21"/>
              </w:rPr>
              <w:t>9</w:t>
            </w:r>
            <w:r>
              <w:rPr>
                <w:rFonts w:hint="eastAsia" w:ascii="Arial" w:hAnsi="宋体"/>
                <w:szCs w:val="21"/>
                <w:lang w:val="en-US" w:eastAsia="zh-CN"/>
              </w:rPr>
              <w:t>.</w:t>
            </w:r>
            <w:r>
              <w:rPr>
                <w:rFonts w:ascii="Arial" w:hAnsi="宋体"/>
                <w:szCs w:val="21"/>
              </w:rPr>
              <w:t>操作室结构：工作</w:t>
            </w:r>
            <w:r>
              <w:rPr>
                <w:rFonts w:hint="eastAsia" w:ascii="Arial" w:hAnsi="宋体"/>
                <w:szCs w:val="21"/>
              </w:rPr>
              <w:t>台为一体成型，底部后排均匀开孔保护人员安全；</w:t>
            </w:r>
          </w:p>
          <w:p w14:paraId="32469F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10</w:t>
            </w:r>
            <w:r>
              <w:rPr>
                <w:rFonts w:hint="eastAsia" w:ascii="Arial" w:hAnsi="宋体"/>
                <w:szCs w:val="21"/>
                <w:lang w:val="en-US" w:eastAsia="zh-CN"/>
              </w:rPr>
              <w:t>.</w:t>
            </w:r>
            <w:r>
              <w:rPr>
                <w:rFonts w:ascii="Arial" w:hAnsi="宋体"/>
                <w:szCs w:val="21"/>
              </w:rPr>
              <w:t>操作前窗：光学透视清晰、无边框，易于清洁和消毒的防紫外线钢化玻璃，厚度</w:t>
            </w:r>
            <w:r>
              <w:rPr>
                <w:rFonts w:ascii="Arial" w:hAnsi="Arial"/>
                <w:szCs w:val="21"/>
              </w:rPr>
              <w:t>≥</w:t>
            </w:r>
            <w:r>
              <w:rPr>
                <w:rFonts w:hint="eastAsia" w:ascii="Arial" w:hAnsi="Arial"/>
                <w:szCs w:val="21"/>
              </w:rPr>
              <w:t>5</w:t>
            </w:r>
            <w:r>
              <w:rPr>
                <w:rFonts w:ascii="Arial" w:hAnsi="Arial"/>
                <w:szCs w:val="21"/>
              </w:rPr>
              <w:t xml:space="preserve"> mm</w:t>
            </w:r>
            <w:r>
              <w:rPr>
                <w:rFonts w:ascii="Arial" w:hAnsi="宋体"/>
                <w:szCs w:val="21"/>
              </w:rPr>
              <w:t>，采用手拉式上下滑动开启，不使用电控</w:t>
            </w:r>
            <w:r>
              <w:rPr>
                <w:rFonts w:hint="eastAsia" w:ascii="Arial" w:hAnsi="宋体"/>
                <w:szCs w:val="21"/>
              </w:rPr>
              <w:t>；</w:t>
            </w:r>
          </w:p>
          <w:p w14:paraId="2157F9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11</w:t>
            </w:r>
            <w:r>
              <w:rPr>
                <w:rFonts w:hint="eastAsia" w:ascii="Arial" w:hAnsi="宋体"/>
                <w:szCs w:val="21"/>
                <w:lang w:val="en-US" w:eastAsia="zh-CN"/>
              </w:rPr>
              <w:t>.</w:t>
            </w:r>
            <w:r>
              <w:rPr>
                <w:rFonts w:ascii="Arial" w:hAnsi="宋体"/>
                <w:szCs w:val="21"/>
              </w:rPr>
              <w:t>紫外灯：标配</w:t>
            </w:r>
            <w:r>
              <w:rPr>
                <w:rFonts w:hint="eastAsia" w:ascii="Arial" w:hAnsi="Arial"/>
                <w:szCs w:val="21"/>
              </w:rPr>
              <w:t>10</w:t>
            </w:r>
            <w:r>
              <w:rPr>
                <w:rFonts w:ascii="Arial" w:hAnsi="Arial"/>
                <w:szCs w:val="21"/>
              </w:rPr>
              <w:t>W</w:t>
            </w:r>
            <w:r>
              <w:rPr>
                <w:rFonts w:ascii="Arial" w:hAnsi="宋体"/>
                <w:szCs w:val="21"/>
              </w:rPr>
              <w:t>、</w:t>
            </w:r>
            <w:r>
              <w:rPr>
                <w:rFonts w:ascii="Arial" w:hAnsi="Arial"/>
                <w:szCs w:val="21"/>
              </w:rPr>
              <w:t>254nm</w:t>
            </w:r>
            <w:r>
              <w:rPr>
                <w:rFonts w:ascii="Arial" w:hAnsi="宋体"/>
                <w:szCs w:val="21"/>
              </w:rPr>
              <w:t>消毒紫外灯，</w:t>
            </w:r>
            <w:r>
              <w:rPr>
                <w:rFonts w:hint="eastAsia" w:ascii="Arial" w:hAnsi="宋体"/>
                <w:szCs w:val="21"/>
                <w:lang w:eastAsia="zh-CN"/>
              </w:rPr>
              <w:t>可</w:t>
            </w:r>
            <w:r>
              <w:rPr>
                <w:rFonts w:ascii="Arial" w:hAnsi="宋体"/>
                <w:szCs w:val="21"/>
              </w:rPr>
              <w:t>易于更换</w:t>
            </w:r>
            <w:r>
              <w:rPr>
                <w:rFonts w:hint="eastAsia" w:ascii="Arial" w:hAnsi="宋体"/>
                <w:szCs w:val="21"/>
              </w:rPr>
              <w:t>；</w:t>
            </w:r>
          </w:p>
          <w:p w14:paraId="65C756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12</w:t>
            </w:r>
            <w:r>
              <w:rPr>
                <w:rFonts w:hint="eastAsia" w:ascii="Arial" w:hAnsi="宋体"/>
                <w:szCs w:val="21"/>
                <w:lang w:val="en-US" w:eastAsia="zh-CN"/>
              </w:rPr>
              <w:t>.</w:t>
            </w:r>
            <w:r>
              <w:rPr>
                <w:rFonts w:ascii="Arial" w:hAnsi="宋体"/>
                <w:szCs w:val="21"/>
              </w:rPr>
              <w:t>照度：</w:t>
            </w:r>
            <w:r>
              <w:rPr>
                <w:rFonts w:ascii="Arial" w:hAnsi="Arial"/>
                <w:szCs w:val="21"/>
              </w:rPr>
              <w:t>&gt;</w:t>
            </w:r>
            <w:r>
              <w:rPr>
                <w:rFonts w:hint="eastAsia" w:ascii="Arial" w:hAnsi="Arial"/>
                <w:szCs w:val="21"/>
              </w:rPr>
              <w:t>300</w:t>
            </w:r>
            <w:r>
              <w:rPr>
                <w:rFonts w:ascii="Arial" w:hAnsi="Arial"/>
                <w:szCs w:val="21"/>
              </w:rPr>
              <w:t xml:space="preserve"> Lux</w:t>
            </w:r>
            <w:r>
              <w:rPr>
                <w:rFonts w:ascii="Arial" w:hAnsi="宋体"/>
                <w:szCs w:val="21"/>
              </w:rPr>
              <w:t>，荧光灯位于非污染区域</w:t>
            </w:r>
            <w:r>
              <w:rPr>
                <w:rFonts w:hint="eastAsia" w:ascii="Arial" w:hAnsi="宋体"/>
                <w:szCs w:val="21"/>
              </w:rPr>
              <w:t>；</w:t>
            </w:r>
          </w:p>
          <w:p w14:paraId="28E403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auto"/>
              <w:rPr>
                <w:rFonts w:hint="eastAsia"/>
              </w:rPr>
            </w:pPr>
            <w:r>
              <w:rPr>
                <w:rFonts w:hint="eastAsia" w:ascii="Arial" w:hAnsi="Arial"/>
                <w:szCs w:val="21"/>
              </w:rPr>
              <w:t>13</w:t>
            </w:r>
            <w:r>
              <w:rPr>
                <w:rFonts w:hint="eastAsia" w:ascii="Arial" w:hAnsi="宋体"/>
                <w:szCs w:val="21"/>
                <w:lang w:val="en-US" w:eastAsia="zh-CN"/>
              </w:rPr>
              <w:t>.</w:t>
            </w:r>
            <w:r>
              <w:rPr>
                <w:rFonts w:hint="eastAsia" w:ascii="Arial" w:hAnsi="宋体"/>
                <w:szCs w:val="21"/>
              </w:rPr>
              <w:t>震动幅值：</w:t>
            </w:r>
            <w:r>
              <w:rPr>
                <w:rFonts w:ascii="Arial" w:hAnsi="Arial"/>
                <w:szCs w:val="21"/>
              </w:rPr>
              <w:t>≥</w:t>
            </w:r>
            <w:r>
              <w:rPr>
                <w:rFonts w:hint="eastAsia" w:ascii="Arial" w:hAnsi="Arial"/>
                <w:szCs w:val="21"/>
              </w:rPr>
              <w:t>5um（台面中心X</w:t>
            </w:r>
            <w:r>
              <w:rPr>
                <w:rFonts w:ascii="Arial" w:hAnsi="宋体"/>
                <w:szCs w:val="21"/>
              </w:rPr>
              <w:t>、</w:t>
            </w:r>
            <w:r>
              <w:rPr>
                <w:rFonts w:hint="eastAsia" w:ascii="Arial" w:hAnsi="宋体"/>
                <w:szCs w:val="21"/>
              </w:rPr>
              <w:t>Y</w:t>
            </w:r>
            <w:r>
              <w:rPr>
                <w:rFonts w:ascii="Arial" w:hAnsi="宋体"/>
                <w:szCs w:val="21"/>
              </w:rPr>
              <w:t>、</w:t>
            </w:r>
            <w:r>
              <w:rPr>
                <w:rFonts w:hint="eastAsia" w:ascii="Arial" w:hAnsi="宋体"/>
                <w:szCs w:val="21"/>
              </w:rPr>
              <w:t>Z三轴）</w:t>
            </w:r>
          </w:p>
          <w:p w14:paraId="5C8155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14</w:t>
            </w:r>
            <w:r>
              <w:rPr>
                <w:rFonts w:hint="eastAsia" w:ascii="Arial" w:hAnsi="宋体"/>
                <w:szCs w:val="21"/>
                <w:lang w:val="en-US" w:eastAsia="zh-CN"/>
              </w:rPr>
              <w:t>.</w:t>
            </w:r>
            <w:r>
              <w:rPr>
                <w:rFonts w:ascii="Arial" w:hAnsi="宋体"/>
                <w:szCs w:val="21"/>
              </w:rPr>
              <w:t>噪音：噪音</w:t>
            </w:r>
            <w:r>
              <w:rPr>
                <w:rFonts w:ascii="Arial" w:hAnsi="Arial"/>
                <w:szCs w:val="21"/>
              </w:rPr>
              <w:t>&lt;</w:t>
            </w:r>
            <w:r>
              <w:rPr>
                <w:rFonts w:hint="eastAsia" w:ascii="Arial" w:hAnsi="Arial"/>
                <w:szCs w:val="21"/>
              </w:rPr>
              <w:t>55</w:t>
            </w:r>
            <w:r>
              <w:rPr>
                <w:rFonts w:ascii="Arial" w:hAnsi="Arial"/>
                <w:szCs w:val="21"/>
              </w:rPr>
              <w:t xml:space="preserve"> dBA</w:t>
            </w:r>
            <w:r>
              <w:rPr>
                <w:rFonts w:hint="eastAsia" w:ascii="Arial" w:hAnsi="Arial"/>
                <w:szCs w:val="21"/>
              </w:rPr>
              <w:t>；</w:t>
            </w:r>
          </w:p>
        </w:tc>
      </w:tr>
      <w:tr w14:paraId="69F694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904147">
            <w:pPr>
              <w:widowControl/>
              <w:jc w:val="center"/>
              <w:rPr>
                <w:rFonts w:hint="default" w:ascii="宋体" w:hAnsi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/>
                <w:color w:val="000000"/>
                <w:kern w:val="0"/>
                <w:sz w:val="20"/>
                <w:szCs w:val="20"/>
                <w:lang w:val="en-US" w:eastAsia="zh-CN" w:bidi="ar"/>
              </w:rPr>
              <w:t>3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BF12B8">
            <w:pPr>
              <w:widowControl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超低温冰箱</w:t>
            </w:r>
          </w:p>
        </w:tc>
        <w:tc>
          <w:tcPr>
            <w:tcW w:w="8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F727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1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箱内温度：-40℃ ~-86℃可调；</w:t>
            </w:r>
          </w:p>
          <w:p w14:paraId="552605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2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微电脑控制，≥10寸高性能LCD电容屏，直观显示箱内温度、环境温度、输入电压和温度曲线等数据，显示精度≤0.1℃，可连接wifi实现网络功能；</w:t>
            </w:r>
          </w:p>
          <w:p w14:paraId="7CEC46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3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有效容积≥726L，整机装箱量（2ml冻存管容量）不少于50000个；</w:t>
            </w:r>
          </w:p>
          <w:p w14:paraId="09CD61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4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具有运行指示灯，正常运行显示绿色，出现报警或故障显示红色或黄色；具有多种故障报警，高低温报警、传感器故障报警、冷凝器脏报警、环温超标报警、断电报警、开门报警、电池未连接报警；报警方式，声音蜂鸣报警、灯光闪烁报警；</w:t>
            </w:r>
          </w:p>
          <w:p w14:paraId="169469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5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采用HC环保制冷剂，制冷效率高，节能环保；采用双级复叠制冷系统，高温级压机和低温级压机配合制冷，制冷效率高；</w:t>
            </w:r>
          </w:p>
          <w:p w14:paraId="175F57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 w:eastAsia="宋体"/>
                <w:szCs w:val="21"/>
                <w:lang w:eastAsia="zh-CN"/>
              </w:rPr>
            </w:pPr>
            <w:r>
              <w:rPr>
                <w:rFonts w:hint="eastAsia" w:ascii="Arial" w:hAnsi="Arial"/>
                <w:szCs w:val="21"/>
              </w:rPr>
              <w:t>6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采用HC环保制冷剂，制冷效率高，节能环保；根据低温保存箱国家标准GB/T 20154要求，低温保存箱铭牌或标签上要标注制冷剂的详细名称及装入量；总制冷剂装载量不大于230g（提供铭牌证明）</w:t>
            </w:r>
            <w:r>
              <w:rPr>
                <w:rFonts w:hint="eastAsia" w:ascii="Arial" w:hAnsi="Arial"/>
                <w:szCs w:val="21"/>
                <w:lang w:eastAsia="zh-CN"/>
              </w:rPr>
              <w:t>；</w:t>
            </w:r>
          </w:p>
          <w:p w14:paraId="69AF5C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 w:eastAsia="宋体"/>
                <w:szCs w:val="21"/>
                <w:lang w:eastAsia="zh-CN"/>
              </w:rPr>
            </w:pPr>
            <w:r>
              <w:rPr>
                <w:rFonts w:hint="eastAsia" w:ascii="Arial" w:hAnsi="Arial"/>
                <w:szCs w:val="21"/>
              </w:rPr>
              <w:t>7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压缩机≥2个，高效稳定</w:t>
            </w:r>
            <w:r>
              <w:rPr>
                <w:rFonts w:hint="eastAsia" w:ascii="Arial" w:hAnsi="Arial"/>
                <w:szCs w:val="21"/>
                <w:lang w:eastAsia="zh-CN"/>
              </w:rPr>
              <w:t>；</w:t>
            </w:r>
          </w:p>
          <w:p w14:paraId="46BA5C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8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环温25℃时，耗电量应≤10Kw.h/24h；</w:t>
            </w:r>
          </w:p>
          <w:p w14:paraId="3FED4B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9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一体式手把门锁设计，单手实现开关门。可同时使用暗锁（四把钥匙）及双挂锁，选配电磁锁（打卡或指纹）；</w:t>
            </w:r>
          </w:p>
          <w:p w14:paraId="01C6BA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10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不少于4个发泡内门并带密封条设计，外门≥4层密封，整机共计不少于5层密封，保温效果好；</w:t>
            </w:r>
          </w:p>
          <w:p w14:paraId="5331C2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11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使用航空真空隔热材料VIP+PU整体发泡，VIP厚度≥25mm；内胆为电锌板喷粉，防腐蚀，导热快；</w:t>
            </w:r>
          </w:p>
          <w:p w14:paraId="67FF9A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12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不少于两个测试孔，方便实验使用和监控箱内温度；</w:t>
            </w:r>
          </w:p>
          <w:p w14:paraId="450225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13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具有内置≥5V冷链供电系统；</w:t>
            </w:r>
          </w:p>
          <w:p w14:paraId="22AD91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14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电脑版配置大容量存储空间，实时保存箱内设定温度、实际温度、高、低温报警温度、输入电压、环温等数据，且可通过USB数据接口端口导出全部数据，格式excel和PDF可选，实现数据的可追溯性；</w:t>
            </w:r>
          </w:p>
          <w:p w14:paraId="102A2F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15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标配RS485数据接口，可同计算机网线连接，实现数据通讯；</w:t>
            </w:r>
          </w:p>
          <w:p w14:paraId="6C4AF9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16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.具备</w:t>
            </w:r>
            <w:r>
              <w:rPr>
                <w:rFonts w:hint="eastAsia" w:ascii="Arial" w:hAnsi="Arial"/>
                <w:szCs w:val="21"/>
              </w:rPr>
              <w:t>物联，能够在手机app上实时的查看箱内温度、设定温度、高低温报警温度、各种报警记录、以及开关门等事件记录。投标人需在投标文件中提供截图证明；</w:t>
            </w:r>
          </w:p>
          <w:p w14:paraId="40B10E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17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具有留言/记事本功能，多用户共用一台冰箱时，相互之间留言，以及自己创建记事本，备忘，可实现无纸办公；</w:t>
            </w:r>
          </w:p>
          <w:p w14:paraId="1E8B1F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18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具有数据上传/下载功能，可以通过USB接口上传和下载箱内温度数据、报警记录以及事件记录等；</w:t>
            </w:r>
          </w:p>
          <w:p w14:paraId="5D2BC9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19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具有参数自动配置功能，可通过USB接口上传和下载配置文件，将一台冰箱的设置参数和数据等信息复制到其它冰箱；</w:t>
            </w:r>
          </w:p>
          <w:p w14:paraId="02E147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20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具有事件记录功能，产品能够记录开门事件、密码修改、设置修改、账户登录等信息，且所有记录信息能够下载到电脑上，实现数据分析存档；</w:t>
            </w:r>
          </w:p>
          <w:p w14:paraId="30425C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21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.具有</w:t>
            </w:r>
            <w:r>
              <w:rPr>
                <w:rFonts w:hint="eastAsia" w:ascii="Arial" w:hAnsi="Arial"/>
                <w:szCs w:val="21"/>
              </w:rPr>
              <w:t>样本管理功能，可对大类样本存放位置和数量进行统计、管理；</w:t>
            </w:r>
          </w:p>
          <w:p w14:paraId="7CF512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22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设备摆放：受场地所限，占地面积不大于1.05平方米，高度不得超过2米；</w:t>
            </w:r>
          </w:p>
          <w:p w14:paraId="1E0C47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 w:ascii="Arial" w:hAnsi="Arial"/>
                <w:szCs w:val="21"/>
              </w:rPr>
              <w:t>23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.</w:t>
            </w:r>
            <w:r>
              <w:rPr>
                <w:rFonts w:hint="eastAsia" w:ascii="Arial" w:hAnsi="Arial"/>
                <w:szCs w:val="21"/>
              </w:rPr>
              <w:t>配温度监控系统。监控系统可监测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现场原有</w:t>
            </w:r>
            <w:r>
              <w:rPr>
                <w:rFonts w:hint="eastAsia" w:ascii="Arial" w:hAnsi="Arial"/>
                <w:szCs w:val="21"/>
              </w:rPr>
              <w:t>品牌的超低温保存箱、低温保存箱、</w:t>
            </w:r>
            <w:r>
              <w:rPr>
                <w:rFonts w:hint="eastAsia" w:ascii="Arial" w:hAnsi="Arial"/>
                <w:szCs w:val="21"/>
                <w:lang w:val="en-US" w:eastAsia="zh-CN"/>
              </w:rPr>
              <w:t>样本保存箱</w:t>
            </w:r>
            <w:r>
              <w:rPr>
                <w:rFonts w:hint="eastAsia" w:ascii="Arial" w:hAnsi="Arial"/>
                <w:szCs w:val="21"/>
              </w:rPr>
              <w:t>产品；</w:t>
            </w:r>
          </w:p>
          <w:p w14:paraId="4E55B2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textAlignment w:val="auto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配置：主机1套</w:t>
            </w:r>
          </w:p>
          <w:p w14:paraId="7C9B71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Arial" w:hAnsi="Arial"/>
                <w:szCs w:val="21"/>
              </w:rPr>
            </w:pPr>
            <w:r>
              <w:rPr>
                <w:rFonts w:hint="eastAsia"/>
                <w:lang w:val="en-US" w:eastAsia="zh-CN"/>
              </w:rPr>
              <w:t>安装要求：</w:t>
            </w:r>
            <w:r>
              <w:rPr>
                <w:rFonts w:hint="eastAsia"/>
              </w:rPr>
              <w:t>根据现场已有条件负责安装场地清理，负责</w:t>
            </w:r>
            <w:r>
              <w:rPr>
                <w:rFonts w:hint="eastAsia"/>
                <w:lang w:val="en-US" w:eastAsia="zh-CN"/>
              </w:rPr>
              <w:t>机房电路的</w:t>
            </w:r>
            <w:r>
              <w:rPr>
                <w:rFonts w:hint="eastAsia"/>
              </w:rPr>
              <w:t>接入</w:t>
            </w:r>
            <w:r>
              <w:rPr>
                <w:rFonts w:hint="eastAsia"/>
                <w:lang w:val="en-US" w:eastAsia="zh-CN"/>
              </w:rPr>
              <w:t>和零线安全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  <w:lang w:val="en-US" w:eastAsia="zh-CN"/>
              </w:rPr>
              <w:t>保证电路符合现有实验室安全警报系统要求，</w:t>
            </w:r>
            <w:r>
              <w:rPr>
                <w:rFonts w:hint="eastAsia"/>
              </w:rPr>
              <w:t>确保</w:t>
            </w:r>
            <w:r>
              <w:rPr>
                <w:rFonts w:hint="eastAsia"/>
                <w:lang w:val="en-US" w:eastAsia="zh-CN"/>
              </w:rPr>
              <w:t>设备能安全、正常运行</w:t>
            </w:r>
            <w:r>
              <w:rPr>
                <w:rFonts w:hint="eastAsia"/>
              </w:rPr>
              <w:t>。</w:t>
            </w:r>
          </w:p>
        </w:tc>
      </w:tr>
    </w:tbl>
    <w:p w14:paraId="533EA636"/>
    <w:sectPr>
      <w:headerReference r:id="rId3" w:type="default"/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D7AEB1">
    <w:pPr>
      <w:pStyle w:val="13"/>
      <w:pBdr>
        <w:bottom w:val="none" w:color="auto" w:sz="0" w:space="0"/>
      </w:pBdr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59EF5C"/>
    <w:multiLevelType w:val="singleLevel"/>
    <w:tmpl w:val="5959EF5C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defaultTabStop w:val="4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2910A6"/>
    <w:rsid w:val="3B2A7596"/>
    <w:rsid w:val="79C94E79"/>
    <w:rsid w:val="7E4C4CD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2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标题 21"/>
    <w:basedOn w:val="1"/>
    <w:link w:val="7"/>
    <w:qFormat/>
    <w:uiPriority w:val="0"/>
    <w:pPr>
      <w:keepNext/>
      <w:keepLines/>
      <w:spacing w:line="360" w:lineRule="auto"/>
      <w:jc w:val="left"/>
      <w:outlineLvl w:val="1"/>
    </w:pPr>
    <w:rPr>
      <w:rFonts w:ascii="Arial" w:hAnsi="Arial"/>
      <w:b/>
      <w:sz w:val="24"/>
    </w:rPr>
  </w:style>
  <w:style w:type="character" w:customStyle="1" w:styleId="5">
    <w:name w:val="默认段落字体1"/>
    <w:link w:val="1"/>
    <w:qFormat/>
    <w:uiPriority w:val="0"/>
  </w:style>
  <w:style w:type="table" w:customStyle="1" w:styleId="6">
    <w:name w:val="普通表格1"/>
    <w:semiHidden/>
    <w:qFormat/>
    <w:uiPriority w:val="0"/>
  </w:style>
  <w:style w:type="character" w:customStyle="1" w:styleId="7">
    <w:name w:val="标题 2 Char"/>
    <w:basedOn w:val="5"/>
    <w:link w:val="4"/>
    <w:qFormat/>
    <w:uiPriority w:val="0"/>
    <w:rPr>
      <w:rFonts w:ascii="Arial" w:hAnsi="Arial"/>
      <w:b/>
      <w:kern w:val="2"/>
      <w:sz w:val="24"/>
      <w:szCs w:val="24"/>
    </w:rPr>
  </w:style>
  <w:style w:type="paragraph" w:customStyle="1" w:styleId="8">
    <w:name w:val="正文缩进1"/>
    <w:basedOn w:val="1"/>
    <w:qFormat/>
    <w:uiPriority w:val="0"/>
    <w:pPr>
      <w:spacing w:line="360" w:lineRule="auto"/>
      <w:ind w:firstLine="420" w:firstLineChars="200"/>
    </w:pPr>
    <w:rPr>
      <w:rFonts w:eastAsia="仿宋"/>
      <w:sz w:val="24"/>
    </w:rPr>
  </w:style>
  <w:style w:type="paragraph" w:customStyle="1" w:styleId="9">
    <w:name w:val="正文文本1"/>
    <w:basedOn w:val="1"/>
    <w:qFormat/>
    <w:uiPriority w:val="0"/>
    <w:pPr>
      <w:spacing w:before="43"/>
      <w:ind w:left="120"/>
    </w:pPr>
    <w:rPr>
      <w:rFonts w:ascii="宋体" w:hAnsi="宋体" w:eastAsia="宋体"/>
      <w:sz w:val="21"/>
      <w:szCs w:val="21"/>
      <w:lang w:val="zh-CN" w:eastAsia="zh-CN" w:bidi="zh-CN"/>
    </w:rPr>
  </w:style>
  <w:style w:type="paragraph" w:customStyle="1" w:styleId="10">
    <w:name w:val="正文文本缩进1"/>
    <w:basedOn w:val="1"/>
    <w:qFormat/>
    <w:uiPriority w:val="0"/>
    <w:pPr>
      <w:spacing w:after="120"/>
      <w:ind w:left="420" w:leftChars="200"/>
    </w:pPr>
  </w:style>
  <w:style w:type="paragraph" w:customStyle="1" w:styleId="11">
    <w:name w:val="页脚1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12">
    <w:name w:val="页脚 Char"/>
    <w:link w:val="11"/>
    <w:qFormat/>
    <w:uiPriority w:val="0"/>
    <w:rPr>
      <w:kern w:val="2"/>
      <w:sz w:val="18"/>
      <w:szCs w:val="18"/>
    </w:rPr>
  </w:style>
  <w:style w:type="paragraph" w:customStyle="1" w:styleId="13">
    <w:name w:val="页眉1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4">
    <w:name w:val="页眉 Char"/>
    <w:link w:val="13"/>
    <w:qFormat/>
    <w:uiPriority w:val="0"/>
    <w:rPr>
      <w:kern w:val="2"/>
      <w:sz w:val="18"/>
      <w:szCs w:val="18"/>
    </w:rPr>
  </w:style>
  <w:style w:type="paragraph" w:customStyle="1" w:styleId="15">
    <w:name w:val="正文文本 21"/>
    <w:basedOn w:val="1"/>
    <w:link w:val="16"/>
    <w:qFormat/>
    <w:uiPriority w:val="0"/>
    <w:pPr>
      <w:spacing w:after="120" w:line="480" w:lineRule="auto"/>
    </w:pPr>
  </w:style>
  <w:style w:type="character" w:customStyle="1" w:styleId="16">
    <w:name w:val="正文文本 2 Char"/>
    <w:basedOn w:val="5"/>
    <w:link w:val="15"/>
    <w:qFormat/>
    <w:uiPriority w:val="0"/>
    <w:rPr>
      <w:kern w:val="2"/>
      <w:sz w:val="21"/>
      <w:szCs w:val="24"/>
    </w:rPr>
  </w:style>
  <w:style w:type="paragraph" w:customStyle="1" w:styleId="17">
    <w:name w:val="普通(网站)1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18">
    <w:name w:val="正文首行缩进 21"/>
    <w:basedOn w:val="10"/>
    <w:qFormat/>
    <w:uiPriority w:val="0"/>
    <w:pPr>
      <w:ind w:firstLine="420" w:firstLineChars="200"/>
    </w:pPr>
  </w:style>
  <w:style w:type="table" w:customStyle="1" w:styleId="19">
    <w:name w:val="网格型1"/>
    <w:basedOn w:val="6"/>
    <w:qFormat/>
    <w:uiPriority w:val="0"/>
    <w:pPr>
      <w:widowControl w:val="0"/>
      <w:jc w:val="both"/>
    </w:pPr>
  </w:style>
  <w:style w:type="character" w:customStyle="1" w:styleId="20">
    <w:name w:val="要点1"/>
    <w:basedOn w:val="5"/>
    <w:link w:val="1"/>
    <w:qFormat/>
    <w:uiPriority w:val="0"/>
    <w:rPr>
      <w:b/>
    </w:rPr>
  </w:style>
  <w:style w:type="paragraph" w:customStyle="1" w:styleId="21">
    <w:name w:val="Table Text"/>
    <w:basedOn w:val="1"/>
    <w:semiHidden/>
    <w:qFormat/>
    <w:uiPriority w:val="0"/>
    <w:pPr>
      <w:widowControl/>
      <w:kinsoku w:val="0"/>
      <w:autoSpaceDE w:val="0"/>
      <w:autoSpaceDN w:val="0"/>
      <w:snapToGrid w:val="0"/>
      <w:jc w:val="left"/>
    </w:pPr>
    <w:rPr>
      <w:rFonts w:ascii="宋体" w:hAnsi="宋体"/>
      <w:color w:val="000000"/>
      <w:kern w:val="0"/>
      <w:sz w:val="24"/>
      <w:lang w:eastAsia="en-US"/>
    </w:rPr>
  </w:style>
  <w:style w:type="paragraph" w:customStyle="1" w:styleId="22">
    <w:name w:val="null3"/>
    <w:qFormat/>
    <w:uiPriority w:val="0"/>
    <w:rPr>
      <w:rFonts w:hint="eastAsia" w:ascii="Calibri" w:hAnsi="Calibri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1194</Words>
  <Characters>1359</Characters>
  <Lines>0</Lines>
  <Paragraphs>0</Paragraphs>
  <TotalTime>31</TotalTime>
  <ScaleCrop>false</ScaleCrop>
  <LinksUpToDate>false</LinksUpToDate>
  <CharactersWithSpaces>1567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2025-02-18T04:25:00Z</dcterms:created>
  <dc:creator>admin</dc:creator>
  <cp:lastModifiedBy>admin</cp:lastModifiedBy>
  <dcterms:modified xsi:type="dcterms:W3CDTF">2025-02-25T02:16:29Z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eyJoZGlkIjoiYzdkZDNlNjM5ODlhMzBiZmEwYzFiYTgyZWE2NmQ5NDQiLCJ1c2VySWQiOiI1MTUwOTkxMDIifQ==</vt:lpwstr>
  </property>
  <property fmtid="{D5CDD505-2E9C-101B-9397-08002B2CF9AE}" pid="3" name="KSOProductBuildVer">
    <vt:lpwstr>2052-12.1.0.19770</vt:lpwstr>
  </property>
  <property fmtid="{D5CDD505-2E9C-101B-9397-08002B2CF9AE}" pid="4" name="ICV">
    <vt:lpwstr>801DA8557FC24016B18405CA9967897E_13</vt:lpwstr>
  </property>
</Properties>
</file>